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E67" w:rsidRPr="007647A8" w:rsidRDefault="00673E67" w:rsidP="002A39C9">
      <w:pPr>
        <w:spacing w:after="0"/>
        <w:ind w:left="0" w:firstLine="0"/>
        <w:jc w:val="center"/>
        <w:rPr>
          <w:rFonts w:ascii="Times New Roman" w:hAnsi="Times New Roman" w:cs="Times New Roman"/>
          <w:b/>
          <w:sz w:val="24"/>
          <w:szCs w:val="24"/>
          <w:u w:val="single"/>
        </w:rPr>
      </w:pPr>
      <w:r w:rsidRPr="007647A8">
        <w:rPr>
          <w:rFonts w:ascii="Times New Roman" w:hAnsi="Times New Roman" w:cs="Times New Roman"/>
          <w:b/>
          <w:noProof/>
          <w:sz w:val="24"/>
          <w:szCs w:val="24"/>
          <w:lang w:eastAsia="sq-AL"/>
        </w:rPr>
        <w:drawing>
          <wp:inline distT="0" distB="0" distL="0" distR="0" wp14:anchorId="242E6DB6" wp14:editId="2433B344">
            <wp:extent cx="504825" cy="590550"/>
            <wp:effectExtent l="0" t="0" r="9525" b="0"/>
            <wp:docPr id="574474452" name="Picture 2" descr="A red and black flag with a double headed ea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74452" name="Picture 2" descr="A red and black flag with a double headed ea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r>
        <w:rPr>
          <w:rFonts w:ascii="Times New Roman" w:hAnsi="Times New Roman" w:cs="Times New Roman"/>
          <w:b/>
          <w:sz w:val="24"/>
          <w:szCs w:val="24"/>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r>
        <w:rPr>
          <w:rFonts w:ascii="Times New Roman" w:hAnsi="Times New Roman" w:cs="Times New Roman"/>
          <w:b/>
          <w:bCs/>
          <w:sz w:val="28"/>
          <w:szCs w:val="28"/>
        </w:rPr>
        <w:t>REPUBLIC OF ALBANIA</w:t>
      </w:r>
      <w:r>
        <w:rPr>
          <w:rFonts w:ascii="Times New Roman" w:hAnsi="Times New Roman" w:cs="Times New Roman"/>
          <w:b/>
          <w:sz w:val="28"/>
          <w:szCs w:val="28"/>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r>
        <w:rPr>
          <w:rFonts w:ascii="Times New Roman" w:hAnsi="Times New Roman" w:cs="Times New Roman"/>
          <w:b/>
          <w:bCs/>
          <w:sz w:val="28"/>
          <w:szCs w:val="28"/>
        </w:rPr>
        <w:t>PARLIAMENT</w:t>
      </w:r>
      <w:r>
        <w:rPr>
          <w:rFonts w:ascii="Times New Roman" w:hAnsi="Times New Roman" w:cs="Times New Roman"/>
          <w:b/>
          <w:sz w:val="28"/>
          <w:szCs w:val="28"/>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p>
    <w:p w:rsidR="00E17D6D" w:rsidRPr="007647A8" w:rsidRDefault="00E17D6D" w:rsidP="002A39C9">
      <w:pPr>
        <w:tabs>
          <w:tab w:val="left" w:pos="0"/>
        </w:tabs>
        <w:spacing w:after="0"/>
        <w:ind w:left="0" w:firstLine="0"/>
        <w:jc w:val="center"/>
        <w:rPr>
          <w:rFonts w:ascii="Times New Roman" w:hAnsi="Times New Roman" w:cs="Times New Roman"/>
          <w:b/>
          <w:sz w:val="28"/>
          <w:szCs w:val="28"/>
        </w:rPr>
      </w:pPr>
    </w:p>
    <w:p w:rsidR="00673E67" w:rsidRDefault="007B0402" w:rsidP="002A39C9">
      <w:pPr>
        <w:tabs>
          <w:tab w:val="left" w:pos="0"/>
        </w:tabs>
        <w:spacing w:after="0"/>
        <w:ind w:left="0" w:firstLine="0"/>
        <w:jc w:val="center"/>
        <w:rPr>
          <w:rFonts w:ascii="Times New Roman" w:hAnsi="Times New Roman" w:cs="Times New Roman"/>
          <w:b/>
          <w:sz w:val="28"/>
          <w:szCs w:val="28"/>
        </w:rPr>
      </w:pPr>
      <w:r w:rsidRPr="007B0402">
        <w:rPr>
          <w:rFonts w:ascii="Times New Roman" w:hAnsi="Times New Roman" w:cs="Times New Roman"/>
          <w:b/>
          <w:sz w:val="28"/>
          <w:szCs w:val="28"/>
        </w:rPr>
        <w:t>DRAFT LAW</w:t>
      </w:r>
    </w:p>
    <w:p w:rsidR="007B0402" w:rsidRDefault="007B0402" w:rsidP="002A39C9">
      <w:pPr>
        <w:tabs>
          <w:tab w:val="left" w:pos="0"/>
        </w:tabs>
        <w:spacing w:after="0"/>
        <w:ind w:left="0" w:firstLine="0"/>
        <w:jc w:val="center"/>
        <w:rPr>
          <w:rFonts w:ascii="Times New Roman" w:hAnsi="Times New Roman" w:cs="Times New Roman"/>
          <w:b/>
          <w:sz w:val="28"/>
          <w:szCs w:val="28"/>
        </w:rPr>
      </w:pPr>
    </w:p>
    <w:p w:rsidR="007B0402" w:rsidRPr="007647A8" w:rsidRDefault="007B0402" w:rsidP="002A39C9">
      <w:pPr>
        <w:tabs>
          <w:tab w:val="left" w:pos="0"/>
        </w:tabs>
        <w:spacing w:after="0"/>
        <w:ind w:left="0" w:firstLine="0"/>
        <w:jc w:val="center"/>
        <w:rPr>
          <w:rFonts w:ascii="Times New Roman" w:hAnsi="Times New Roman" w:cs="Times New Roman"/>
          <w:b/>
          <w:bCs/>
          <w:sz w:val="28"/>
          <w:szCs w:val="28"/>
        </w:rPr>
      </w:pPr>
    </w:p>
    <w:p w:rsidR="00673E67" w:rsidRPr="007647A8" w:rsidRDefault="00673E67" w:rsidP="002A39C9">
      <w:pPr>
        <w:tabs>
          <w:tab w:val="left" w:pos="0"/>
        </w:tabs>
        <w:spacing w:after="0"/>
        <w:ind w:left="0" w:firstLine="0"/>
        <w:jc w:val="center"/>
        <w:rPr>
          <w:rFonts w:ascii="Times New Roman" w:hAnsi="Times New Roman" w:cs="Times New Roman"/>
          <w:b/>
          <w:bCs/>
          <w:sz w:val="24"/>
          <w:szCs w:val="24"/>
        </w:rPr>
      </w:pPr>
      <w:r>
        <w:rPr>
          <w:rFonts w:ascii="Times New Roman" w:hAnsi="Times New Roman" w:cs="Times New Roman"/>
          <w:b/>
          <w:bCs/>
          <w:sz w:val="24"/>
          <w:szCs w:val="24"/>
        </w:rPr>
        <w:t>Nr. _____/_______</w:t>
      </w:r>
    </w:p>
    <w:p w:rsidR="008E38AE" w:rsidRPr="007647A8" w:rsidRDefault="008E38AE" w:rsidP="002A39C9">
      <w:pPr>
        <w:pStyle w:val="Paragrafi"/>
        <w:tabs>
          <w:tab w:val="left" w:pos="0"/>
        </w:tabs>
        <w:spacing w:line="276" w:lineRule="auto"/>
        <w:ind w:firstLine="0"/>
        <w:rPr>
          <w:rFonts w:ascii="Times New Roman" w:hAnsi="Times New Roman"/>
          <w:sz w:val="24"/>
          <w:szCs w:val="24"/>
        </w:rPr>
      </w:pPr>
    </w:p>
    <w:p w:rsidR="00A11B80" w:rsidRPr="007647A8" w:rsidRDefault="00A11B80" w:rsidP="002A39C9">
      <w:pPr>
        <w:pStyle w:val="Paragrafi"/>
        <w:tabs>
          <w:tab w:val="left" w:pos="0"/>
        </w:tabs>
        <w:spacing w:line="276" w:lineRule="auto"/>
        <w:ind w:firstLine="0"/>
        <w:rPr>
          <w:rFonts w:ascii="Times New Roman" w:hAnsi="Times New Roman"/>
          <w:sz w:val="24"/>
          <w:szCs w:val="24"/>
        </w:rPr>
      </w:pPr>
      <w:r>
        <w:rPr>
          <w:rFonts w:ascii="Times New Roman" w:hAnsi="Times New Roman"/>
          <w:sz w:val="24"/>
          <w:szCs w:val="24"/>
        </w:rPr>
        <w:t xml:space="preserve">                                         </w:t>
      </w:r>
    </w:p>
    <w:p w:rsidR="008E38AE" w:rsidRPr="007647A8" w:rsidRDefault="008E38AE" w:rsidP="002A39C9">
      <w:pPr>
        <w:pStyle w:val="Titulli"/>
        <w:spacing w:line="276" w:lineRule="auto"/>
        <w:rPr>
          <w:rFonts w:ascii="Times New Roman" w:hAnsi="Times New Roman"/>
          <w:sz w:val="24"/>
          <w:szCs w:val="24"/>
          <w:lang w:val="en-US"/>
        </w:rPr>
      </w:pPr>
      <w:r>
        <w:rPr>
          <w:rFonts w:ascii="Times New Roman" w:hAnsi="Times New Roman"/>
          <w:sz w:val="24"/>
          <w:szCs w:val="24"/>
          <w:lang w:val="en-US"/>
        </w:rPr>
        <w:t>ON THE PREVENTION OF MONEY LAUNDERING and  FINANCING</w:t>
      </w:r>
    </w:p>
    <w:p w:rsidR="008E38AE" w:rsidRPr="007647A8" w:rsidRDefault="008E38AE" w:rsidP="002A39C9">
      <w:pPr>
        <w:pStyle w:val="Titulli"/>
        <w:spacing w:line="276" w:lineRule="auto"/>
        <w:rPr>
          <w:rFonts w:ascii="Times New Roman" w:hAnsi="Times New Roman"/>
          <w:sz w:val="24"/>
          <w:szCs w:val="24"/>
          <w:lang w:val="en-US"/>
        </w:rPr>
      </w:pPr>
      <w:r>
        <w:rPr>
          <w:rFonts w:ascii="Times New Roman" w:hAnsi="Times New Roman"/>
          <w:sz w:val="24"/>
          <w:szCs w:val="24"/>
          <w:lang w:val="en-US"/>
        </w:rPr>
        <w:t>TË TERRORIZMIT</w:t>
      </w:r>
      <w:r w:rsidR="00862187" w:rsidRPr="007647A8">
        <w:rPr>
          <w:rStyle w:val="FootnoteReference"/>
          <w:rFonts w:ascii="Times New Roman" w:hAnsi="Times New Roman"/>
          <w:b w:val="0"/>
          <w:sz w:val="28"/>
          <w:szCs w:val="28"/>
          <w:lang w:val="en-US"/>
        </w:rPr>
        <w:footnoteReference w:id="1"/>
      </w:r>
    </w:p>
    <w:p w:rsidR="008E38AE" w:rsidRPr="007647A8" w:rsidRDefault="008E38AE" w:rsidP="002A39C9">
      <w:pPr>
        <w:pStyle w:val="Paragrafi"/>
        <w:spacing w:line="276" w:lineRule="auto"/>
        <w:jc w:val="right"/>
        <w:rPr>
          <w:rFonts w:ascii="Times New Roman" w:hAnsi="Times New Roman"/>
          <w:sz w:val="24"/>
          <w:szCs w:val="24"/>
        </w:rPr>
      </w:pPr>
    </w:p>
    <w:p w:rsidR="00676D2F" w:rsidRPr="007647A8" w:rsidRDefault="00676D2F" w:rsidP="002A39C9">
      <w:pPr>
        <w:tabs>
          <w:tab w:val="left" w:pos="0"/>
        </w:tabs>
        <w:spacing w:after="0"/>
        <w:ind w:left="0" w:firstLine="720"/>
        <w:rPr>
          <w:rFonts w:ascii="Times New Roman" w:hAnsi="Times New Roman" w:cs="Times New Roman"/>
          <w:bCs/>
          <w:sz w:val="24"/>
          <w:szCs w:val="24"/>
        </w:rPr>
      </w:pPr>
    </w:p>
    <w:p w:rsidR="00673E67" w:rsidRPr="007647A8" w:rsidRDefault="00673E67" w:rsidP="002A39C9">
      <w:pPr>
        <w:tabs>
          <w:tab w:val="left" w:pos="0"/>
        </w:tabs>
        <w:spacing w:after="0"/>
        <w:ind w:left="0" w:firstLine="720"/>
        <w:rPr>
          <w:rFonts w:ascii="Times New Roman" w:hAnsi="Times New Roman" w:cs="Times New Roman"/>
          <w:bCs/>
          <w:sz w:val="24"/>
          <w:szCs w:val="24"/>
        </w:rPr>
      </w:pPr>
      <w:r>
        <w:rPr>
          <w:rFonts w:ascii="Times New Roman" w:hAnsi="Times New Roman" w:cs="Times New Roman"/>
          <w:bCs/>
          <w:sz w:val="24"/>
          <w:szCs w:val="24"/>
        </w:rPr>
        <w:t>Pursuant to Articles 78 and 83, point 1, of the Constitution, upon the proposal of the Council of Ministers,</w:t>
      </w:r>
    </w:p>
    <w:p w:rsidR="00673E67" w:rsidRPr="007647A8" w:rsidRDefault="00673E67" w:rsidP="002A39C9">
      <w:pPr>
        <w:spacing w:after="0"/>
        <w:ind w:firstLine="284"/>
        <w:rPr>
          <w:rFonts w:ascii="Times New Roman" w:hAnsi="Times New Roman" w:cs="Times New Roman"/>
          <w:bCs/>
          <w:sz w:val="24"/>
          <w:szCs w:val="24"/>
        </w:rPr>
      </w:pPr>
    </w:p>
    <w:p w:rsidR="00673E67" w:rsidRPr="007647A8" w:rsidRDefault="00673E67" w:rsidP="002A39C9">
      <w:pPr>
        <w:spacing w:after="0"/>
        <w:ind w:left="0" w:firstLine="0"/>
        <w:jc w:val="center"/>
        <w:rPr>
          <w:rFonts w:ascii="Times New Roman" w:hAnsi="Times New Roman" w:cs="Times New Roman"/>
          <w:bCs/>
          <w:sz w:val="24"/>
          <w:szCs w:val="24"/>
        </w:rPr>
      </w:pPr>
      <w:r>
        <w:rPr>
          <w:rFonts w:ascii="Times New Roman" w:hAnsi="Times New Roman" w:cs="Times New Roman"/>
          <w:bCs/>
          <w:sz w:val="24"/>
          <w:szCs w:val="24"/>
        </w:rPr>
        <w:t>PARLIAMENT</w:t>
      </w:r>
    </w:p>
    <w:p w:rsidR="00673E67" w:rsidRPr="007647A8" w:rsidRDefault="00673E67" w:rsidP="002A39C9">
      <w:pPr>
        <w:spacing w:after="0"/>
        <w:ind w:left="0" w:firstLine="0"/>
        <w:jc w:val="center"/>
        <w:rPr>
          <w:rFonts w:ascii="Times New Roman" w:hAnsi="Times New Roman" w:cs="Times New Roman"/>
          <w:bCs/>
          <w:sz w:val="24"/>
          <w:szCs w:val="24"/>
        </w:rPr>
      </w:pPr>
      <w:r>
        <w:rPr>
          <w:rFonts w:ascii="Times New Roman" w:hAnsi="Times New Roman" w:cs="Times New Roman"/>
          <w:bCs/>
          <w:sz w:val="24"/>
          <w:szCs w:val="24"/>
        </w:rPr>
        <w:t>OF THE REPUBLIC OF ALBANIA</w:t>
      </w:r>
    </w:p>
    <w:p w:rsidR="00673E67" w:rsidRPr="007647A8" w:rsidRDefault="00673E67" w:rsidP="002A39C9">
      <w:pPr>
        <w:spacing w:after="0"/>
        <w:ind w:firstLine="284"/>
        <w:jc w:val="center"/>
        <w:rPr>
          <w:rFonts w:ascii="Times New Roman" w:hAnsi="Times New Roman" w:cs="Times New Roman"/>
          <w:bCs/>
          <w:sz w:val="24"/>
          <w:szCs w:val="24"/>
        </w:rPr>
      </w:pPr>
    </w:p>
    <w:p w:rsidR="008E38AE" w:rsidRPr="007647A8" w:rsidRDefault="008E38AE" w:rsidP="002A39C9">
      <w:pPr>
        <w:pStyle w:val="VENDOSI"/>
        <w:spacing w:line="276" w:lineRule="auto"/>
        <w:rPr>
          <w:rFonts w:ascii="Times New Roman" w:hAnsi="Times New Roman"/>
          <w:sz w:val="24"/>
          <w:szCs w:val="24"/>
          <w:lang w:val="en-US"/>
        </w:rPr>
      </w:pPr>
    </w:p>
    <w:p w:rsidR="008E38AE" w:rsidRPr="007647A8" w:rsidRDefault="008E38AE" w:rsidP="002A39C9">
      <w:pPr>
        <w:pStyle w:val="VENDOSI"/>
        <w:spacing w:line="276" w:lineRule="auto"/>
        <w:rPr>
          <w:rFonts w:ascii="Times New Roman" w:hAnsi="Times New Roman"/>
          <w:sz w:val="24"/>
          <w:szCs w:val="24"/>
          <w:lang w:val="en-US"/>
        </w:rPr>
      </w:pPr>
      <w:r>
        <w:rPr>
          <w:rFonts w:ascii="Times New Roman" w:hAnsi="Times New Roman"/>
          <w:sz w:val="24"/>
          <w:szCs w:val="24"/>
          <w:lang w:val="en-US"/>
        </w:rPr>
        <w:t>DECIDED:</w:t>
      </w:r>
    </w:p>
    <w:p w:rsidR="00434A43" w:rsidRPr="007647A8" w:rsidRDefault="00434A43" w:rsidP="002A39C9">
      <w:pPr>
        <w:pStyle w:val="KapitulliNr"/>
        <w:spacing w:line="276" w:lineRule="auto"/>
        <w:rPr>
          <w:rFonts w:ascii="Times New Roman" w:eastAsia="MS Mincho" w:hAnsi="Times New Roman"/>
          <w:sz w:val="24"/>
          <w:szCs w:val="24"/>
          <w:lang w:val="en-US"/>
        </w:rPr>
      </w:pPr>
    </w:p>
    <w:p w:rsidR="00434A43" w:rsidRPr="007647A8" w:rsidRDefault="00434A43" w:rsidP="002A39C9">
      <w:pPr>
        <w:pStyle w:val="KapitulliNr"/>
        <w:spacing w:line="276" w:lineRule="auto"/>
        <w:rPr>
          <w:rFonts w:ascii="Times New Roman" w:hAnsi="Times New Roman"/>
          <w:b/>
          <w:sz w:val="24"/>
          <w:szCs w:val="24"/>
          <w:lang w:val="en-US"/>
        </w:rPr>
      </w:pPr>
    </w:p>
    <w:p w:rsidR="00FF6DAD" w:rsidRPr="007647A8" w:rsidRDefault="00FF6DAD" w:rsidP="002A39C9">
      <w:pPr>
        <w:pStyle w:val="NeniNr"/>
        <w:spacing w:line="276" w:lineRule="auto"/>
        <w:rPr>
          <w:rFonts w:ascii="Times New Roman" w:eastAsia="MS Mincho" w:hAnsi="Times New Roman"/>
          <w:sz w:val="24"/>
          <w:szCs w:val="24"/>
          <w:lang w:val="en-US"/>
        </w:rPr>
      </w:pPr>
      <w:r>
        <w:rPr>
          <w:rFonts w:ascii="Times New Roman" w:eastAsia="MS Mincho" w:hAnsi="Times New Roman"/>
          <w:sz w:val="24"/>
          <w:szCs w:val="24"/>
          <w:lang w:val="en-US"/>
        </w:rPr>
        <w:t>CHAPTER I</w:t>
      </w:r>
    </w:p>
    <w:p w:rsidR="00FF6DAD" w:rsidRPr="007647A8" w:rsidRDefault="00FF6DAD" w:rsidP="002A39C9">
      <w:pPr>
        <w:pStyle w:val="NeniNr"/>
        <w:spacing w:line="276" w:lineRule="auto"/>
        <w:rPr>
          <w:rFonts w:ascii="Times New Roman" w:eastAsia="MS Mincho" w:hAnsi="Times New Roman"/>
          <w:b/>
          <w:sz w:val="24"/>
          <w:szCs w:val="24"/>
          <w:lang w:val="en-US"/>
        </w:rPr>
      </w:pPr>
      <w:r>
        <w:rPr>
          <w:rFonts w:ascii="Times New Roman" w:eastAsia="MS Mincho" w:hAnsi="Times New Roman"/>
          <w:b/>
          <w:sz w:val="24"/>
          <w:szCs w:val="24"/>
          <w:lang w:val="en-US"/>
        </w:rPr>
        <w:t>GENERAL PROVISIONS</w:t>
      </w:r>
    </w:p>
    <w:p w:rsidR="00FF6DAD" w:rsidRPr="007647A8" w:rsidRDefault="00FF6DAD" w:rsidP="002A39C9">
      <w:pPr>
        <w:pStyle w:val="NeniNr"/>
        <w:spacing w:line="276" w:lineRule="auto"/>
        <w:rPr>
          <w:rFonts w:ascii="Times New Roman" w:eastAsia="MS Mincho" w:hAnsi="Times New Roman"/>
          <w:sz w:val="24"/>
          <w:szCs w:val="24"/>
          <w:lang w:val="en-US"/>
        </w:rPr>
      </w:pPr>
    </w:p>
    <w:p w:rsidR="00FF6DAD" w:rsidRPr="007647A8" w:rsidRDefault="00FF6DAD" w:rsidP="002A39C9">
      <w:pPr>
        <w:pStyle w:val="NeniNr"/>
        <w:spacing w:line="276" w:lineRule="auto"/>
        <w:rPr>
          <w:rFonts w:ascii="Times New Roman" w:eastAsia="MS Mincho" w:hAnsi="Times New Roman"/>
          <w:sz w:val="24"/>
          <w:szCs w:val="24"/>
          <w:lang w:val="en-US"/>
        </w:rPr>
      </w:pPr>
      <w:r>
        <w:rPr>
          <w:rFonts w:ascii="Times New Roman" w:eastAsia="MS Mincho" w:hAnsi="Times New Roman"/>
          <w:sz w:val="24"/>
          <w:szCs w:val="24"/>
          <w:lang w:val="en-US"/>
        </w:rPr>
        <w:t>Article 1</w:t>
      </w:r>
    </w:p>
    <w:p w:rsidR="00FF6DAD" w:rsidRPr="007647A8" w:rsidRDefault="00FF6DAD" w:rsidP="002A39C9">
      <w:pPr>
        <w:pStyle w:val="NeniNr"/>
        <w:spacing w:line="276" w:lineRule="auto"/>
        <w:rPr>
          <w:rFonts w:ascii="Times New Roman" w:eastAsia="MS Mincho" w:hAnsi="Times New Roman"/>
          <w:b/>
          <w:sz w:val="24"/>
          <w:szCs w:val="24"/>
          <w:lang w:val="en-US"/>
        </w:rPr>
      </w:pPr>
      <w:r>
        <w:rPr>
          <w:rFonts w:ascii="Times New Roman" w:eastAsia="MS Mincho" w:hAnsi="Times New Roman"/>
          <w:b/>
          <w:sz w:val="24"/>
          <w:szCs w:val="24"/>
          <w:lang w:val="en-US"/>
        </w:rPr>
        <w:t>Purpose</w:t>
      </w:r>
    </w:p>
    <w:p w:rsidR="00FF6DAD" w:rsidRPr="007647A8" w:rsidRDefault="00FF6DAD" w:rsidP="002A39C9">
      <w:pPr>
        <w:pStyle w:val="NeniNr"/>
        <w:spacing w:line="276" w:lineRule="auto"/>
        <w:rPr>
          <w:rFonts w:ascii="Times New Roman" w:eastAsia="MS Mincho" w:hAnsi="Times New Roman"/>
          <w:sz w:val="24"/>
          <w:szCs w:val="24"/>
          <w:lang w:val="en-US"/>
        </w:rPr>
      </w:pPr>
    </w:p>
    <w:p w:rsidR="00FF6DAD"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This law aims to prevent money laundering, the financing of terrorism and the financing of the proliferation of weapons of mass destruction, through the definition of preventive measures, rules on transparency, the exchange of information and mechanisms of the control.</w:t>
      </w:r>
    </w:p>
    <w:p w:rsidR="00FF6DAD" w:rsidRPr="007647A8" w:rsidRDefault="00FF6DAD" w:rsidP="002A39C9">
      <w:pPr>
        <w:pStyle w:val="NeniNr"/>
        <w:spacing w:line="276" w:lineRule="auto"/>
        <w:rPr>
          <w:rFonts w:ascii="Times New Roman" w:eastAsia="MS Mincho" w:hAnsi="Times New Roman"/>
          <w:sz w:val="24"/>
          <w:szCs w:val="24"/>
          <w:lang w:val="en-US"/>
        </w:rPr>
      </w:pPr>
    </w:p>
    <w:p w:rsidR="00FF6DAD" w:rsidRPr="007647A8" w:rsidRDefault="00FF6DAD" w:rsidP="002A39C9">
      <w:pPr>
        <w:pStyle w:val="NeniNr"/>
        <w:spacing w:line="276" w:lineRule="auto"/>
        <w:rPr>
          <w:rFonts w:ascii="Times New Roman" w:eastAsia="MS Mincho" w:hAnsi="Times New Roman"/>
          <w:sz w:val="24"/>
          <w:szCs w:val="24"/>
          <w:lang w:val="en-US"/>
        </w:rPr>
      </w:pPr>
      <w:r>
        <w:rPr>
          <w:rFonts w:ascii="Times New Roman" w:eastAsia="MS Mincho" w:hAnsi="Times New Roman"/>
          <w:sz w:val="24"/>
          <w:szCs w:val="24"/>
          <w:lang w:val="en-US"/>
        </w:rPr>
        <w:t>Article 2</w:t>
      </w:r>
    </w:p>
    <w:p w:rsidR="00FF6DAD" w:rsidRPr="007647A8" w:rsidRDefault="00FF6DAD" w:rsidP="002A39C9">
      <w:pPr>
        <w:pStyle w:val="NeniNr"/>
        <w:spacing w:line="276" w:lineRule="auto"/>
        <w:rPr>
          <w:rFonts w:ascii="Times New Roman" w:eastAsia="MS Mincho" w:hAnsi="Times New Roman"/>
          <w:b/>
          <w:sz w:val="24"/>
          <w:szCs w:val="24"/>
          <w:lang w:val="en-US"/>
        </w:rPr>
      </w:pPr>
      <w:r>
        <w:rPr>
          <w:rFonts w:ascii="Times New Roman" w:eastAsia="MS Mincho" w:hAnsi="Times New Roman"/>
          <w:b/>
          <w:sz w:val="24"/>
          <w:szCs w:val="24"/>
          <w:lang w:val="en-US"/>
        </w:rPr>
        <w:t>Structure of the law</w:t>
      </w:r>
    </w:p>
    <w:p w:rsidR="00FF6DAD" w:rsidRPr="007647A8" w:rsidRDefault="00FF6DAD" w:rsidP="002A39C9">
      <w:pPr>
        <w:pStyle w:val="NeniNr"/>
        <w:spacing w:line="276" w:lineRule="auto"/>
        <w:rPr>
          <w:rFonts w:ascii="Times New Roman" w:eastAsia="MS Mincho" w:hAnsi="Times New Roman"/>
          <w:sz w:val="24"/>
          <w:szCs w:val="24"/>
          <w:lang w:val="en-US"/>
        </w:rPr>
      </w:pPr>
    </w:p>
    <w:p w:rsidR="00FF6DAD"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This law consists of four parts that regulate:</w:t>
      </w:r>
    </w:p>
    <w:p w:rsidR="00FF6DAD"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a) national measures and mechanisms for the prevention of money laundering, terrorism financing and the financing of the proliferation of weapons of mass destruction;</w:t>
      </w:r>
    </w:p>
    <w:p w:rsidR="009C68FB"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b) measures implemented by obliged entities for the prevention of money laundering, terrorist financing and the financing of the proliferation of weapons of mass destruction;</w:t>
      </w:r>
    </w:p>
    <w:p w:rsidR="00FF6DAD"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c) the information accompanying transfers of funds and certain crypto-assets;</w:t>
      </w:r>
    </w:p>
    <w:p w:rsidR="00434A43" w:rsidRPr="007647A8" w:rsidRDefault="00FF6DAD"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c) the control of monetary means entering or leaving the Republic of Albania.</w:t>
      </w:r>
    </w:p>
    <w:p w:rsidR="001D5547" w:rsidRPr="007647A8" w:rsidRDefault="001D5547" w:rsidP="002A39C9">
      <w:pPr>
        <w:spacing w:after="0"/>
        <w:ind w:left="1069" w:firstLine="0"/>
        <w:rPr>
          <w:rFonts w:ascii="Times New Roman" w:hAnsi="Times New Roman" w:cs="Times New Roman"/>
          <w:sz w:val="24"/>
          <w:szCs w:val="24"/>
        </w:rPr>
      </w:pPr>
    </w:p>
    <w:p w:rsidR="008E38AE" w:rsidRPr="007647A8" w:rsidRDefault="008E38AE" w:rsidP="002A39C9">
      <w:pPr>
        <w:pStyle w:val="Paragrafi"/>
        <w:spacing w:line="276" w:lineRule="auto"/>
        <w:ind w:firstLine="0"/>
        <w:rPr>
          <w:rFonts w:ascii="Times New Roman" w:hAnsi="Times New Roman"/>
          <w:sz w:val="24"/>
          <w:szCs w:val="24"/>
        </w:rPr>
      </w:pPr>
    </w:p>
    <w:p w:rsidR="00B723ED" w:rsidRPr="007647A8" w:rsidRDefault="005A1F55" w:rsidP="002A39C9">
      <w:pPr>
        <w:pStyle w:val="Titulli"/>
        <w:spacing w:line="276" w:lineRule="auto"/>
        <w:rPr>
          <w:rFonts w:ascii="Times New Roman" w:hAnsi="Times New Roman"/>
          <w:sz w:val="24"/>
          <w:szCs w:val="24"/>
          <w:lang w:val="en-US"/>
        </w:rPr>
      </w:pPr>
      <w:r>
        <w:rPr>
          <w:rFonts w:ascii="Times New Roman" w:hAnsi="Times New Roman"/>
          <w:sz w:val="24"/>
          <w:szCs w:val="24"/>
          <w:lang w:val="en-US"/>
        </w:rPr>
        <w:t>PART I</w:t>
      </w:r>
    </w:p>
    <w:p w:rsidR="00434A43" w:rsidRPr="007647A8" w:rsidRDefault="00434A43" w:rsidP="002A39C9">
      <w:pPr>
        <w:pStyle w:val="KapitulliNr"/>
        <w:spacing w:line="276" w:lineRule="auto"/>
        <w:rPr>
          <w:b/>
          <w:lang w:val="en-US"/>
        </w:rPr>
      </w:pPr>
      <w:r>
        <w:rPr>
          <w:b/>
          <w:lang w:val="en-US"/>
        </w:rPr>
        <w:t>On the measures and mechanisms for the prevention of money laundering and the financing of terrorism</w:t>
      </w:r>
    </w:p>
    <w:p w:rsidR="00434A43" w:rsidRPr="007647A8" w:rsidRDefault="00434A43" w:rsidP="002A39C9">
      <w:pPr>
        <w:pStyle w:val="KapitulliNr"/>
        <w:spacing w:line="276" w:lineRule="auto"/>
        <w:rPr>
          <w:lang w:val="en-US"/>
        </w:rPr>
      </w:pPr>
    </w:p>
    <w:p w:rsidR="00E14ACC" w:rsidRPr="007647A8" w:rsidRDefault="00E14ACC" w:rsidP="002A39C9">
      <w:pPr>
        <w:pStyle w:val="KapitulliNr"/>
        <w:spacing w:line="276" w:lineRule="auto"/>
        <w:rPr>
          <w:rFonts w:ascii="Times New Roman" w:hAnsi="Times New Roman"/>
          <w:sz w:val="24"/>
          <w:szCs w:val="24"/>
          <w:lang w:val="en-US"/>
        </w:rPr>
      </w:pPr>
    </w:p>
    <w:p w:rsidR="0018463F" w:rsidRPr="007647A8" w:rsidRDefault="0063131D" w:rsidP="002A39C9">
      <w:pPr>
        <w:pStyle w:val="KapitulliNr"/>
        <w:spacing w:line="276" w:lineRule="auto"/>
        <w:rPr>
          <w:rFonts w:ascii="Times New Roman" w:hAnsi="Times New Roman"/>
          <w:sz w:val="24"/>
          <w:szCs w:val="24"/>
          <w:lang w:val="en-US"/>
        </w:rPr>
      </w:pPr>
      <w:r>
        <w:rPr>
          <w:rFonts w:ascii="Times New Roman" w:hAnsi="Times New Roman"/>
          <w:caps w:val="0"/>
          <w:sz w:val="24"/>
          <w:szCs w:val="24"/>
          <w:lang w:val="en-US"/>
        </w:rPr>
        <w:t xml:space="preserve">Section </w:t>
      </w:r>
      <w:r>
        <w:rPr>
          <w:rFonts w:ascii="Times New Roman" w:hAnsi="Times New Roman"/>
          <w:sz w:val="24"/>
          <w:szCs w:val="24"/>
          <w:lang w:val="en-US"/>
        </w:rPr>
        <w:t>1</w:t>
      </w:r>
    </w:p>
    <w:p w:rsidR="00FF6DAD" w:rsidRPr="007647A8" w:rsidRDefault="00FF6DAD" w:rsidP="002A39C9">
      <w:pPr>
        <w:pStyle w:val="KapitulliNr"/>
        <w:spacing w:line="276" w:lineRule="auto"/>
        <w:rPr>
          <w:rFonts w:ascii="Times New Roman" w:hAnsi="Times New Roman"/>
          <w:b/>
          <w:sz w:val="24"/>
          <w:szCs w:val="24"/>
          <w:lang w:val="en-US"/>
        </w:rPr>
      </w:pPr>
      <w:r>
        <w:rPr>
          <w:b/>
          <w:lang w:val="en-US"/>
        </w:rPr>
        <w:t>Subject matter and definitions</w:t>
      </w:r>
    </w:p>
    <w:p w:rsidR="00FF6DAD" w:rsidRPr="007647A8" w:rsidRDefault="00FF6DAD" w:rsidP="002A39C9">
      <w:pPr>
        <w:pStyle w:val="Paragrafi"/>
        <w:spacing w:line="276" w:lineRule="auto"/>
        <w:rPr>
          <w:rFonts w:ascii="Times New Roman" w:hAnsi="Times New Roman"/>
          <w:sz w:val="24"/>
          <w:szCs w:val="24"/>
        </w:rPr>
      </w:pPr>
    </w:p>
    <w:p w:rsidR="008E38AE" w:rsidRPr="007647A8" w:rsidRDefault="008E38AE" w:rsidP="002A39C9">
      <w:pPr>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w:t>
      </w:r>
    </w:p>
    <w:p w:rsidR="002A6C34" w:rsidRPr="007647A8" w:rsidRDefault="008E38AE" w:rsidP="002A39C9">
      <w:pPr>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Subject matter</w:t>
      </w:r>
    </w:p>
    <w:p w:rsidR="002C7B53" w:rsidRPr="007647A8" w:rsidRDefault="002C7B53" w:rsidP="002A39C9">
      <w:pPr>
        <w:spacing w:after="0"/>
        <w:ind w:left="714" w:hanging="357"/>
        <w:jc w:val="center"/>
        <w:rPr>
          <w:rFonts w:ascii="Times New Roman" w:hAnsi="Times New Roman" w:cs="Times New Roman"/>
          <w:b/>
          <w:sz w:val="24"/>
          <w:szCs w:val="24"/>
        </w:rPr>
      </w:pPr>
    </w:p>
    <w:p w:rsidR="004B2EBE" w:rsidRPr="007647A8" w:rsidRDefault="00FF6DAD" w:rsidP="002A39C9">
      <w:pPr>
        <w:tabs>
          <w:tab w:val="left" w:pos="810"/>
        </w:tabs>
        <w:spacing w:after="0"/>
        <w:ind w:firstLine="0"/>
        <w:rPr>
          <w:rFonts w:ascii="Times New Roman" w:hAnsi="Times New Roman" w:cs="Times New Roman"/>
          <w:sz w:val="24"/>
          <w:szCs w:val="24"/>
        </w:rPr>
      </w:pPr>
      <w:r>
        <w:rPr>
          <w:rFonts w:ascii="Times New Roman" w:hAnsi="Times New Roman" w:cs="Times New Roman"/>
          <w:sz w:val="24"/>
          <w:szCs w:val="24"/>
        </w:rPr>
        <w:t>Part I of this law lays down the rules relating to:</w:t>
      </w:r>
    </w:p>
    <w:p w:rsidR="0004569A" w:rsidRPr="007647A8" w:rsidRDefault="0004569A" w:rsidP="002A39C9">
      <w:pPr>
        <w:pStyle w:val="Paragrafi"/>
        <w:spacing w:line="276" w:lineRule="auto"/>
        <w:rPr>
          <w:rFonts w:ascii="Times New Roman" w:hAnsi="Times New Roman"/>
          <w:sz w:val="24"/>
          <w:szCs w:val="24"/>
        </w:rPr>
      </w:pPr>
      <w:r>
        <w:rPr>
          <w:rFonts w:ascii="Times New Roman" w:hAnsi="Times New Roman"/>
          <w:sz w:val="24"/>
          <w:szCs w:val="24"/>
        </w:rPr>
        <w:t>a) the measures applied, at national level, to sectors exposed to money laundering, terrorist financing and financing of the proliferation of weapons of mass destruction;</w:t>
      </w:r>
    </w:p>
    <w:p w:rsidR="0004569A" w:rsidRPr="007647A8" w:rsidRDefault="0004569A" w:rsidP="002A39C9">
      <w:pPr>
        <w:pStyle w:val="ListParagraph"/>
        <w:tabs>
          <w:tab w:val="left" w:pos="0"/>
        </w:tabs>
        <w:snapToGrid w:val="0"/>
        <w:spacing w:after="0"/>
        <w:ind w:left="0" w:firstLine="0"/>
        <w:rPr>
          <w:rFonts w:ascii="Times New Roman" w:hAnsi="Times New Roman" w:cs="Times New Roman"/>
          <w:b/>
          <w:sz w:val="24"/>
          <w:szCs w:val="24"/>
        </w:rPr>
      </w:pPr>
      <w:r>
        <w:rPr>
          <w:rFonts w:ascii="Times New Roman" w:hAnsi="Times New Roman" w:cs="Times New Roman"/>
          <w:sz w:val="24"/>
          <w:szCs w:val="24"/>
        </w:rPr>
        <w:tab/>
        <w:t>b) the requirements regarding the registration, identification and verification of senior management and beneficial owners of obliged entities;</w:t>
      </w:r>
    </w:p>
    <w:p w:rsidR="004B2EBE" w:rsidRPr="007647A8" w:rsidRDefault="0004569A" w:rsidP="002A39C9">
      <w:pPr>
        <w:pStyle w:val="ListParagraph"/>
        <w:tabs>
          <w:tab w:val="left" w:pos="0"/>
        </w:tabs>
        <w:snapToGrid w:val="0"/>
        <w:spacing w:after="0"/>
        <w:ind w:left="0" w:firstLine="0"/>
        <w:rPr>
          <w:rFonts w:ascii="Times New Roman" w:hAnsi="Times New Roman" w:cs="Times New Roman"/>
          <w:b/>
          <w:sz w:val="24"/>
          <w:szCs w:val="24"/>
        </w:rPr>
      </w:pPr>
      <w:r w:rsidRPr="007647A8">
        <w:rPr>
          <w:rFonts w:ascii="Times New Roman" w:hAnsi="Times New Roman" w:cs="Times New Roman"/>
          <w:b/>
          <w:sz w:val="24"/>
          <w:szCs w:val="24"/>
        </w:rPr>
        <w:tab/>
      </w:r>
      <w:r>
        <w:rPr>
          <w:rFonts w:ascii="Times New Roman" w:hAnsi="Times New Roman" w:cs="Times New Roman"/>
          <w:sz w:val="24"/>
          <w:szCs w:val="24"/>
        </w:rPr>
        <w:t>c)</w:t>
      </w:r>
      <w:r>
        <w:rPr>
          <w:rFonts w:ascii="Times New Roman" w:hAnsi="Times New Roman" w:cs="Times New Roman"/>
          <w:b/>
          <w:sz w:val="24"/>
          <w:szCs w:val="24"/>
        </w:rPr>
        <w:t xml:space="preserve"> </w:t>
      </w:r>
      <w:r>
        <w:rPr>
          <w:rFonts w:ascii="Times New Roman" w:hAnsi="Times New Roman" w:cs="Times New Roman"/>
          <w:sz w:val="24"/>
          <w:szCs w:val="24"/>
        </w:rPr>
        <w:t xml:space="preserve">the identification of the risks of money laundering, terrorist financing and the financing of the proliferation of weapons of mass destruction, at national level; </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Pr>
          <w:rFonts w:ascii="Times New Roman" w:hAnsi="Times New Roman" w:cs="Times New Roman"/>
          <w:sz w:val="24"/>
          <w:szCs w:val="24"/>
        </w:rPr>
        <w:t>(c) the establishment of the access system to data on immovable property and the right of access to this system;</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Pr>
          <w:rFonts w:ascii="Times New Roman" w:hAnsi="Times New Roman" w:cs="Times New Roman"/>
          <w:sz w:val="24"/>
          <w:szCs w:val="24"/>
        </w:rPr>
        <w:t>d) responsibilities, functions and duties of the Financial Intelligence Agency;</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Pr>
          <w:rFonts w:ascii="Times New Roman" w:hAnsi="Times New Roman" w:cs="Times New Roman"/>
          <w:sz w:val="24"/>
          <w:szCs w:val="24"/>
        </w:rPr>
        <w:t>(dh) responsibilities, functions and duties of the authorities charged with the supervision of obligated entities;</w:t>
      </w:r>
    </w:p>
    <w:p w:rsidR="00AF4B20" w:rsidRPr="007647A8" w:rsidRDefault="008B1BF3" w:rsidP="002A39C9">
      <w:pPr>
        <w:spacing w:after="0"/>
        <w:ind w:left="0" w:firstLine="720"/>
        <w:rPr>
          <w:rFonts w:ascii="Times New Roman" w:hAnsi="Times New Roman" w:cs="Times New Roman"/>
          <w:b/>
          <w:sz w:val="24"/>
          <w:szCs w:val="24"/>
        </w:rPr>
      </w:pPr>
      <w:r>
        <w:rPr>
          <w:rFonts w:ascii="Times New Roman" w:hAnsi="Times New Roman" w:cs="Times New Roman"/>
          <w:sz w:val="24"/>
          <w:szCs w:val="24"/>
        </w:rPr>
        <w:t>e) cooperation between the competent authorities, the authorities of the Member States and third countries.</w:t>
      </w:r>
    </w:p>
    <w:p w:rsidR="009C3E9A" w:rsidRPr="007647A8" w:rsidRDefault="009C3E9A" w:rsidP="002A39C9">
      <w:pPr>
        <w:spacing w:after="0"/>
        <w:ind w:left="1069" w:firstLine="0"/>
        <w:rPr>
          <w:rFonts w:ascii="Times New Roman" w:hAnsi="Times New Roman" w:cs="Times New Roman"/>
          <w:sz w:val="24"/>
          <w:szCs w:val="24"/>
        </w:rPr>
      </w:pPr>
    </w:p>
    <w:p w:rsidR="004B2EBE" w:rsidRPr="007647A8" w:rsidRDefault="004B2EBE" w:rsidP="002A39C9">
      <w:pPr>
        <w:widowControl w:val="0"/>
        <w:snapToGrid w:val="0"/>
        <w:spacing w:after="0"/>
        <w:jc w:val="center"/>
        <w:rPr>
          <w:rFonts w:ascii="Times New Roman" w:hAnsi="Times New Roman" w:cs="Times New Roman"/>
          <w:sz w:val="24"/>
          <w:szCs w:val="24"/>
        </w:rPr>
      </w:pPr>
      <w:r>
        <w:rPr>
          <w:rFonts w:ascii="Times New Roman" w:hAnsi="Times New Roman" w:cs="Times New Roman"/>
          <w:sz w:val="24"/>
          <w:szCs w:val="24"/>
        </w:rPr>
        <w:t>Article 4</w:t>
      </w:r>
    </w:p>
    <w:p w:rsidR="004B2EBE" w:rsidRPr="007647A8" w:rsidRDefault="00AF4B20" w:rsidP="002A39C9">
      <w:pPr>
        <w:widowControl w:val="0"/>
        <w:spacing w:after="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Definitions</w:t>
      </w:r>
    </w:p>
    <w:p w:rsidR="00A31AA0" w:rsidRPr="007647A8" w:rsidRDefault="00A31AA0" w:rsidP="002A39C9">
      <w:pPr>
        <w:widowControl w:val="0"/>
        <w:spacing w:after="0"/>
        <w:rPr>
          <w:rFonts w:ascii="Times New Roman" w:hAnsi="Times New Roman" w:cs="Times New Roman"/>
          <w:sz w:val="24"/>
          <w:szCs w:val="24"/>
        </w:rPr>
      </w:pPr>
    </w:p>
    <w:p w:rsidR="00A31AA0" w:rsidRPr="007647A8" w:rsidRDefault="006A215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For the purposes of the implementation of Part I of this law, the definitions set out in Part II, Part III and Part IV of this law shall apply, as well as the following definitions:</w:t>
      </w:r>
    </w:p>
    <w:p w:rsidR="00044918" w:rsidRPr="007647A8" w:rsidRDefault="00044918" w:rsidP="002A39C9">
      <w:pPr>
        <w:pStyle w:val="Paragrafi"/>
        <w:spacing w:line="276" w:lineRule="auto"/>
        <w:rPr>
          <w:rFonts w:ascii="Times New Roman" w:hAnsi="Times New Roman"/>
          <w:sz w:val="24"/>
          <w:szCs w:val="24"/>
        </w:rPr>
      </w:pPr>
      <w:r>
        <w:rPr>
          <w:rFonts w:ascii="Times New Roman" w:hAnsi="Times New Roman"/>
          <w:sz w:val="24"/>
          <w:szCs w:val="24"/>
        </w:rPr>
        <w:t xml:space="preserve">1. ““responsible authority” is the Financial Intelligence Agency (AIF), an institution under the authority of the minister responsible for finance, acts as the financial intelligence unit of the Republic of Albania and enjoys operational independence in the exercise of its competences; </w:t>
      </w:r>
    </w:p>
    <w:p w:rsidR="0006544D" w:rsidRPr="007647A8" w:rsidRDefault="0006544D" w:rsidP="002A39C9">
      <w:pPr>
        <w:pStyle w:val="Paragrafi"/>
        <w:spacing w:line="276" w:lineRule="auto"/>
        <w:rPr>
          <w:rFonts w:ascii="Times New Roman" w:hAnsi="Times New Roman"/>
          <w:sz w:val="24"/>
          <w:szCs w:val="24"/>
        </w:rPr>
      </w:pPr>
      <w:r>
        <w:rPr>
          <w:rFonts w:ascii="Times New Roman" w:hAnsi="Times New Roman"/>
          <w:sz w:val="24"/>
          <w:szCs w:val="24"/>
        </w:rPr>
        <w:t>2. “competent authority” has the meaning defined in Article 85, point 1, of this law;</w:t>
      </w:r>
    </w:p>
    <w:p w:rsidR="00D2253D" w:rsidRPr="007647A8" w:rsidRDefault="00D2253D" w:rsidP="002A39C9">
      <w:pPr>
        <w:pStyle w:val="Paragrafi"/>
        <w:spacing w:line="276" w:lineRule="auto"/>
        <w:rPr>
          <w:rFonts w:ascii="Times New Roman" w:hAnsi="Times New Roman"/>
          <w:sz w:val="24"/>
          <w:szCs w:val="24"/>
        </w:rPr>
      </w:pPr>
      <w:r>
        <w:rPr>
          <w:rFonts w:ascii="Times New Roman" w:hAnsi="Times New Roman"/>
          <w:sz w:val="24"/>
          <w:szCs w:val="24"/>
        </w:rPr>
        <w:t>3. “supervisory authority” has the meaning defined in Article 85, point 3, of this law;</w:t>
      </w:r>
    </w:p>
    <w:p w:rsidR="00350904" w:rsidRPr="007647A8" w:rsidRDefault="00114207" w:rsidP="002A39C9">
      <w:pPr>
        <w:pStyle w:val="Paragrafi"/>
        <w:spacing w:line="276" w:lineRule="auto"/>
        <w:rPr>
          <w:rFonts w:ascii="Times New Roman" w:hAnsi="Times New Roman"/>
          <w:sz w:val="24"/>
          <w:szCs w:val="24"/>
        </w:rPr>
      </w:pPr>
      <w:r>
        <w:rPr>
          <w:rFonts w:ascii="Times New Roman" w:hAnsi="Times New Roman"/>
          <w:sz w:val="24"/>
          <w:szCs w:val="24"/>
        </w:rPr>
        <w:t>4. “customs authorities” means the public authorities responsible for customs administration and control, as well as the competent authorities for the control of the cross-border movement of monetary instruments, in accordance with this law and the relevant legislation in force on customs;</w:t>
      </w:r>
    </w:p>
    <w:p w:rsidR="00CB3C11" w:rsidRPr="007647A8" w:rsidRDefault="00114207"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5. “AMLA" is the European Authority for the Prevention of Money Laundering and Terrorist Financing;</w:t>
      </w:r>
    </w:p>
    <w:p w:rsidR="00114207" w:rsidRPr="007647A8" w:rsidRDefault="00114207" w:rsidP="002A39C9">
      <w:pPr>
        <w:pStyle w:val="Paragrafi"/>
        <w:spacing w:line="276" w:lineRule="auto"/>
        <w:rPr>
          <w:rFonts w:ascii="Times New Roman" w:hAnsi="Times New Roman"/>
          <w:sz w:val="24"/>
          <w:szCs w:val="24"/>
        </w:rPr>
      </w:pPr>
      <w:r>
        <w:rPr>
          <w:rFonts w:ascii="Times New Roman" w:hAnsi="Times New Roman"/>
          <w:sz w:val="24"/>
          <w:szCs w:val="24"/>
          <w:lang w:bidi="en-US"/>
        </w:rPr>
        <w:t>6. “supervisor” has the meaning defined in Article 85, point 2;</w:t>
      </w:r>
    </w:p>
    <w:p w:rsidR="00114207"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7. “financial supervisor” means the public authority responsible for the supervision of credit institutions and financial institutions, in accordance with this law and the sectoral legislation in force;</w:t>
      </w:r>
    </w:p>
    <w:p w:rsidR="00114207"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8. “non-financial supervisor” means the public authority responsible for the supervision of entities of the non-financial sector, in accordance with this law and the sectoral legislation in force;</w:t>
      </w:r>
    </w:p>
    <w:p w:rsidR="00CB3C11" w:rsidRPr="007647A8" w:rsidRDefault="00114207"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 xml:space="preserve">9. </w:t>
      </w:r>
      <w:r>
        <w:rPr>
          <w:rFonts w:ascii="Times New Roman" w:eastAsia="MS Mincho" w:hAnsi="Times New Roman"/>
          <w:sz w:val="24"/>
          <w:szCs w:val="24"/>
        </w:rPr>
        <w:t>“financing of the proliferation of weapons</w:t>
      </w:r>
      <w:r>
        <w:rPr>
          <w:rFonts w:ascii="Times New Roman" w:hAnsi="Times New Roman" w:cs="Times New Roman"/>
          <w:sz w:val="24"/>
          <w:szCs w:val="24"/>
          <w:lang w:bidi="en-US"/>
        </w:rPr>
        <w:t xml:space="preserve"> of mass destruction” means the provision of funds or financial services that are used for the manufacture, acquisition, possession, development, export, transport, brokering transport, brokerage, transfer, stockpiling or use of chemical, biological, radiological or nuclear weapons, their means of delivery and materials related to them;</w:t>
      </w:r>
    </w:p>
    <w:p w:rsidR="00DB525F"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10. “Financial Action Task Force (FATF)” is an intergovernmental body, whose responsibility is to set standards and promote the effective implementation of legal, regulatory and operational measures for the fight against money laundering, terrorist financing, financing of the proliferation of weapons of mass destruction and other threats related to the integrity of the international financial system;</w:t>
      </w:r>
    </w:p>
    <w:p w:rsidR="00910962"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11. “supervisory college for AML/CFT” means a permanent structure of cooperation and exchange of information for the purposes of the supervision of a group or entity operating in a host Member State or in a third country;</w:t>
      </w:r>
    </w:p>
    <w:p w:rsidR="0067290D"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12. “securities account” has the same meaning as the definition given in the legislation in force regulating capital markets;</w:t>
      </w:r>
    </w:p>
    <w:p w:rsidR="008F5A1E" w:rsidRPr="007647A8" w:rsidRDefault="0067290D"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13. “counterpart financial intelligence unit” means the financial intelligence unit of a Member State or third country that acts in accordance with FATF international standards and the principles of the Egmont Group;</w:t>
      </w:r>
    </w:p>
    <w:p w:rsidR="00DB525F" w:rsidRPr="007647A8" w:rsidRDefault="008F5A1E"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 xml:space="preserve">14. “virtual asset” means a digital representation of a value or of a right that can be stored, traded or transferred in digital form </w:t>
      </w:r>
      <w:r>
        <w:rPr>
          <w:rFonts w:ascii="Times New Roman" w:hAnsi="Times New Roman" w:cs="Times New Roman"/>
          <w:sz w:val="24"/>
          <w:szCs w:val="24"/>
        </w:rPr>
        <w:t>and is stored electronically using distributed ledger technology (DLT) or similar technology</w:t>
      </w:r>
      <w:r>
        <w:rPr>
          <w:rFonts w:ascii="Times New Roman" w:hAnsi="Times New Roman" w:cs="Times New Roman"/>
          <w:sz w:val="24"/>
          <w:szCs w:val="24"/>
          <w:lang w:bidi="en-US"/>
        </w:rPr>
        <w:t>, as well as that can be used for payment or investment purposes, or as a means of exchange, including but not limited to crypto-assets. This definition does not include digital representations of currencies officially recognised as issued or guaranteed by central banks or a public authority, of securities and other financial instruments provided for by the legislation in force;</w:t>
      </w:r>
    </w:p>
    <w:p w:rsidR="00910962" w:rsidRPr="007647A8" w:rsidRDefault="008F5A1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15. “virtual asset service provider” means any natural or legal person, who conducts, for or on behalf of another natural or legal person, one or more of the following activities: </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i) exchange between virtual assets and officially recognised currencies; </w:t>
      </w:r>
    </w:p>
    <w:p w:rsidR="00910962" w:rsidRPr="007647A8" w:rsidRDefault="00910962"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rPr>
        <w:t>ii) exchange between virtual means and property of any kind with a value over 1 000 000 (one million) lek;</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iii) exchange between one or more forms of virtual means; </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iv) transfer of virtual assets; </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v) safekeeping and/or administration of virtual assets or instruments enabling control over virtual assets; </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vi) participation in and provision of financial services related to the offer and/or sale of a virtual instrument by an issuer.</w:t>
      </w:r>
    </w:p>
    <w:p w:rsidR="00910962"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Within the meaning of this point, transfer means carrying out the transaction on behalf of another natural or legal person, who moves the virtual asset from the virtual asset address or account of another person;</w:t>
      </w:r>
    </w:p>
    <w:p w:rsidR="003C539E" w:rsidRPr="007647A8" w:rsidRDefault="0091096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16. “self-regulatory body” has the meaning defined in Article 85, point 4, of this law;</w:t>
      </w:r>
    </w:p>
    <w:p w:rsidR="00910962" w:rsidRPr="007647A8" w:rsidRDefault="008F5A1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17. "draft national measure" means the text of an act, regardless of its form, which is in the preparatory phase and which after adoption produces legal effects, while at this stage substantial changes to its content are still possible;</w:t>
      </w:r>
    </w:p>
    <w:p w:rsidR="008571C3" w:rsidRPr="007647A8" w:rsidRDefault="00114207"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18. “AML/CFT” means the prevention of money laundering and terrorist financing;</w:t>
      </w:r>
    </w:p>
    <w:p w:rsidR="00910962" w:rsidRPr="007647A8" w:rsidRDefault="008F5A1E" w:rsidP="002A39C9">
      <w:pPr>
        <w:widowControl w:val="0"/>
        <w:spacing w:after="0"/>
        <w:ind w:left="0" w:firstLine="709"/>
        <w:rPr>
          <w:rFonts w:ascii="Times New Roman" w:hAnsi="Times New Roman" w:cs="Times New Roman"/>
          <w:sz w:val="24"/>
          <w:szCs w:val="24"/>
          <w:lang w:bidi="en-US"/>
        </w:rPr>
      </w:pPr>
      <w:r>
        <w:rPr>
          <w:rFonts w:ascii="Times New Roman" w:hAnsi="Times New Roman" w:cs="Times New Roman"/>
          <w:sz w:val="24"/>
          <w:szCs w:val="24"/>
          <w:lang w:bidi="en-US"/>
        </w:rPr>
        <w:t>19. “AML/CFT/CPF” means the prevention of money laundering, terrorist financing and the financing of the proliferation of weapons of mass destruction;</w:t>
      </w:r>
    </w:p>
    <w:p w:rsidR="00910962" w:rsidRPr="007647A8" w:rsidRDefault="008F5A1E" w:rsidP="002A39C9">
      <w:pPr>
        <w:pStyle w:val="NeniNr"/>
        <w:spacing w:line="276" w:lineRule="auto"/>
        <w:ind w:firstLine="720"/>
        <w:jc w:val="both"/>
        <w:rPr>
          <w:rFonts w:ascii="Times New Roman" w:eastAsia="MS Mincho" w:hAnsi="Times New Roman"/>
          <w:sz w:val="24"/>
          <w:szCs w:val="24"/>
          <w:lang w:val="en-US"/>
        </w:rPr>
      </w:pPr>
      <w:r>
        <w:rPr>
          <w:rFonts w:ascii="Times New Roman" w:hAnsi="Times New Roman"/>
          <w:sz w:val="24"/>
          <w:szCs w:val="24"/>
          <w:lang w:val="en-US"/>
        </w:rPr>
        <w:t>20. “Part I” means the first part of the law, which sets out the national measures and mechanisms for the prevention of money laundering, terrorist financing and the financing of the proliferation of weapons of mass destruction, from Article 3 to Article 83 of this law;</w:t>
      </w:r>
    </w:p>
    <w:p w:rsidR="00910962" w:rsidRPr="007647A8" w:rsidRDefault="008F5A1E"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21. “Part II” means the second part of the law, which sets out the measures that are applied by obliged entities for the prevention of money laundering, the financing of terrorism and the financing of the proliferation of weapons of mass destruction, from Article 84 to Article 147 of this law;</w:t>
      </w:r>
    </w:p>
    <w:p w:rsidR="00910962" w:rsidRPr="007647A8" w:rsidRDefault="008F5A1E"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22. “Part III” means the third part of the law, which sets out the information accompanying transfers of funds and certain crypto-assets, from Article 148 to Article 183 of this law;</w:t>
      </w:r>
    </w:p>
    <w:p w:rsidR="00910962" w:rsidRPr="007647A8" w:rsidRDefault="00503F88" w:rsidP="002A39C9">
      <w:pPr>
        <w:pStyle w:val="NeniNr"/>
        <w:spacing w:line="276" w:lineRule="auto"/>
        <w:ind w:firstLine="720"/>
        <w:jc w:val="both"/>
        <w:rPr>
          <w:rFonts w:ascii="Times New Roman" w:eastAsia="MS Mincho" w:hAnsi="Times New Roman"/>
          <w:sz w:val="24"/>
          <w:szCs w:val="24"/>
          <w:lang w:val="en-US"/>
        </w:rPr>
      </w:pPr>
      <w:r>
        <w:rPr>
          <w:rFonts w:ascii="Times New Roman" w:eastAsia="MS Mincho" w:hAnsi="Times New Roman"/>
          <w:sz w:val="24"/>
          <w:szCs w:val="24"/>
          <w:lang w:val="en-US"/>
        </w:rPr>
        <w:t>23. “Part IV” means the fourth part of the law, which determines the control of monetary instruments entering or leaving the Republic of Albania, from Article 184 to Article 199;</w:t>
      </w:r>
    </w:p>
    <w:p w:rsidR="00A31AA0" w:rsidRPr="007647A8" w:rsidRDefault="0011420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24. “non-financial sector” means the obliged entities defined in Article 86, point 3 of this law; </w:t>
      </w:r>
    </w:p>
    <w:p w:rsidR="00A31AA0" w:rsidRPr="007647A8" w:rsidRDefault="0067290D"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25. “obliged entity” means any natural person or legal person, defined in Article 86 of this law, that is subject to obligations for the prevention of money laundering, terrorist financing and financing of the proliferation of weapons of mass destruction, except for cases expressly excluded under this law in accordance with Articles 87, 88, 89;</w:t>
      </w:r>
    </w:p>
    <w:p w:rsidR="006950CD" w:rsidRPr="007647A8" w:rsidRDefault="0067290D"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26. "home Member State" means the Member State in which the registered office of the obliged entity is located or, if the obliged entity has no registered office, the Member State in which its head office is located.</w:t>
      </w:r>
    </w:p>
    <w:p w:rsidR="001810EC" w:rsidRPr="007647A8" w:rsidRDefault="0067290D"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27.  “host Member State” means a Member State, other than the home Member State, in which the obliged entity operates through establishment of activity, such as a subsidiary or a branch, or where the obliged entity operates under the freedom to provide services without a form of presence or physical establishment; </w:t>
      </w:r>
    </w:p>
    <w:p w:rsidR="00A0068A" w:rsidRPr="007647A8" w:rsidRDefault="0067290D"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28. “Member State” means any state which, according to the legislation of the European Union in force, has the status of a Member State of the European Union;</w:t>
      </w:r>
    </w:p>
    <w:p w:rsidR="00C51B10" w:rsidRPr="007647A8" w:rsidRDefault="0067290D"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29. “securities” are financial instruments, according to the definition of the legislation in force governing the capital markets;</w:t>
      </w:r>
    </w:p>
    <w:p w:rsidR="00C51B10" w:rsidRPr="007647A8" w:rsidRDefault="008F5A1E"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30. “third countries” means any state or jurisdiction according to the definitions in Article 85, point 70 of this law.</w:t>
      </w:r>
    </w:p>
    <w:p w:rsidR="00285E93" w:rsidRPr="007647A8" w:rsidRDefault="00285E93" w:rsidP="002A39C9">
      <w:pPr>
        <w:widowControl w:val="0"/>
        <w:spacing w:after="0"/>
        <w:ind w:left="0" w:firstLine="709"/>
        <w:rPr>
          <w:rFonts w:ascii="Times New Roman" w:hAnsi="Times New Roman" w:cs="Times New Roman"/>
          <w:sz w:val="24"/>
          <w:szCs w:val="24"/>
          <w:lang w:bidi="en-US"/>
        </w:rPr>
      </w:pPr>
    </w:p>
    <w:p w:rsidR="00D93CF7" w:rsidRPr="007647A8" w:rsidRDefault="00D93CF7" w:rsidP="002A39C9">
      <w:pPr>
        <w:widowControl w:val="0"/>
        <w:spacing w:after="0"/>
        <w:ind w:left="0" w:firstLine="0"/>
        <w:jc w:val="center"/>
        <w:rPr>
          <w:rFonts w:ascii="Times New Roman" w:hAnsi="Times New Roman" w:cs="Times New Roman"/>
          <w:sz w:val="24"/>
          <w:szCs w:val="24"/>
        </w:rPr>
      </w:pPr>
    </w:p>
    <w:p w:rsidR="002C7B53" w:rsidRPr="007647A8" w:rsidRDefault="0063131D"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sz w:val="24"/>
          <w:szCs w:val="24"/>
        </w:rPr>
        <w:t>Section 2</w:t>
      </w:r>
      <w:r w:rsidR="00E01B9D" w:rsidRPr="007647A8">
        <w:rPr>
          <w:rFonts w:ascii="Times New Roman" w:hAnsi="Times New Roman" w:cs="Times New Roman"/>
          <w:sz w:val="24"/>
          <w:szCs w:val="24"/>
        </w:rPr>
        <w:br/>
      </w:r>
      <w:r>
        <w:rPr>
          <w:rFonts w:ascii="Times New Roman" w:hAnsi="Times New Roman" w:cs="Times New Roman"/>
          <w:b/>
          <w:sz w:val="24"/>
          <w:szCs w:val="24"/>
        </w:rPr>
        <w:t>National measures for sectors exposed to the risk of money laundering and terrorist financing</w:t>
      </w:r>
    </w:p>
    <w:p w:rsidR="00E01B9D" w:rsidRPr="007647A8" w:rsidRDefault="00E01B9D" w:rsidP="002A39C9">
      <w:pPr>
        <w:widowControl w:val="0"/>
        <w:spacing w:after="0"/>
        <w:ind w:left="0" w:firstLine="0"/>
        <w:jc w:val="center"/>
        <w:rPr>
          <w:rFonts w:ascii="Times New Roman" w:hAnsi="Times New Roman" w:cs="Times New Roman"/>
          <w:sz w:val="24"/>
          <w:szCs w:val="24"/>
        </w:rPr>
      </w:pPr>
    </w:p>
    <w:p w:rsidR="00A769A7" w:rsidRPr="007647A8" w:rsidRDefault="00A769A7" w:rsidP="002A39C9">
      <w:pPr>
        <w:widowControl w:val="0"/>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Article 5</w:t>
      </w:r>
    </w:p>
    <w:p w:rsidR="00A769A7" w:rsidRPr="007647A8" w:rsidRDefault="00E143F2" w:rsidP="002A39C9">
      <w:pPr>
        <w:widowControl w:val="0"/>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Identification of sectors exposed at national level</w:t>
      </w:r>
    </w:p>
    <w:p w:rsidR="00E143F2" w:rsidRPr="007647A8" w:rsidRDefault="00E143F2" w:rsidP="002A39C9">
      <w:pPr>
        <w:widowControl w:val="0"/>
        <w:spacing w:after="0"/>
        <w:ind w:left="0" w:firstLine="0"/>
        <w:jc w:val="center"/>
        <w:rPr>
          <w:rFonts w:ascii="Times New Roman" w:hAnsi="Times New Roman" w:cs="Times New Roman"/>
          <w:sz w:val="24"/>
          <w:szCs w:val="24"/>
        </w:rPr>
      </w:pPr>
    </w:p>
    <w:p w:rsidR="00A769A7" w:rsidRPr="007647A8" w:rsidRDefault="00A769A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1. When the competent authorities identify, on the basis of the national risk assessment, sectoral analyses, findings of the supervisory authorities or other available information, that other entities or sectors, in addition to obliged entities, are exposed to the risks of money laundering, terrorist financing or the financing of the proliferation of weapons of mass destruction, they prepare the analysis provided for in point 2 of this article and propose to the Coordination Committee for the Fight Against Money Laundering the implementation of national measures towards these entities or sectors, by determining the implementation of all or part of the measures provided for in Part II of this law. </w:t>
      </w:r>
    </w:p>
    <w:p w:rsidR="00F71C3E" w:rsidRPr="007647A8" w:rsidRDefault="00DF2FDB"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 For the purposes of the implementation of point 1 of this Article, the competent authorities prepare a special and reasoned analysis, which includes:</w:t>
      </w:r>
    </w:p>
    <w:p w:rsidR="00F71C3E" w:rsidRPr="007647A8" w:rsidRDefault="00F71C3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reasoning supporting the finding that the identified risks require the application of measures also to additional entities and sectors;</w:t>
      </w:r>
    </w:p>
    <w:p w:rsidR="00F71C3E" w:rsidRPr="007647A8" w:rsidRDefault="00F71C3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the assessment of the impact that the implementation of the measures will have on the provision of services within the internal market;</w:t>
      </w:r>
    </w:p>
    <w:p w:rsidR="003B28B6" w:rsidRPr="007647A8" w:rsidRDefault="00F71C3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the measures of Part II of this law that are proposed to be applied to these additional entities or sectors;</w:t>
      </w:r>
    </w:p>
    <w:p w:rsidR="00F71C3E" w:rsidRPr="007647A8" w:rsidRDefault="00FD0F23"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d) the text of the draft national measures, as well as any substantial amendment thereto relating to the field of application, content or method of implementation. </w:t>
      </w:r>
    </w:p>
    <w:p w:rsidR="00F71C3E" w:rsidRPr="007647A8" w:rsidRDefault="00DF2FDB"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3. The proposal for the implementation of national measures is subject to a specific assessment by the competent authorities that are part of the Coordination Committee for the Fight Against Money Laundering, in cooperation with the respective supervisory authorities to assess whether:</w:t>
      </w:r>
    </w:p>
    <w:p w:rsidR="00F71C3E" w:rsidRPr="007647A8" w:rsidRDefault="00F71C3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proposed measures are appropriate and sufficient for addressing the identified risks, especially when these risks are related to the internal market;</w:t>
      </w:r>
    </w:p>
    <w:p w:rsidR="00EC670D" w:rsidRPr="007647A8" w:rsidRDefault="00053F9B"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the proposed measures may create obstacles to the free movement of services or capital or to the freedom of establishment of payment service providers within the internal market, which are not proportionate to the risks of money laundering and terrorist financing that these measures aim to mitigate.</w:t>
      </w:r>
    </w:p>
    <w:p w:rsidR="00F71C3E" w:rsidRPr="007647A8" w:rsidRDefault="00151D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At the conclusion of the assessment, a reasoned analysis is drawn up, which is submitted to the Coordination Committee for the Fight Against Money Laundering and is taken into consideration before the decision is made on the proposal of measures.</w:t>
      </w:r>
    </w:p>
    <w:p w:rsidR="00D41B63" w:rsidRPr="00D41B63" w:rsidRDefault="00FE1EA6" w:rsidP="00D41B63">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4. The taking of the decision by the Coordination Committee for the Fight Against Money Laundering on the proposal of national measures is postponed for a six-month period from the date of submission of the proposal according to point 1 of this article.</w:t>
      </w:r>
    </w:p>
    <w:p w:rsidR="00FE1EA6" w:rsidRPr="007647A8" w:rsidRDefault="00D41B63" w:rsidP="00D41B63">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deadline provided for in the first paragraph of this point shall not apply when the national measures aim to address a serious and immediate risk of money laundering, terrorist financing or the financing of the proliferation of weapons of mass destruction. In this case, the Committee's decision shall be accompanied by a specific statement of reasons justifying the non-application of the postponement period.</w:t>
      </w:r>
    </w:p>
    <w:p w:rsidR="00FA3BCE" w:rsidRPr="00FA3BCE" w:rsidRDefault="00DB1165" w:rsidP="00FA3BCE">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5. Where, before the entry into force of this law, national provisions have provided for the implementation of measures for the prevention of money laundering and terrorist financing also in relation to other entities or sectors, in addition to the obliged entities specified in this law, these measures shall continue to apply to them as well.</w:t>
      </w:r>
    </w:p>
    <w:p w:rsidR="00944AAA" w:rsidRPr="007647A8" w:rsidRDefault="00FA3BCE" w:rsidP="00FA3BCE">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continuation of the implementation of these measures is based on an updated and reasoned risk assessment, which justifies the exposure of the relevant entities or sectors to the risks of money laundering, terrorist financing or the financing of the proliferation of weapons of mass destruction. The measures implemented under this point are subject to the assessment provided for in point 3 of this Article.</w:t>
      </w:r>
    </w:p>
    <w:p w:rsidR="00DF788A" w:rsidRPr="007647A8" w:rsidRDefault="00A1794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6. The national measures provided for in this Article shall be adopted by law, which clearly defines the entities or sectors to which these measures apply.</w:t>
      </w:r>
    </w:p>
    <w:p w:rsidR="009114A2" w:rsidRPr="007647A8" w:rsidRDefault="009114A2" w:rsidP="002A39C9">
      <w:pPr>
        <w:widowControl w:val="0"/>
        <w:spacing w:after="0"/>
        <w:ind w:left="0" w:firstLine="709"/>
        <w:rPr>
          <w:rFonts w:ascii="Times New Roman" w:hAnsi="Times New Roman" w:cs="Times New Roman"/>
          <w:sz w:val="24"/>
          <w:szCs w:val="24"/>
        </w:rPr>
      </w:pPr>
    </w:p>
    <w:p w:rsidR="002C7B53" w:rsidRPr="007647A8" w:rsidRDefault="002C7B53" w:rsidP="002A39C9">
      <w:pPr>
        <w:widowControl w:val="0"/>
        <w:spacing w:after="0"/>
        <w:ind w:left="0" w:firstLine="709"/>
        <w:jc w:val="center"/>
        <w:rPr>
          <w:rFonts w:ascii="Times New Roman" w:hAnsi="Times New Roman" w:cs="Times New Roman"/>
          <w:sz w:val="24"/>
          <w:szCs w:val="24"/>
        </w:rPr>
      </w:pPr>
    </w:p>
    <w:p w:rsidR="005D0CDA" w:rsidRPr="007647A8" w:rsidRDefault="005D0CDA"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6</w:t>
      </w:r>
    </w:p>
    <w:p w:rsidR="005D0CDA" w:rsidRPr="007647A8" w:rsidRDefault="00EA1BA5"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Requirements related to certain service providers</w:t>
      </w:r>
    </w:p>
    <w:p w:rsidR="000507ED" w:rsidRPr="007647A8" w:rsidRDefault="000507ED" w:rsidP="002A39C9">
      <w:pPr>
        <w:widowControl w:val="0"/>
        <w:spacing w:after="0"/>
        <w:ind w:left="0" w:firstLine="709"/>
        <w:jc w:val="center"/>
        <w:rPr>
          <w:rFonts w:ascii="Times New Roman" w:hAnsi="Times New Roman" w:cs="Times New Roman"/>
          <w:sz w:val="24"/>
          <w:szCs w:val="24"/>
        </w:rPr>
      </w:pPr>
    </w:p>
    <w:p w:rsidR="00076588" w:rsidRPr="007647A8" w:rsidRDefault="00CE705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Currency exchange offices, as well as providers of the cheque cashing service, must be registered or licensed, in accordance with the legislation in force, </w:t>
      </w:r>
      <w:r>
        <w:rPr>
          <w:rFonts w:ascii="Times New Roman" w:eastAsia="Arial Unicode MS" w:hAnsi="Times New Roman" w:cs="Times New Roman"/>
          <w:sz w:val="24"/>
          <w:szCs w:val="24"/>
          <w:lang w:bidi="en-US"/>
        </w:rPr>
        <w:t>be identified by the supervisory authorities and be subject to their supervision.</w:t>
      </w:r>
    </w:p>
    <w:p w:rsidR="00076588" w:rsidRPr="007647A8" w:rsidRDefault="005D0C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eastAsia="Arial Unicode MS" w:hAnsi="Times New Roman" w:cs="Times New Roman"/>
          <w:sz w:val="24"/>
          <w:szCs w:val="24"/>
          <w:lang w:bidi="en-US"/>
        </w:rPr>
        <w:t>Trust or company service providers must be registered or licensed, in accordance with the legislation in force, be identified by the supervisory authorities and be subject to their supervision.</w:t>
      </w:r>
    </w:p>
    <w:p w:rsidR="00076588" w:rsidRPr="007647A8" w:rsidRDefault="00CE705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Providers of gambling services must be regulated, registered or licensed, in accordance with the legislation in force, </w:t>
      </w:r>
      <w:r>
        <w:rPr>
          <w:rFonts w:ascii="Times New Roman" w:eastAsia="Arial Unicode MS" w:hAnsi="Times New Roman" w:cs="Times New Roman"/>
          <w:sz w:val="24"/>
          <w:szCs w:val="24"/>
          <w:lang w:bidi="en-US"/>
        </w:rPr>
        <w:t>be identified by the supervisory authorities and be subject to their supervision.</w:t>
      </w:r>
    </w:p>
    <w:p w:rsidR="003B7D43" w:rsidRPr="007647A8" w:rsidRDefault="003B7D4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Obliged entities, except for those provided for in points 1, 2 and 3 of this Article, shall be subject to minimum registration requirements, which enable supervisors to identify them and exercise supervision over them.</w:t>
      </w:r>
    </w:p>
    <w:p w:rsidR="00076588" w:rsidRPr="007647A8" w:rsidRDefault="003B7D4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minimum requirements for registration, according to point 4 of this article, do not apply to obliged entities that are subject to licensing or registration requirements, in accordance with the legislation in force that regulates the exercise of the relevant activity or profession, when these requirements enable the supervisors to identify and exercise the su</w:t>
      </w:r>
      <w:r>
        <w:rPr>
          <w:rFonts w:ascii="Times New Roman" w:eastAsia="Arial Unicode MS" w:hAnsi="Times New Roman" w:cs="Times New Roman"/>
          <w:sz w:val="24"/>
          <w:szCs w:val="24"/>
          <w:lang w:bidi="en-US"/>
        </w:rPr>
        <w:t>pervision over them.</w:t>
      </w:r>
    </w:p>
    <w:p w:rsidR="003E2AEF" w:rsidRPr="007647A8" w:rsidRDefault="003E2AEF" w:rsidP="002A39C9">
      <w:pPr>
        <w:widowControl w:val="0"/>
        <w:spacing w:after="0"/>
        <w:ind w:left="0" w:firstLine="720"/>
        <w:rPr>
          <w:rFonts w:ascii="Times New Roman" w:hAnsi="Times New Roman" w:cs="Times New Roman"/>
          <w:sz w:val="24"/>
          <w:szCs w:val="24"/>
        </w:rPr>
      </w:pPr>
    </w:p>
    <w:p w:rsidR="0058753B" w:rsidRPr="007647A8" w:rsidRDefault="0058753B" w:rsidP="002A39C9">
      <w:pPr>
        <w:widowControl w:val="0"/>
        <w:spacing w:after="0"/>
        <w:ind w:left="0" w:firstLine="709"/>
        <w:rPr>
          <w:rFonts w:ascii="Times New Roman" w:hAnsi="Times New Roman" w:cs="Times New Roman"/>
          <w:sz w:val="24"/>
          <w:szCs w:val="24"/>
        </w:rPr>
      </w:pPr>
    </w:p>
    <w:p w:rsidR="00E90376" w:rsidRPr="007647A8" w:rsidRDefault="00E90376" w:rsidP="002A39C9">
      <w:pPr>
        <w:widowControl w:val="0"/>
        <w:suppressAutoHyphens/>
        <w:spacing w:after="0"/>
        <w:ind w:left="0"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Article 7</w:t>
      </w:r>
    </w:p>
    <w:p w:rsidR="00E90376" w:rsidRPr="007647A8" w:rsidRDefault="00C70BC1" w:rsidP="002A39C9">
      <w:pPr>
        <w:widowControl w:val="0"/>
        <w:suppressAutoHyphens/>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Implementation of measures related to the granting of residence rights in exchange for investments</w:t>
      </w:r>
    </w:p>
    <w:p w:rsidR="00E90376" w:rsidRPr="007647A8" w:rsidRDefault="00E90376" w:rsidP="002A39C9">
      <w:pPr>
        <w:widowControl w:val="0"/>
        <w:spacing w:after="0"/>
        <w:ind w:left="0" w:firstLine="709"/>
        <w:jc w:val="center"/>
        <w:rPr>
          <w:rFonts w:ascii="Times New Roman" w:hAnsi="Times New Roman" w:cs="Times New Roman"/>
          <w:sz w:val="24"/>
          <w:szCs w:val="24"/>
        </w:rPr>
      </w:pP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1. The competent authority responsible for granting residence rights, where the legislation in force provides for the possibility of granting these rights in exchange for investment, including, among other things, the transfer of capital, the purchase or leasing of immovable property, investment in public debt securities, investment in commercial companies, the donation or financing of activities in the public interest, the establishment of a fund for an activity that contributes to the public good, as well as contributions to the state budget, applies the necessary measures for the prevention and mitigation of the risks of money laundering and related criminal offences, terrorist financing and the financing of the proliferation of weapons of mass destruction, which include at least: </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risk management process that includes the identification, classification and mitigation of risks, which is coordinated by the competent authority responsible for granting residence rights;</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measures for the mitigation of the risks of money laundering and criminal offences related thereto, terrorist financing or financing of the proliferation of weapons of mass destruction, related to applicants for the granting of residence rights in exchange for investments, which include, among others:</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 verification of the applicant's profile by the competent authority responsible for granting residence rights, including obtaining information on the source of the applicant's funds and the source of the applicant's property;</w:t>
      </w:r>
    </w:p>
    <w:p w:rsidR="007D15F2"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 verification of the information on the applicants against the information held by the competent authorities according to the definitions in Article 85, paragraph 1, letters “a” and “c”, of this law, in compliance with the criminal procedural legislation in force;</w:t>
      </w:r>
    </w:p>
    <w:p w:rsidR="00E90376" w:rsidRPr="007647A8" w:rsidRDefault="007D15F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iii. verification against the lists of designated persons and entities that are subject to restrictive financial measures pursuant to the legislation in force;</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iv. periodic reviews of applicants assessed as medium and high risk.</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 The implementation of the risk management process provided for in point 1, letter “a” of this Article shall be subject to continuous monitoring and shall be assessed at least once a year.</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3. The measures provided for in point 1 of this article shall be applied in accordance with the risks identified in the framework of the national risk assessment carried out in accordance with article 10 of this law.</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4. The competent authority responsible for granting residence rights shall publish every year a report on the risks of money laundering and related criminal offences, terrorist financing and the financing of the proliferation of weapons of mass destruction, related to the granting of residence rights in exchange for investments. The report shall be made public and shall contain, among other things, data relating to:</w:t>
      </w:r>
    </w:p>
    <w:p w:rsidR="00E90376" w:rsidRPr="007647A8" w:rsidRDefault="007E377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number of applications received and the states of origin of the applicants;</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the number of residence permits granted or refused, as well as the reasons for their refusal;</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any development or change identified in the risks of money laundering and criminal offences related to it, terrorist financing and financing of the proliferation of weapons of mass destruction related to the granting of residence rights in exchange for investments.</w:t>
      </w:r>
    </w:p>
    <w:p w:rsidR="00E90376" w:rsidRPr="007647A8" w:rsidRDefault="00E9037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5. The Council of Ministers, upon the proposal of the competent authority responsible for granting residence rights, decides the rules and procedures for the determination, implementation, monitoring and reporting of the measures provided for in this Article.</w:t>
      </w:r>
    </w:p>
    <w:p w:rsidR="003C7FFD" w:rsidRPr="007647A8" w:rsidRDefault="003C7FFD" w:rsidP="002A39C9">
      <w:pPr>
        <w:widowControl w:val="0"/>
        <w:spacing w:after="0"/>
        <w:ind w:left="0" w:firstLine="709"/>
        <w:rPr>
          <w:rFonts w:ascii="Times New Roman" w:hAnsi="Times New Roman" w:cs="Times New Roman"/>
          <w:sz w:val="24"/>
          <w:szCs w:val="24"/>
        </w:rPr>
      </w:pPr>
    </w:p>
    <w:p w:rsidR="00E55519" w:rsidRPr="007647A8" w:rsidRDefault="00E55519" w:rsidP="002A39C9">
      <w:pPr>
        <w:widowControl w:val="0"/>
        <w:spacing w:after="0"/>
        <w:ind w:left="0" w:firstLine="709"/>
        <w:jc w:val="center"/>
        <w:rPr>
          <w:rFonts w:ascii="Times New Roman" w:hAnsi="Times New Roman" w:cs="Times New Roman"/>
          <w:sz w:val="24"/>
          <w:szCs w:val="24"/>
        </w:rPr>
      </w:pPr>
      <w:r>
        <w:rPr>
          <w:rFonts w:ascii="Times New Roman" w:hAnsi="Times New Roman" w:cs="Times New Roman"/>
          <w:sz w:val="24"/>
          <w:szCs w:val="24"/>
        </w:rPr>
        <w:t>Article 8</w:t>
      </w:r>
    </w:p>
    <w:p w:rsidR="00E90376" w:rsidRPr="007647A8" w:rsidRDefault="00E55519" w:rsidP="002A39C9">
      <w:pPr>
        <w:widowControl w:val="0"/>
        <w:spacing w:after="0"/>
        <w:ind w:left="0" w:firstLine="709"/>
        <w:jc w:val="center"/>
        <w:rPr>
          <w:rFonts w:ascii="Times New Roman" w:hAnsi="Times New Roman" w:cs="Times New Roman"/>
          <w:b/>
          <w:sz w:val="24"/>
          <w:szCs w:val="24"/>
        </w:rPr>
      </w:pPr>
      <w:r>
        <w:rPr>
          <w:rFonts w:ascii="Times New Roman" w:hAnsi="Times New Roman" w:cs="Times New Roman"/>
          <w:b/>
          <w:sz w:val="24"/>
          <w:szCs w:val="24"/>
        </w:rPr>
        <w:t>Verification of the integrity and suitability of senior management and beneficial owners of certain categories of obliged entities</w:t>
      </w:r>
    </w:p>
    <w:p w:rsidR="00E55519" w:rsidRPr="007647A8" w:rsidRDefault="00E55519" w:rsidP="002A39C9">
      <w:pPr>
        <w:widowControl w:val="0"/>
        <w:spacing w:after="0"/>
        <w:rPr>
          <w:rFonts w:ascii="Times New Roman" w:hAnsi="Times New Roman" w:cs="Times New Roman"/>
          <w:b/>
          <w:sz w:val="24"/>
          <w:szCs w:val="24"/>
        </w:rPr>
      </w:pPr>
    </w:p>
    <w:p w:rsidR="00E55519" w:rsidRPr="007647A8" w:rsidRDefault="00E5551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Supervisors in accordance with this law and the sectoral legislation in force, verify the integrity and suitability of the members of senior management and of the beneficial owners of obliged entities provided for in Article 6, points 1, 2 and 3 of this law, as well as </w:t>
      </w:r>
      <w:r>
        <w:rPr>
          <w:rFonts w:ascii="Times New Roman" w:eastAsia="Arial Unicode MS" w:hAnsi="Times New Roman" w:cs="Times New Roman"/>
          <w:sz w:val="24"/>
          <w:szCs w:val="24"/>
          <w:lang w:bidi="en-US"/>
        </w:rPr>
        <w:t>of mixed financial holding companies</w:t>
      </w:r>
      <w:r>
        <w:rPr>
          <w:rFonts w:ascii="Times New Roman" w:hAnsi="Times New Roman" w:cs="Times New Roman"/>
          <w:sz w:val="24"/>
          <w:szCs w:val="24"/>
        </w:rPr>
        <w:t>, ensuring that:</w:t>
      </w:r>
    </w:p>
    <w:p w:rsidR="00992F4B" w:rsidRPr="007647A8" w:rsidRDefault="00E55519" w:rsidP="002A39C9">
      <w:pPr>
        <w:widowControl w:val="0"/>
        <w:spacing w:after="0"/>
        <w:ind w:hanging="11"/>
        <w:rPr>
          <w:rFonts w:ascii="Times New Roman" w:hAnsi="Times New Roman" w:cs="Times New Roman"/>
          <w:sz w:val="24"/>
          <w:szCs w:val="24"/>
        </w:rPr>
      </w:pPr>
      <w:r>
        <w:rPr>
          <w:rFonts w:ascii="Times New Roman" w:hAnsi="Times New Roman" w:cs="Times New Roman"/>
          <w:sz w:val="24"/>
          <w:szCs w:val="24"/>
        </w:rPr>
        <w:t>a) these persons enjoy a good reputation and act with honesty and integrity;</w:t>
      </w:r>
    </w:p>
    <w:p w:rsidR="00E55519" w:rsidRPr="007647A8" w:rsidRDefault="00BC17A6" w:rsidP="002A39C9">
      <w:pPr>
        <w:widowControl w:val="0"/>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b) the members of senior management possess the knowledge and experience necessary for the exercise of their functions.</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2. For obliged entities provided for in Article 86, points 3, letters “a”, “b”, “d”, “e”, “f” and “h” up to letter “o”, supervisors take the necessary administrative and supervisory measures to prevent persons convicted of the criminal offence of money laundering and criminal offences related to it, the financing of terrorism or the financing of the proliferation of weapons of mass destruction, as well as persons connected with them, known </w:t>
      </w:r>
      <w:r>
        <w:rPr>
          <w:rFonts w:ascii="Times New Roman" w:eastAsia="Arial Unicode MS" w:hAnsi="Times New Roman" w:cs="Times New Roman"/>
          <w:sz w:val="24"/>
          <w:szCs w:val="24"/>
          <w:lang w:bidi="en-US"/>
        </w:rPr>
        <w:t>as close associates</w:t>
      </w:r>
      <w:r>
        <w:rPr>
          <w:rFonts w:ascii="Times New Roman" w:hAnsi="Times New Roman" w:cs="Times New Roman"/>
          <w:sz w:val="24"/>
          <w:szCs w:val="24"/>
        </w:rPr>
        <w:t>:</w:t>
      </w:r>
    </w:p>
    <w:p w:rsidR="00E55519" w:rsidRPr="007647A8" w:rsidRDefault="00044918"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to be registered, licensed or provided with the relevant authorisation, according to the requirements of the legislation in force;</w:t>
      </w:r>
    </w:p>
    <w:p w:rsidR="00E55519" w:rsidRPr="007647A8" w:rsidRDefault="00044918" w:rsidP="002A39C9">
      <w:pPr>
        <w:widowControl w:val="0"/>
        <w:spacing w:after="0"/>
        <w:ind w:hanging="11"/>
        <w:rPr>
          <w:rFonts w:ascii="Times New Roman" w:hAnsi="Times New Roman" w:cs="Times New Roman"/>
          <w:sz w:val="24"/>
          <w:szCs w:val="24"/>
        </w:rPr>
      </w:pPr>
      <w:r>
        <w:rPr>
          <w:rFonts w:ascii="Times New Roman" w:hAnsi="Times New Roman" w:cs="Times New Roman"/>
          <w:sz w:val="24"/>
          <w:szCs w:val="24"/>
        </w:rPr>
        <w:t>b) hold high management functions;</w:t>
      </w:r>
    </w:p>
    <w:p w:rsidR="00E55519" w:rsidRPr="007647A8" w:rsidRDefault="00E940C0" w:rsidP="002A39C9">
      <w:pPr>
        <w:widowControl w:val="0"/>
        <w:spacing w:after="0"/>
        <w:ind w:hanging="11"/>
        <w:rPr>
          <w:rFonts w:ascii="Times New Roman" w:hAnsi="Times New Roman" w:cs="Times New Roman"/>
          <w:sz w:val="24"/>
          <w:szCs w:val="24"/>
        </w:rPr>
      </w:pPr>
      <w:r>
        <w:rPr>
          <w:rFonts w:ascii="Times New Roman" w:hAnsi="Times New Roman" w:cs="Times New Roman"/>
          <w:sz w:val="24"/>
          <w:szCs w:val="24"/>
        </w:rPr>
        <w:t>c) be beneficial owners of these obliged entities.</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3. Supervisors verify, continuously and in accordance with risk-based supervision, whether the requirements set out in points 1 and 2 of this article continue to be fulfilled.</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In particular, supervisors verify the integrity and suitability of the senior management of the obliged entities provided for in point 1 of this article, as regards reputation, honesty, integrity, as well as the knowledge and experience necessary for the exercise of their functions, where there are reasonable grounds to suspect that money laundering, terrorist financing or the financing of the proliferation of weapons of mass destruction has been committed, is being committed or has been attempted to be committed, or where an increased risk of money laundering, terrorist financing or the financing of the proliferation of weapons of mass destruction is identified in the obliged entity.</w:t>
      </w:r>
    </w:p>
    <w:p w:rsidR="00E55519" w:rsidRPr="007647A8" w:rsidRDefault="00D71B48"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4. Supervisors have the competence to require the removal from senior management functions of any person convicted by a final court decision for the criminal offence of money laundering and criminal offences related thereto, for the financing of terrorism or the financing of the proliferation of weapons of mass destruction, for the obliged entities provided for in points 1 and 2 of this article.</w:t>
      </w:r>
    </w:p>
    <w:p w:rsidR="00FF173C" w:rsidRPr="007647A8" w:rsidRDefault="0091612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Supervisors also have the power to order the removal or impose a temporary ban on members of the senior management of obliged entities provided for in point 1 of this article, when these are not considered suitable, because:</w:t>
      </w:r>
    </w:p>
    <w:p w:rsidR="00FF173C"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do not enjoy a good reputation;</w:t>
      </w:r>
    </w:p>
    <w:p w:rsidR="00FF173C"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do not act with honesty and integrity; or</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do not possess the knowledge and experience necessary for the exercise of their functions.</w:t>
      </w:r>
    </w:p>
    <w:p w:rsidR="00210D26"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5. Supervisors have the power to request the removal from obliged entities of persons convicted of money laundering and criminal offences related to it, financing of terrorism or financing of the proliferation of weapons of mass destruction, who are beneficial owners of the obliged entity as referred to in points 1 and 2 of this Article, including the power to request divestment of the holdings of these beneficial owners in obliged entities. </w:t>
      </w:r>
    </w:p>
    <w:p w:rsidR="00E55519" w:rsidRPr="007647A8" w:rsidRDefault="00E55519" w:rsidP="002A39C9">
      <w:pPr>
        <w:widowControl w:val="0"/>
        <w:spacing w:after="0"/>
        <w:ind w:left="0" w:firstLine="840"/>
        <w:rPr>
          <w:rFonts w:ascii="Times New Roman" w:hAnsi="Times New Roman" w:cs="Times New Roman"/>
          <w:sz w:val="24"/>
          <w:szCs w:val="24"/>
        </w:rPr>
      </w:pPr>
      <w:r>
        <w:rPr>
          <w:rFonts w:ascii="Times New Roman" w:hAnsi="Times New Roman" w:cs="Times New Roman"/>
          <w:sz w:val="24"/>
          <w:szCs w:val="24"/>
        </w:rPr>
        <w:t>6. For the purposes of this Article, the supervisors, as well as any other competent authority at national level for the assessment of compliance with the requirements applicable to the persons provided for in points 1 and 2 of this Article, shall verify, in accordance with the legislation in force:</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existence of data in the national registers and information and data databases administered by the competent authorities, for the purposes of the prevention of money laundering and terrorist financing; and</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if there is a criminal conviction against the person concerned recorded in the judicial status register.</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exchange of information for these purposes is carried out in accordance with the law on the protection of personal data, criminal procedure and interinstitutional cooperation, as well as with the international agreements to which the Republic of Albania is a party.</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7. The decisions taken by the supervisors in implementation of this Article shall be subject to effective procedures of administrative and judicial appeal, in accordance with the legislation in force.</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8. The powers of the supervisors provided for in this Article shall be exercised in accordance with the sectoral laws regulating the organisation, functioning and powers of each supervisory authority, which define the procedures and concrete measures for their implementation.</w:t>
      </w:r>
    </w:p>
    <w:p w:rsidR="00E55519" w:rsidRPr="007647A8" w:rsidRDefault="00E5551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9. For the purposes of the implementation of this Article, the minister responsible for finance, upon the proposal of the responsible authority, within six months from the issuance of the AMLA guidelines, issues guidelines according to the specifics of each sector of obliged entities, on:</w:t>
      </w:r>
    </w:p>
    <w:p w:rsidR="008D4216"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criteria for assessing good repute, honesty and integrity as referred to in point 1 of this Article;</w:t>
      </w:r>
    </w:p>
    <w:p w:rsidR="00E55519" w:rsidRPr="007647A8" w:rsidRDefault="008D421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b) the criteria for assessing the knowledge and expertise as referred to in point 1 of this Article; </w:t>
      </w:r>
    </w:p>
    <w:p w:rsidR="00E55519" w:rsidRPr="007647A8" w:rsidRDefault="008D421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the uniform implementation of the powers provided for in this Article by the supervisors of obliged entities.</w:t>
      </w:r>
    </w:p>
    <w:p w:rsidR="00E55519" w:rsidRPr="007647A8" w:rsidRDefault="00E5551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10. The requirements provided for in this Article shall also apply to obliged entities specified in Article 86, point 3, letters “n” and “o”, starting from 10 July 2029.</w:t>
      </w:r>
    </w:p>
    <w:p w:rsidR="000345EB" w:rsidRPr="007647A8" w:rsidRDefault="000345EB" w:rsidP="002A39C9">
      <w:pPr>
        <w:widowControl w:val="0"/>
        <w:spacing w:after="0"/>
        <w:ind w:left="0" w:firstLine="709"/>
        <w:rPr>
          <w:rFonts w:ascii="Times New Roman" w:hAnsi="Times New Roman" w:cs="Times New Roman"/>
          <w:sz w:val="24"/>
          <w:szCs w:val="24"/>
        </w:rPr>
      </w:pPr>
    </w:p>
    <w:p w:rsidR="00E14ACC" w:rsidRPr="007647A8" w:rsidRDefault="00E14ACC" w:rsidP="002A39C9">
      <w:pPr>
        <w:widowControl w:val="0"/>
        <w:spacing w:after="0"/>
        <w:ind w:left="0" w:firstLine="709"/>
        <w:rPr>
          <w:rFonts w:ascii="Times New Roman" w:hAnsi="Times New Roman" w:cs="Times New Roman"/>
          <w:sz w:val="24"/>
          <w:szCs w:val="24"/>
        </w:rPr>
      </w:pPr>
    </w:p>
    <w:p w:rsidR="00E14ACC" w:rsidRPr="007647A8" w:rsidRDefault="0063131D" w:rsidP="002A39C9">
      <w:pPr>
        <w:pStyle w:val="Default"/>
        <w:spacing w:line="276" w:lineRule="auto"/>
        <w:jc w:val="center"/>
        <w:rPr>
          <w:rFonts w:ascii="Times New Roman" w:hAnsi="Times New Roman" w:cs="Times New Roman"/>
          <w:color w:val="auto"/>
        </w:rPr>
      </w:pPr>
      <w:r>
        <w:rPr>
          <w:rFonts w:ascii="Times New Roman" w:hAnsi="Times New Roman" w:cs="Times New Roman"/>
        </w:rPr>
        <w:t>Section</w:t>
      </w:r>
      <w:r>
        <w:rPr>
          <w:rFonts w:ascii="Times New Roman" w:hAnsi="Times New Roman" w:cs="Times New Roman"/>
          <w:iCs/>
        </w:rPr>
        <w:t xml:space="preserve"> 3</w:t>
      </w:r>
    </w:p>
    <w:p w:rsidR="00E14ACC" w:rsidRPr="007647A8" w:rsidRDefault="0063131D"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b/>
          <w:bCs/>
          <w:iCs/>
          <w:sz w:val="24"/>
          <w:szCs w:val="24"/>
        </w:rPr>
        <w:t>National mechanisms and risk assessments</w:t>
      </w:r>
    </w:p>
    <w:p w:rsidR="00E14ACC" w:rsidRPr="007647A8" w:rsidRDefault="00E14ACC" w:rsidP="002A39C9">
      <w:pPr>
        <w:widowControl w:val="0"/>
        <w:spacing w:after="0"/>
        <w:ind w:left="0" w:firstLine="709"/>
        <w:rPr>
          <w:rFonts w:ascii="Times New Roman" w:hAnsi="Times New Roman" w:cs="Times New Roman"/>
          <w:sz w:val="24"/>
          <w:szCs w:val="24"/>
        </w:rPr>
      </w:pPr>
    </w:p>
    <w:p w:rsidR="00154E4F" w:rsidRPr="007647A8" w:rsidRDefault="007D1429"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9</w:t>
      </w:r>
    </w:p>
    <w:p w:rsidR="00154E4F" w:rsidRPr="007647A8" w:rsidRDefault="00154E4F"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Committee for the Coordination of the Fight Against Money Laundering</w:t>
      </w:r>
    </w:p>
    <w:p w:rsidR="00154E4F" w:rsidRPr="007647A8" w:rsidRDefault="00154E4F" w:rsidP="002A39C9">
      <w:pPr>
        <w:widowControl w:val="0"/>
        <w:spacing w:after="0"/>
        <w:ind w:left="0" w:firstLine="0"/>
        <w:rPr>
          <w:rFonts w:ascii="Times New Roman" w:eastAsia="Arial Unicode MS" w:hAnsi="Times New Roman" w:cs="Times New Roman"/>
          <w:sz w:val="24"/>
          <w:szCs w:val="24"/>
          <w:lang w:bidi="en-US"/>
        </w:rPr>
      </w:pP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Coordination Committee for the Fight Against Money Laundering is responsible for determining the directions of the general state policy in the field of the prevention and fight against money laundering, terrorist financing and the financing of the proliferation of weapons of mass destruction, as well as for ensuring effective mechanisms of interinstitutional cooperation and coordination for the development and implementation of policies and measures in these fields.</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Committee is chaired by the Prime Minister and is composed of the minister responsible for finance, the minister responsible for foreign affairs, the minister responsible for defence matters, the minister responsible for public order and security, the minister responsible for justice matters, the Prosecutor General, the Head of the Special Prosecution Office, the Governor of the Bank of Albania, the Executive General Director of the Albanian Financial Supervisory Authority, the Director of the State Intelligence Service, the General Inspector of the High Inspectorate of Declaration and Audit of Assets and Conflict of Interests, the Director of the National Bureau of Investigation and the Director General of the Albanian State Police.</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Committee meets at least once a year to review and analyse the reports on the activities carried out by the competent authorities, as well as the reports on the documents prepared by the institutions and international bodies, which exercise their assessment activities at country level in the field of the fight against money laundering, terrorist financing and the financing of the proliferation of weapons of mass destruction. The director general of the responsible authority acts as adviser in the meetings of this committee.</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Ministers, members, heads or representatives of institutions and experts in the field of the prevention and fight against money laundering, terrorist financing and the financing of the proliferation of weapons of mass destruction may be invited to participate in the meetings of the committee.</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Committee may establish technical and/or operational working groups to assist in carrying out its functions, as well as for the study of typologies and techniques of money laundering, terrorist financing and financing of the proliferation of weapons of mass destruction, as well as to ensure the exchange of information and coordination between the competent authorities in the implementation of this law.</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The rules of operation of the committee are determined in the internal regulations, approved by this committee.</w:t>
      </w:r>
    </w:p>
    <w:p w:rsidR="00E14ACC" w:rsidRPr="007647A8" w:rsidRDefault="00E14ACC" w:rsidP="002A39C9">
      <w:pPr>
        <w:widowControl w:val="0"/>
        <w:spacing w:after="0"/>
        <w:ind w:left="0" w:firstLine="709"/>
        <w:rPr>
          <w:rFonts w:ascii="Times New Roman" w:hAnsi="Times New Roman" w:cs="Times New Roman"/>
          <w:sz w:val="24"/>
          <w:szCs w:val="24"/>
        </w:rPr>
      </w:pPr>
    </w:p>
    <w:p w:rsidR="00204E11" w:rsidRPr="007647A8" w:rsidRDefault="00FF2448" w:rsidP="002A39C9">
      <w:pPr>
        <w:widowControl w:val="0"/>
        <w:suppressAutoHyphens/>
        <w:spacing w:after="0"/>
        <w:ind w:left="0"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Article 10</w:t>
      </w:r>
    </w:p>
    <w:p w:rsidR="00204E11" w:rsidRPr="007647A8" w:rsidRDefault="00204E11" w:rsidP="002A39C9">
      <w:pPr>
        <w:widowControl w:val="0"/>
        <w:suppressAutoHyphens/>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National Risk Assessment</w:t>
      </w:r>
    </w:p>
    <w:p w:rsidR="00204E11" w:rsidRPr="007647A8" w:rsidRDefault="00204E11" w:rsidP="002A39C9">
      <w:pPr>
        <w:widowControl w:val="0"/>
        <w:suppressAutoHyphens/>
        <w:spacing w:after="0"/>
        <w:ind w:left="0" w:firstLine="0"/>
        <w:jc w:val="center"/>
        <w:rPr>
          <w:rFonts w:ascii="Times New Roman" w:eastAsia="Calibri" w:hAnsi="Times New Roman" w:cs="Times New Roman"/>
          <w:sz w:val="24"/>
          <w:szCs w:val="24"/>
        </w:rPr>
      </w:pPr>
    </w:p>
    <w:p w:rsidR="0066716D"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member institutions of the Coordination Committee for the Fight Against Money Laundering, in accordance with their legal competences, contribute periodically to carrying out the National Risk Assessment, with the aim of identifying, assessing, understanding and mitigating the risks of money laundering, terrorist financing and the financing of the proliferation of weapons of mass destruction, as well as the risks related to non-implementation and evasion of financial restrictive measures. </w:t>
      </w:r>
    </w:p>
    <w:p w:rsidR="00A17EF5" w:rsidRPr="007647A8" w:rsidRDefault="00A17EF5"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The National Risk Assessment is accompanied by the corresponding action plan for addressing the identified risks.</w:t>
      </w:r>
    </w:p>
    <w:p w:rsidR="00345B8B"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in the capacity of the responsible authority, coordinates and harmonises the process of drafting the National Risk Assessment and the action plan. For this purpose, the Financial Intelligence Agency has the right to request and receive statistics, data and information from:</w:t>
      </w:r>
    </w:p>
    <w:p w:rsidR="00345B8B"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a) obliged entities;</w:t>
      </w:r>
    </w:p>
    <w:p w:rsidR="00345B8B"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b) supervisory authorities;</w:t>
      </w:r>
    </w:p>
    <w:p w:rsidR="00345B8B"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c) the bodies of the state administration and the respective state databases;</w:t>
      </w:r>
    </w:p>
    <w:p w:rsidR="00FF4BAB" w:rsidRPr="007647A8" w:rsidRDefault="007A3937"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d) other competent authorities involved in the prevention and fight against money laundering, terrorism financing and the financing of the proliferation of weapons of mass destruction.</w:t>
      </w:r>
    </w:p>
    <w:p w:rsidR="00FF4BAB" w:rsidRPr="007647A8" w:rsidRDefault="00FF4BAB"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3. The National Risk Assessment and the relevant action plan, drafted in accordance with points 1 and 2 of this article, shall be submitted for approval to the Coordination Committee for the Fight Against Money Laundering by the Financial Intelligence Agency.</w:t>
      </w:r>
    </w:p>
    <w:p w:rsidR="00784EEE" w:rsidRPr="007647A8" w:rsidRDefault="00D542E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National Risk Assessment shall be reviewed not less than every 4 years. Depending on the identified risk situation, the competent authorities may review the national risk assessment more frequently than the prescribed deadline, or carry out specific sectoral risk assessments.</w:t>
      </w:r>
    </w:p>
    <w:p w:rsidR="00204E11" w:rsidRPr="007647A8" w:rsidRDefault="00D542E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5.  The institutions according to points 1 and 2 of this article, for carrying out the national risk assessment, during the process of its assessment and updating, use, among other things, as a source of reference the relevant reports and assessments prepared at the level of the European Union, as well as international standards and recommendations in the field of the prevention of money laundering, terrorist financing or financing of the proliferation of weapons of mass destruction, especially those that identify the main sectors, products and risks, as well as the recommendations and findings arising from them.</w:t>
      </w:r>
    </w:p>
    <w:p w:rsidR="00204E11" w:rsidRPr="007647A8" w:rsidRDefault="00B729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6. The national risk assessment serves as a basis for:</w:t>
      </w:r>
    </w:p>
    <w:p w:rsidR="00204E11" w:rsidRPr="007647A8" w:rsidRDefault="00204E1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improvement of the national system for the prevention of money laundering, terrorist financing and the financing of the proliferation of weapons of mass destruction, in particular by identifying the areas where obliged entities must apply enhanced measures in accordance with risk-based supervision and, where appropriate, by specifying the measures to be taken;</w:t>
      </w:r>
    </w:p>
    <w:p w:rsidR="00204E11" w:rsidRPr="007647A8" w:rsidRDefault="00204E1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the identification, as appropriate, of the sectors, activities or areas that present a higher or lower level of risk for money laundering, terrorist financing and the financing of the proliferation of weapons of mass destruction;</w:t>
      </w:r>
    </w:p>
    <w:p w:rsidR="00FC5EAE" w:rsidRPr="007647A8" w:rsidRDefault="005C34EB"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the assessment of the risks of money laundering, terrorist financing and financing of the proliferation of weapons of mass destruction, related to each category of legal persons established in the territory of the Republic of Albania, as well as to each form of legal arrangement operating or administered in its territory, or where the administrators, custodians or persons with equivalent functions in such legal arrangements have their residence in the territory of the Republic of Albania, as well as the understanding of the level of exposure to risks arising from foreign legal persons and foreign legal arrangements;</w:t>
      </w:r>
    </w:p>
    <w:p w:rsidR="00204E11" w:rsidRPr="007647A8" w:rsidRDefault="00204E1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d) the setting for the allocation and prioritisation of institutional resources for the prevention and fight against money laundering, terrorist financing or the financing of the proliferation of weapons of mass destruction, as well as the non-implementation and evasion of financial restrictive measures;</w:t>
      </w:r>
    </w:p>
    <w:p w:rsidR="00204E11" w:rsidRPr="007647A8" w:rsidRDefault="00204E1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e) the drafting and updating of appropriate rules and requirements for each sector or field of activity, in accordance with the risks of money laundering, financing of terrorism or financing of the proliferation of weapons of mass destruction;</w:t>
      </w:r>
    </w:p>
    <w:p w:rsidR="006276C2" w:rsidRPr="007647A8" w:rsidRDefault="001E11C4"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f) the immediate making available of appropriate information to the competent authorities and obliged entities, with the aim of facilitating the carrying out of their risk assessments for money laundering, terrorist financing or the financing of the proliferation of weapons of mass destruction, as well as the assessment of the risks related to non-implementation and circumvention of financial restrictive measures as defined in Article 92 of this law.</w:t>
      </w:r>
    </w:p>
    <w:p w:rsidR="00204E11" w:rsidRPr="007647A8" w:rsidRDefault="00204E1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national risk assessment must also describe the institutional structure and the general procedures of the national system for the prevention of money laundering, terrorist financing and the financing of the proliferation of weapons of mass destruction, including the Financial Intelligence Agency, tax authorities and the authorities for prosecutions of offences, the mechanisms of cooperation with the counterpart authorities of the Member States or of third countries, as well as the human and financial resources made available, to the extent that this information is available.</w:t>
      </w:r>
    </w:p>
    <w:p w:rsidR="00204E11" w:rsidRPr="007647A8" w:rsidRDefault="00723E0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7. In the process of drafting and updating the national risk assessment, the appropriate involvement and participation of the competent authorities and, as the case may be, of the relevant interested parties, shall be ensured, in accordance with their competences and role in the national system for the prevention of money laundering, terrorist financing or the financing of the proliferation of weapons of destruction.</w:t>
      </w:r>
    </w:p>
    <w:p w:rsidR="00204E11" w:rsidRPr="007647A8" w:rsidRDefault="00B729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8. The results of the National Risk Assessment, including its updates and reviews, are made available to the competent authorities, supervisory authorities and obliged entities for the exercise of functions and the fulfilment of legal obligations. This information is also made available to the relevant international authorities and bodies, including AMLA, as well as to the counterpart authorities of Member States and partner third countries, in accordance with international obligations, the legal framework in force and the obligations arising from this law.</w:t>
      </w:r>
    </w:p>
    <w:p w:rsidR="00204E11" w:rsidRPr="007647A8" w:rsidRDefault="00D05D2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9. The Financial Intelligence Agency may, as the case may be, provide the authority of the Member State, which carries out the national risk assessment, with additional relevant information, where appropriate.</w:t>
      </w:r>
    </w:p>
    <w:p w:rsidR="00204E11" w:rsidRPr="007647A8" w:rsidRDefault="006D7DF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10. A summary of the main findings of the national risk assessment shall be made public. This summary shall not contain classified information, personal data, or information that allows the identification of natural persons or legal persons.</w:t>
      </w:r>
    </w:p>
    <w:p w:rsidR="00204E11" w:rsidRPr="007647A8" w:rsidRDefault="00204E11" w:rsidP="002A39C9">
      <w:pPr>
        <w:widowControl w:val="0"/>
        <w:spacing w:after="0"/>
        <w:ind w:left="0" w:firstLine="709"/>
        <w:rPr>
          <w:rFonts w:ascii="Times New Roman" w:hAnsi="Times New Roman" w:cs="Times New Roman"/>
          <w:sz w:val="24"/>
          <w:szCs w:val="24"/>
        </w:rPr>
      </w:pPr>
    </w:p>
    <w:p w:rsidR="00204E11" w:rsidRPr="007647A8" w:rsidRDefault="00204E11" w:rsidP="002A39C9">
      <w:pPr>
        <w:widowControl w:val="0"/>
        <w:suppressAutoHyphens/>
        <w:spacing w:after="0"/>
        <w:ind w:left="0"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Article 11</w:t>
      </w:r>
    </w:p>
    <w:p w:rsidR="00204E11" w:rsidRPr="007647A8" w:rsidRDefault="00204E11" w:rsidP="002A39C9">
      <w:pPr>
        <w:widowControl w:val="0"/>
        <w:suppressAutoHyphens/>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Statistics</w:t>
      </w:r>
    </w:p>
    <w:p w:rsidR="00941348" w:rsidRPr="007647A8" w:rsidRDefault="00941348" w:rsidP="002A39C9">
      <w:pPr>
        <w:widowControl w:val="0"/>
        <w:spacing w:after="0"/>
        <w:ind w:left="0" w:firstLine="709"/>
        <w:rPr>
          <w:rFonts w:ascii="Times New Roman" w:hAnsi="Times New Roman" w:cs="Times New Roman"/>
          <w:sz w:val="24"/>
          <w:szCs w:val="24"/>
        </w:rPr>
      </w:pP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Competent authorities, in accordance with their legal competences, maintain and update complete and joint statistics on matters related to the functioning and implementation of the national system for the prevention of money laundering, terrorist financing and the financing of the proliferation of weapons of mass destruction, for the purpose of assessing and reviewing the effectiveness of this system.</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statistics referred to in point 1 of this article include, among other things:</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data reflecting the size and importance of the different sectors that are subject to the legal framework for the prevention of money laundering and terrorist financing, including the number of natural and legal persons, as well as the economic weight of each sector;</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data reflecting the stages of reporting, investigation and judicial prosecution within the framework of the national system for the prevention of money laundering and terrorist financing, including the number of suspicious activity reports submitted to the Financial Intelligence Agency and their follow-up, information on declarations of cross-border transportation of monetary means and the measures taken subsequently, as well as, on an annual basis, the number of cases investigated, the number of persons prosecuted and convicted for the criminal offences of money laundering or terrorist financing, as well as the categories of criminal offences related to them, where this information is available, as well as the value of assets frozen, blocked, seized or confiscated;</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c) the number and percentage of suspicious activity reports that result in dissemination of information to other competent authorities, as well as, where that information is available, the number and percentage of reports that lead to further investigations, together with the annual report drafted by the Financial Intelligence Agency pursuant to Article 29 of this law; </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data on the number of requests for international cooperation for exchange of information submitted, received, refused, as well as handled partially or fully by the Financial Intelligence Agency, broken down by the respective counterpart state;</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data on the number of requests for legal assistance or other international requests for exchange of information related to beneficial ownership and information on bank accounts under the legislation in force, received or sent to the competent homologous authorities of the Member States or third countries, broken down by the respective authority and homologous state;</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data on the human resources available to the supervisory authorities, as well as the human resources made available to the Financial Intelligence Agency for the fulfilment of its legal duties;</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data on the number of supervisory actions carried out domestically and outside the place of exercise of the activity, the number of violations ascertained on the basis of these actions, as well as the number of administrative measures of a financial nature such as administrative fines and periodic ones, as well as other administrative measures applied by the supervisory authorities and self-regulatory bodies, in accordance with the legislation in force;</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data on the number and type of violations found in relation to the obligations for the transparency of beneficial ownership and access to the relevant information, as well as the administrative fines or other administrative measures applied for these violations; the number of discrepancies reported in the central register of beneficial ownership, as well as the number of controls carried out by the authority responsible for the administration of this register or on its behalf, including:</w:t>
      </w:r>
    </w:p>
    <w:p w:rsidR="00221549" w:rsidRPr="007647A8" w:rsidRDefault="00D542E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 information on the implementation of the rules on access to beneficial ownership data provided for in the law on the registration of beneficial owners where, among other things, it includes:</w:t>
      </w:r>
    </w:p>
    <w:p w:rsidR="00221549" w:rsidRPr="007647A8" w:rsidRDefault="00D542E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ii. the number of requests for access to beneficial ownership information maintained in the register of beneficial owners, according to the categories of entities defined in the legislation in force;</w:t>
      </w:r>
    </w:p>
    <w:p w:rsidR="00221549" w:rsidRPr="007647A8" w:rsidRDefault="0080538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iii. the percentage of requests for access to beneficial ownership information that have been refused, broken down by the categories of entities defined in the legislation in force;</w:t>
      </w:r>
    </w:p>
    <w:p w:rsidR="00221549" w:rsidRPr="007647A8" w:rsidRDefault="00602DF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iv. a summary of the categories of persons or entities who have been given access to beneficial ownership information, in accordance with the relevant legislation;</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j) data on the number of searches carried out by the competent authorities in the bank account registry or in the relevant data retrieval mechanisms, broken down by categories of competent authorities, as well as the number of searches carried out by the Financial Intelligence Agency and the supervisory authorities in the bank account registries interconnection mechanisms;</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k) information on the implementation of financial restrictive measures, including:</w:t>
      </w:r>
    </w:p>
    <w:p w:rsidR="00221549" w:rsidRPr="007647A8" w:rsidRDefault="000336B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 the value of frozen funds or other property, broken down by type of property;</w:t>
      </w:r>
    </w:p>
    <w:p w:rsidR="00221549" w:rsidRPr="007647A8" w:rsidRDefault="000336B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ii. data on the human resources available to the competent authorities responsible for the implementation and supervision of financial restrictive measures;</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Financial Intelligence Agency coordinates, collects and processes statistical data according to this article. </w:t>
      </w:r>
    </w:p>
    <w:p w:rsidR="00221549" w:rsidRPr="007647A8" w:rsidRDefault="00BF52B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Financial Intelligence Agency carries out this process through inter-institutional cooperation with the competent authorities, in accordance with the powers and responsibilities of each authority under the relevant legislation in force. </w:t>
      </w:r>
    </w:p>
    <w:p w:rsidR="00221549" w:rsidRPr="007647A8" w:rsidRDefault="00E2728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competent authorities keep and report the data specified in point 2 of this Article to the Financial Intelligence Agency in accordance with the time limits and the form specified pursuant to point 5 of this Article.</w:t>
      </w:r>
    </w:p>
    <w:p w:rsidR="00221549" w:rsidRPr="007647A8" w:rsidRDefault="009413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statistics collected under this article are processed and reported periodically, at least once a year to the Committee for the Coordination of the Fight Against Money Laundering.</w:t>
      </w:r>
    </w:p>
    <w:p w:rsidR="00221549" w:rsidRPr="007647A8" w:rsidRDefault="00BF52B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Financial Intelligence Agency publishes, on the official website, every two years, a summary and explanatory report on the statistics specified in point 2 of this article. </w:t>
      </w:r>
    </w:p>
    <w:p w:rsidR="00701DDC" w:rsidRPr="007647A8" w:rsidRDefault="00701DD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methodology, periodicity, form and manner of reporting these data by the competent authorities shall be determined by decision of the Council of Ministers.</w:t>
      </w:r>
    </w:p>
    <w:p w:rsidR="00701DDC" w:rsidRPr="007647A8" w:rsidRDefault="00701DDC" w:rsidP="002A39C9">
      <w:pPr>
        <w:widowControl w:val="0"/>
        <w:spacing w:after="0"/>
        <w:ind w:left="0" w:firstLine="709"/>
        <w:rPr>
          <w:rFonts w:ascii="Times New Roman" w:hAnsi="Times New Roman" w:cs="Times New Roman"/>
          <w:sz w:val="24"/>
          <w:szCs w:val="24"/>
        </w:rPr>
      </w:pPr>
    </w:p>
    <w:p w:rsidR="002A0945" w:rsidRPr="007647A8" w:rsidRDefault="002A0945" w:rsidP="002A39C9">
      <w:pPr>
        <w:widowControl w:val="0"/>
        <w:spacing w:after="0"/>
        <w:ind w:left="0" w:firstLine="709"/>
        <w:rPr>
          <w:rFonts w:ascii="Times New Roman" w:hAnsi="Times New Roman" w:cs="Times New Roman"/>
          <w:sz w:val="24"/>
          <w:szCs w:val="24"/>
        </w:rPr>
      </w:pPr>
    </w:p>
    <w:p w:rsidR="00E00975" w:rsidRPr="007647A8" w:rsidRDefault="0063131D" w:rsidP="002A39C9">
      <w:pPr>
        <w:pStyle w:val="NormalWeb"/>
        <w:spacing w:before="0" w:beforeAutospacing="0" w:after="0" w:afterAutospacing="0" w:line="276" w:lineRule="auto"/>
        <w:jc w:val="center"/>
        <w:rPr>
          <w:rStyle w:val="Strong"/>
          <w:b w:val="0"/>
        </w:rPr>
      </w:pPr>
      <w:r>
        <w:t>Section</w:t>
      </w:r>
      <w:r>
        <w:rPr>
          <w:rStyle w:val="Strong"/>
          <w:b w:val="0"/>
        </w:rPr>
        <w:t xml:space="preserve"> 4</w:t>
      </w:r>
      <w:r w:rsidR="00240125" w:rsidRPr="007647A8">
        <w:rPr>
          <w:b/>
          <w:bCs/>
        </w:rPr>
        <w:br/>
      </w:r>
      <w:r>
        <w:rPr>
          <w:rStyle w:val="Strong"/>
        </w:rPr>
        <w:t>The access system to data on immovable property</w:t>
      </w:r>
    </w:p>
    <w:p w:rsidR="0078051C" w:rsidRPr="007647A8" w:rsidRDefault="0078051C" w:rsidP="002A39C9">
      <w:pPr>
        <w:pStyle w:val="NormalWeb"/>
        <w:spacing w:before="0" w:beforeAutospacing="0" w:after="0" w:afterAutospacing="0" w:line="276" w:lineRule="auto"/>
        <w:jc w:val="center"/>
        <w:rPr>
          <w:rStyle w:val="Strong"/>
          <w:b w:val="0"/>
        </w:rPr>
      </w:pPr>
    </w:p>
    <w:p w:rsidR="0078051C" w:rsidRPr="007647A8" w:rsidRDefault="00240125" w:rsidP="002A39C9">
      <w:pPr>
        <w:pStyle w:val="NormalWeb"/>
        <w:spacing w:before="0" w:beforeAutospacing="0" w:after="0" w:afterAutospacing="0" w:line="276" w:lineRule="auto"/>
        <w:jc w:val="center"/>
        <w:rPr>
          <w:rStyle w:val="Strong"/>
        </w:rPr>
      </w:pPr>
      <w:r>
        <w:rPr>
          <w:rStyle w:val="Strong"/>
          <w:b w:val="0"/>
        </w:rPr>
        <w:t>Article 12</w:t>
      </w:r>
      <w:r w:rsidRPr="007647A8">
        <w:rPr>
          <w:b/>
          <w:bCs/>
        </w:rPr>
        <w:br/>
      </w:r>
      <w:r>
        <w:rPr>
          <w:rStyle w:val="Strong"/>
        </w:rPr>
        <w:t>The right of access and the establishment of the access system to data on immovable property</w:t>
      </w:r>
    </w:p>
    <w:p w:rsidR="00E00975" w:rsidRPr="007647A8" w:rsidRDefault="00E00975" w:rsidP="002A39C9">
      <w:pPr>
        <w:pStyle w:val="NormalWeb"/>
        <w:spacing w:before="0" w:beforeAutospacing="0" w:after="0" w:afterAutospacing="0" w:line="276" w:lineRule="auto"/>
        <w:jc w:val="center"/>
        <w:rPr>
          <w:rStyle w:val="Strong"/>
        </w:rPr>
      </w:pPr>
    </w:p>
    <w:p w:rsidR="00221549" w:rsidRPr="007647A8" w:rsidRDefault="005912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competent authorities, for the purposes of prevention, prosecution, investigation of money laundering, terrorist financing and financing of the proliferation of weapons of mass destruction, have immediate and direct access, free of charge, to the information and data that enable the timely identification of:</w:t>
      </w:r>
    </w:p>
    <w:p w:rsidR="00221549" w:rsidRPr="007647A8" w:rsidRDefault="005912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any immovable property, real rights related thereto, as well as other legal interests registered over or in relation thereto;</w:t>
      </w:r>
    </w:p>
    <w:p w:rsidR="00221549" w:rsidRPr="007647A8" w:rsidRDefault="005912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natural or legal persons, as well as legal arrangements, that own these assets;</w:t>
      </w:r>
    </w:p>
    <w:p w:rsidR="00221549" w:rsidRPr="007647A8" w:rsidRDefault="005912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transactions related to immovable property, for identification and analysis purposes.</w:t>
      </w:r>
    </w:p>
    <w:p w:rsidR="00221549" w:rsidRPr="007647A8" w:rsidRDefault="005912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access provided for in point 1 of this article is ensured through a single access system established at national level through a single access system, which enables the competent authorities to have access, through electronic means, to information in digital format, which, where possible, must be in a structured format, readable and processable automatically.</w:t>
      </w:r>
    </w:p>
    <w:p w:rsidR="003F60E9" w:rsidRPr="007647A8" w:rsidRDefault="003F60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AMLA enjoys access in accordance with points 1 and 2 of this Article, under the same conditions and modalities as the competent authorities, for the purposes of carrying out joint analyses of suspicious transactions and activities, in the exercise of the functions defined for this authority in accordance with the relevant acts of the European Union.</w:t>
      </w:r>
    </w:p>
    <w:p w:rsidR="003F60E9" w:rsidRPr="007647A8" w:rsidRDefault="003F60E9" w:rsidP="002A39C9">
      <w:pPr>
        <w:widowControl w:val="0"/>
        <w:spacing w:after="0"/>
        <w:ind w:left="0" w:firstLine="709"/>
        <w:rPr>
          <w:rFonts w:ascii="Times New Roman" w:hAnsi="Times New Roman" w:cs="Times New Roman"/>
          <w:sz w:val="24"/>
          <w:szCs w:val="24"/>
        </w:rPr>
      </w:pPr>
    </w:p>
    <w:p w:rsidR="00240125" w:rsidRPr="007647A8" w:rsidRDefault="00240125" w:rsidP="002A39C9">
      <w:pPr>
        <w:widowControl w:val="0"/>
        <w:spacing w:after="0"/>
        <w:ind w:left="0" w:firstLine="709"/>
        <w:rPr>
          <w:rFonts w:ascii="Times New Roman" w:hAnsi="Times New Roman" w:cs="Times New Roman"/>
          <w:sz w:val="24"/>
          <w:szCs w:val="24"/>
        </w:rPr>
      </w:pPr>
    </w:p>
    <w:p w:rsidR="00240125" w:rsidRPr="007647A8" w:rsidRDefault="00CE2425" w:rsidP="002A39C9">
      <w:pPr>
        <w:pStyle w:val="NormalWeb"/>
        <w:spacing w:before="0" w:beforeAutospacing="0" w:after="0" w:afterAutospacing="0" w:line="276" w:lineRule="auto"/>
        <w:jc w:val="center"/>
        <w:rPr>
          <w:rStyle w:val="Strong"/>
          <w:b w:val="0"/>
        </w:rPr>
      </w:pPr>
      <w:r>
        <w:rPr>
          <w:rStyle w:val="Strong"/>
          <w:b w:val="0"/>
        </w:rPr>
        <w:t>Article 13</w:t>
      </w:r>
    </w:p>
    <w:p w:rsidR="00F40271" w:rsidRPr="007647A8" w:rsidRDefault="00F40271" w:rsidP="002A39C9">
      <w:pPr>
        <w:pStyle w:val="NormalWeb"/>
        <w:spacing w:before="0" w:beforeAutospacing="0" w:after="0" w:afterAutospacing="0" w:line="276" w:lineRule="auto"/>
        <w:jc w:val="center"/>
        <w:rPr>
          <w:rStyle w:val="Strong"/>
        </w:rPr>
      </w:pPr>
      <w:r>
        <w:rPr>
          <w:rStyle w:val="Strong"/>
        </w:rPr>
        <w:t>The content of the information and the functioning of the access system to data on immovable properties</w:t>
      </w:r>
    </w:p>
    <w:p w:rsidR="00E00975" w:rsidRPr="007647A8" w:rsidRDefault="00E00975" w:rsidP="002A39C9">
      <w:pPr>
        <w:pStyle w:val="NormalWeb"/>
        <w:spacing w:before="0" w:beforeAutospacing="0" w:after="0" w:afterAutospacing="0" w:line="276" w:lineRule="auto"/>
        <w:jc w:val="center"/>
        <w:rPr>
          <w:rStyle w:val="Strong"/>
        </w:rPr>
      </w:pPr>
    </w:p>
    <w:p w:rsidR="00591235" w:rsidRPr="007647A8" w:rsidRDefault="009672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 Through the single access point, pursuant to Article 12, at least the following information is made available:</w:t>
      </w:r>
    </w:p>
    <w:p w:rsidR="00591235" w:rsidRPr="007647A8" w:rsidRDefault="00EE300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information on the property, including:</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 the cadastral parcel and the cadastral reference;</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 the geographical location, including the address of the property;</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iii. the area/size of the property;</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iv. the type of property, including whether it is built or unbuilt property, as well as the purpose of its use;</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information on ownership, including:</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 the name of the owner and of every person acting on his behalf or who is claimed to be acting on his behalf;</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 when the owner is a legal person, the name and legal form, as well as the unique identification number and the tax identification number (NIPT);</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iii. when the owner is a legal arrangement, the name of the legal arrangement and the tax identification number;</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iv. the price at which the property was acquired;</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v. the rights, limitations or obligations related to property, where applicable;</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information on encumbrances and restrictions on the property, including:</w:t>
      </w:r>
    </w:p>
    <w:p w:rsidR="00591235" w:rsidRPr="007647A8" w:rsidRDefault="009764F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 mortgages and third parties' rights over the property;</w:t>
      </w:r>
    </w:p>
    <w:p w:rsidR="00591235" w:rsidRPr="007647A8" w:rsidRDefault="007B5554"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ii. judicial restrictions or any other act that changes the legal regime of the property or creates rights and obligations over the property;</w:t>
      </w:r>
    </w:p>
    <w:p w:rsidR="00591235" w:rsidRPr="007647A8" w:rsidRDefault="007B5554" w:rsidP="002A39C9">
      <w:pPr>
        <w:widowControl w:val="0"/>
        <w:spacing w:after="0"/>
        <w:ind w:left="0" w:firstLine="567"/>
        <w:rPr>
          <w:rFonts w:ascii="Times New Roman" w:hAnsi="Times New Roman" w:cs="Times New Roman"/>
          <w:sz w:val="24"/>
          <w:szCs w:val="24"/>
        </w:rPr>
      </w:pPr>
      <w:r>
        <w:rPr>
          <w:rFonts w:ascii="Times New Roman" w:hAnsi="Times New Roman" w:cs="Times New Roman"/>
          <w:sz w:val="24"/>
          <w:szCs w:val="24"/>
        </w:rPr>
        <w:t xml:space="preserve"> iii. charges and rights in rem over property;</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iv. other guarantees, if any;</w:t>
      </w:r>
    </w:p>
    <w:p w:rsidR="002167A7" w:rsidRPr="007647A8" w:rsidRDefault="001B6DA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d) the history of property rights over the property, its price and the encumbrances or restrictions affecting it; </w:t>
      </w:r>
    </w:p>
    <w:p w:rsidR="00591235" w:rsidRPr="007647A8" w:rsidRDefault="001B6DA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e) the relevant documentation.</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When a cadastral parcel includes more than one property, the information specified in point 1 of this article shall be made available for each property included in that cadastral parcel.</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historical information according to point 1, letter “d” of this article, must cover at least the period starting from 8 July 2019.</w:t>
      </w:r>
    </w:p>
    <w:p w:rsidR="00591235" w:rsidRPr="007647A8" w:rsidRDefault="009672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 The authority responsible for the creation, administration and functioning of the access system, in cooperation with the authorities that administer the sources of information, determines organisational and procedural mechanisms for guaranteeing the updating and accuracy of the information that is made available through this system.</w:t>
      </w:r>
    </w:p>
    <w:p w:rsidR="00591235" w:rsidRPr="007647A8" w:rsidRDefault="009672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3. The authorities that administer the information sources that supply the single access system for information on immovable property shall determine organisational and procedural measures to make the available information available in electronic format immediately to the requesting competent authority.</w:t>
      </w:r>
    </w:p>
    <w:p w:rsidR="00591235" w:rsidRPr="007647A8" w:rsidRDefault="00591235"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In cases where the information is not administered in electronic format, it is made available, free of charge, within a reasonable period and in a manner that does not hinder the exercise of the legal functions of the requesting competent authority.</w:t>
      </w:r>
    </w:p>
    <w:p w:rsidR="00591235" w:rsidRPr="007647A8" w:rsidRDefault="0096728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4. The authority responsible for the access system, the authorities responsible for the sources of information, the competent authorities that benefit from access, as well as the rules of inter-institutional coordination, the procedures for access, updating and quality control of the data shall be determined by decision of the Council of Ministers.</w:t>
      </w:r>
    </w:p>
    <w:p w:rsidR="002A0945" w:rsidRPr="007647A8" w:rsidRDefault="002A0945" w:rsidP="002A39C9">
      <w:pPr>
        <w:widowControl w:val="0"/>
        <w:spacing w:after="0"/>
        <w:ind w:left="0" w:firstLine="709"/>
        <w:rPr>
          <w:rFonts w:ascii="Times New Roman" w:hAnsi="Times New Roman" w:cs="Times New Roman"/>
          <w:sz w:val="24"/>
          <w:szCs w:val="24"/>
        </w:rPr>
      </w:pPr>
    </w:p>
    <w:p w:rsidR="00C915D2" w:rsidRPr="007647A8" w:rsidRDefault="00C915D2" w:rsidP="002A39C9">
      <w:pPr>
        <w:pStyle w:val="NormalWeb"/>
        <w:spacing w:before="0" w:beforeAutospacing="0" w:after="0" w:afterAutospacing="0" w:line="276" w:lineRule="auto"/>
        <w:jc w:val="center"/>
        <w:rPr>
          <w:rStyle w:val="Strong"/>
        </w:rPr>
      </w:pPr>
    </w:p>
    <w:p w:rsidR="009C19E0" w:rsidRPr="007647A8" w:rsidRDefault="00E00975" w:rsidP="002A39C9">
      <w:pPr>
        <w:pStyle w:val="NormalWeb"/>
        <w:spacing w:before="0" w:beforeAutospacing="0" w:after="0" w:afterAutospacing="0" w:line="276" w:lineRule="auto"/>
        <w:jc w:val="center"/>
        <w:rPr>
          <w:rStyle w:val="Strong"/>
        </w:rPr>
      </w:pPr>
      <w:r>
        <w:rPr>
          <w:rStyle w:val="Strong"/>
        </w:rPr>
        <w:t>CHAPTER II</w:t>
      </w:r>
    </w:p>
    <w:p w:rsidR="006B4F6B" w:rsidRPr="007647A8" w:rsidRDefault="006B4F6B" w:rsidP="002A39C9">
      <w:pPr>
        <w:pStyle w:val="NormalWeb"/>
        <w:spacing w:before="0" w:beforeAutospacing="0" w:after="0" w:afterAutospacing="0" w:line="276" w:lineRule="auto"/>
        <w:jc w:val="center"/>
      </w:pPr>
      <w:r>
        <w:rPr>
          <w:rStyle w:val="Strong"/>
        </w:rPr>
        <w:t>The organisation, functioning and exercise of duties by the responsible authority</w:t>
      </w:r>
    </w:p>
    <w:p w:rsidR="00EF6B6C" w:rsidRPr="007647A8" w:rsidRDefault="00EF6B6C" w:rsidP="002A39C9">
      <w:pPr>
        <w:widowControl w:val="0"/>
        <w:spacing w:after="0"/>
        <w:ind w:left="0" w:firstLine="709"/>
        <w:jc w:val="center"/>
        <w:rPr>
          <w:rFonts w:ascii="Times New Roman" w:eastAsia="Calibri" w:hAnsi="Times New Roman" w:cs="Times New Roman"/>
          <w:sz w:val="24"/>
          <w:szCs w:val="24"/>
        </w:rPr>
      </w:pPr>
    </w:p>
    <w:p w:rsidR="002005E2" w:rsidRPr="007647A8" w:rsidRDefault="002005E2" w:rsidP="002A39C9">
      <w:pPr>
        <w:widowControl w:val="0"/>
        <w:spacing w:after="0"/>
        <w:ind w:left="0"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Article 14</w:t>
      </w:r>
    </w:p>
    <w:p w:rsidR="002005E2" w:rsidRPr="007647A8" w:rsidRDefault="000D492F" w:rsidP="002A39C9">
      <w:pPr>
        <w:widowControl w:val="0"/>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Organisation and functioning of the responsible authority</w:t>
      </w:r>
    </w:p>
    <w:p w:rsidR="002005E2" w:rsidRPr="007647A8" w:rsidRDefault="002005E2" w:rsidP="002A39C9">
      <w:pPr>
        <w:widowControl w:val="0"/>
        <w:spacing w:after="0"/>
        <w:ind w:left="0" w:firstLine="0"/>
        <w:rPr>
          <w:rFonts w:ascii="Times New Roman" w:hAnsi="Times New Roman" w:cs="Times New Roman"/>
          <w:sz w:val="24"/>
          <w:szCs w:val="24"/>
        </w:rPr>
      </w:pPr>
    </w:p>
    <w:p w:rsidR="00683857" w:rsidRPr="007647A8" w:rsidRDefault="000D492F" w:rsidP="002A39C9">
      <w:pPr>
        <w:pStyle w:val="ListParagraph"/>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is organised as a general directorate under the responsibility of the minister responsible for finance, exercises the functions of the responsible authority under this law and serves as a specialised financial unit for the prevention of money laundering, terrorist financing and the financing of the proliferation of weapons of mass destruction within its field of responsibility.</w:t>
      </w:r>
    </w:p>
    <w:p w:rsidR="00683857" w:rsidRPr="007647A8" w:rsidRDefault="00161E21" w:rsidP="002A39C9">
      <w:pPr>
        <w:pStyle w:val="ListParagraph"/>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employment relationships of the director general, civil servants and administrative employees shall be governed on the basis of the Labour Code.</w:t>
      </w:r>
    </w:p>
    <w:p w:rsidR="00AC507B" w:rsidRPr="007647A8" w:rsidRDefault="00683857" w:rsidP="002A39C9">
      <w:pPr>
        <w:pStyle w:val="ListParagraph"/>
        <w:widowControl w:val="0"/>
        <w:spacing w:after="0"/>
        <w:ind w:left="0" w:firstLine="720"/>
        <w:rPr>
          <w:rFonts w:ascii="Times New Roman" w:hAnsi="Times New Roman" w:cs="Times New Roman"/>
          <w:sz w:val="24"/>
          <w:szCs w:val="24"/>
        </w:rPr>
      </w:pPr>
      <w:r>
        <w:rPr>
          <w:rFonts w:ascii="Times New Roman" w:hAnsi="Times New Roman" w:cs="Times New Roman"/>
          <w:bCs/>
          <w:sz w:val="24"/>
          <w:szCs w:val="24"/>
        </w:rPr>
        <w:t xml:space="preserve">3. The Director General of the Financial Intelligence Agency is appointed, released or dismissed from office by decision of the Council of Ministers, upon the proposal of the minister responsible for finance. </w:t>
      </w:r>
      <w:r>
        <w:rPr>
          <w:rFonts w:ascii="Times New Roman" w:hAnsi="Times New Roman" w:cs="Times New Roman"/>
          <w:sz w:val="24"/>
          <w:szCs w:val="24"/>
        </w:rPr>
        <w:t>The decision on release or dismissal from office must be reasoned and shall be notified to the Director General.</w:t>
      </w:r>
    </w:p>
    <w:p w:rsidR="009B341C" w:rsidRPr="007647A8" w:rsidRDefault="00446339" w:rsidP="002A39C9">
      <w:pPr>
        <w:spacing w:after="0"/>
        <w:ind w:left="0" w:firstLine="706"/>
        <w:rPr>
          <w:rFonts w:ascii="Times New Roman" w:hAnsi="Times New Roman" w:cs="Times New Roman"/>
          <w:sz w:val="24"/>
          <w:szCs w:val="24"/>
        </w:rPr>
      </w:pPr>
      <w:r>
        <w:rPr>
          <w:rFonts w:ascii="Times New Roman" w:hAnsi="Times New Roman" w:cs="Times New Roman"/>
          <w:sz w:val="24"/>
          <w:szCs w:val="24"/>
        </w:rPr>
        <w:t>4. Recruitment, admission, evaluation, promotion, movement, transfer, the types of disciplinary measures and the procedures for their review, as well as the termination of the employment relationship for the employees of the responsible authority are carried out according to special procedures, which guarantee selection and treatment on the basis of merit, integrity, professionalism, political impartiality, preservation of confidentiality and suitability for access to classified information. These procedures are determined and implemented in accordance with the Labour Code, the bylaws issued for its implementation and of this law.</w:t>
      </w:r>
    </w:p>
    <w:p w:rsidR="000D492F" w:rsidRPr="007647A8" w:rsidRDefault="000D492F" w:rsidP="002A39C9">
      <w:pPr>
        <w:pStyle w:val="ListParagraph"/>
        <w:spacing w:after="0"/>
        <w:ind w:left="0" w:firstLine="706"/>
        <w:rPr>
          <w:rFonts w:ascii="Times New Roman" w:hAnsi="Times New Roman" w:cs="Times New Roman"/>
          <w:sz w:val="24"/>
          <w:szCs w:val="24"/>
        </w:rPr>
      </w:pPr>
      <w:r>
        <w:rPr>
          <w:rFonts w:ascii="Times New Roman" w:hAnsi="Times New Roman" w:cs="Times New Roman"/>
          <w:sz w:val="24"/>
          <w:szCs w:val="24"/>
        </w:rPr>
        <w:t xml:space="preserve">The manner of organisation and functioning of </w:t>
      </w:r>
      <w:r>
        <w:rPr>
          <w:rFonts w:ascii="Times New Roman" w:hAnsi="Times New Roman" w:cs="Times New Roman"/>
          <w:bCs/>
          <w:sz w:val="24"/>
          <w:szCs w:val="24"/>
        </w:rPr>
        <w:t xml:space="preserve">the responsible authority </w:t>
      </w:r>
      <w:r>
        <w:rPr>
          <w:rFonts w:ascii="Times New Roman" w:hAnsi="Times New Roman" w:cs="Times New Roman"/>
          <w:sz w:val="24"/>
          <w:szCs w:val="24"/>
        </w:rPr>
        <w:t>are determined by decision of the Council of Ministers.</w:t>
      </w:r>
    </w:p>
    <w:p w:rsidR="002005E2" w:rsidRPr="007647A8" w:rsidRDefault="00651B64" w:rsidP="002A39C9">
      <w:pPr>
        <w:widowControl w:val="0"/>
        <w:spacing w:after="0"/>
        <w:ind w:left="0" w:firstLine="706"/>
        <w:rPr>
          <w:rFonts w:ascii="Times New Roman" w:hAnsi="Times New Roman" w:cs="Times New Roman"/>
          <w:sz w:val="24"/>
          <w:szCs w:val="24"/>
        </w:rPr>
      </w:pPr>
      <w:r>
        <w:rPr>
          <w:rFonts w:ascii="Times New Roman" w:hAnsi="Times New Roman" w:cs="Times New Roman"/>
          <w:sz w:val="24"/>
          <w:szCs w:val="24"/>
        </w:rPr>
        <w:t>5. The responsible authority is the sole national central unit responsible for receiving and analysing reports submitted by obliged entities in accordance with this law, as well as any other information related to money laundering and criminal offences related thereto, the financing of terrorism and the financing of the proliferation of weapons of mass destruction. The responsible authority also receives and analyses, inter alia, information transmitted by the customs authorities regarding the cross-border transportation of monetary instruments according to the provisions of Part IV of this law, as well as information forwarded by supervisory authorities or other competent authorities, in accordance with the provisions of this law.</w:t>
      </w:r>
    </w:p>
    <w:p w:rsidR="002005E2" w:rsidRPr="007647A8" w:rsidRDefault="001678E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6. The Financial Intelligence Agency is responsible for the dissemination of the results of its analyses, as well as any other necessary additional information, to the relevant competent authorities, when there are grounds to suspect money laundering, criminal offences related to it, or terrorist financing or the financing of the proliferation of weapons of mass destruction. For the exercise of these functions, the Financial Intelligence Agency has the right to request and receive additional information from the obliged entities, in accordance with this law.</w:t>
      </w:r>
    </w:p>
    <w:p w:rsidR="002005E2" w:rsidRPr="007647A8" w:rsidRDefault="00050CC7"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7. The Financial Intelligence Agency performs the function of financial analysis, which consists of the following:</w:t>
      </w:r>
    </w:p>
    <w:p w:rsidR="002005E2" w:rsidRPr="007647A8" w:rsidRDefault="004B102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operational analysis, which focuses on individual cases and specific objectives or on appropriately selected information, prioritised on the basis of risk, the type and volume of reports received from obliged entities, as well as the expected use of the information after dissemination;</w:t>
      </w:r>
    </w:p>
    <w:p w:rsidR="002005E2" w:rsidRPr="007647A8" w:rsidRDefault="009374E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strategic analysis, which addresses the trends, patterns and developments of money laundering, terrorist financing and the financing of the proliferation of weapons of mass destruction.</w:t>
      </w:r>
    </w:p>
    <w:p w:rsidR="002005E2" w:rsidRPr="007647A8" w:rsidRDefault="0046556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8. The Financial Intelligence Agency exercises its competences in an independent and autonomous manner. In the exercise of the functions provided for in this law, it has the full authority and capacity to perform its functions freely, including the right to make independent or autonomous decisions regarding the analysis, inquiry and dissemination of information, in accordance with point 6 of this article. </w:t>
      </w:r>
    </w:p>
    <w:p w:rsidR="00CD7541" w:rsidRPr="007647A8" w:rsidRDefault="00CD754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administrative dependence of the Financial Intelligence Agency does not affect its operational independence. In the exercise of the functions of receiving, requesting, accessing, administering, analysing and disseminating information, as well as in decision-making on the measures provided for in this law, the Financial Intelligence Agency acts independently and autonomously.</w:t>
      </w:r>
    </w:p>
    <w:p w:rsidR="00CD7541" w:rsidRPr="007647A8" w:rsidRDefault="00C95F3B"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Any form of inappropriate political, governmental, or industrial or economic sector influence or interference is prohibited in the exercise of the functions and competencies of the Financial Intelligence Agency. Likewise, no public body, official, private entity, or other person may give orders, instructions, guidance, or exercise direct or indirect influence over the responsible authority in relation to a конкрет case, concrete analysis, request for information, decision on the dissemination of information, freezing decision, monitoring, control, or inspection provided for by this law.</w:t>
      </w:r>
    </w:p>
    <w:p w:rsidR="009E1FF1" w:rsidRPr="007647A8" w:rsidRDefault="00CA5AFE"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9. The Financial Intelligence Agency shall be guaranteed sufficient financial, human and technical resources for the effective exercise of the functions and powers provided for in this law. </w:t>
      </w:r>
    </w:p>
    <w:p w:rsidR="000F6E79" w:rsidRPr="007647A8" w:rsidRDefault="009E1FF1"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Financial Intelligence Agency administers and uses autonomously the resources necessary for the fulfilment of its functions, in accordance with the legislation in force.</w:t>
      </w:r>
    </w:p>
    <w:p w:rsidR="002005E2" w:rsidRPr="007647A8" w:rsidRDefault="00385F39"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10. The employees of the Financial Intelligence Agency are subject to the obligation to maintain professional secrecy, at a level equivalent to the requirements provided for in Article 80 of this law and by the relevant legislation in force.</w:t>
      </w:r>
    </w:p>
    <w:p w:rsidR="002005E2" w:rsidRPr="007647A8" w:rsidRDefault="002005E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Financial Intelligence Agency ensures that its employees meet high professional standards, including high standards for data protection, professional integrity and the skills necessary for the ethical and secure handling of large volumes of data.</w:t>
      </w:r>
    </w:p>
    <w:p w:rsidR="0034101D" w:rsidRPr="007647A8" w:rsidRDefault="002005E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The Financial Intelligence Agency establishes and implements internal procedures for the prevention, identification and management of conflicts of interest in accordance with the legal framework in force. </w:t>
      </w:r>
    </w:p>
    <w:p w:rsidR="002005E2" w:rsidRPr="007647A8" w:rsidRDefault="002005E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criteria, procedures and measures for the implementation of this point shall be determined in the institution's internal regulation.</w:t>
      </w:r>
    </w:p>
    <w:p w:rsidR="002005E2" w:rsidRPr="007647A8" w:rsidRDefault="000D492F"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11. The Financial Intelligence Agency establishes and implements special rules for guaranteeing the security and confidentiality of the information it administers, including classified information and personal data, in accordance with this law and the legislation in force on classified information.</w:t>
      </w:r>
    </w:p>
    <w:p w:rsidR="00185E77" w:rsidRPr="007647A8" w:rsidRDefault="00185E77" w:rsidP="002A39C9">
      <w:pPr>
        <w:pStyle w:val="Paragrafi"/>
        <w:spacing w:line="276" w:lineRule="auto"/>
        <w:rPr>
          <w:rFonts w:ascii="Times New Roman" w:eastAsiaTheme="minorHAnsi" w:hAnsi="Times New Roman"/>
          <w:sz w:val="24"/>
          <w:szCs w:val="24"/>
        </w:rPr>
      </w:pPr>
      <w:r>
        <w:rPr>
          <w:rFonts w:ascii="Times New Roman" w:hAnsi="Times New Roman"/>
          <w:sz w:val="24"/>
          <w:szCs w:val="24"/>
        </w:rPr>
        <w:t>12. For the purpose of preserving confidentiality for its field of activity, the security of personnel or systems in use, the Financial Intelligence Agency may impose restrictions on the data requested in the exercise of the right to information, if the restriction is necessary and proportionate. The Financial Intelligence Agency must justify the restriction on a case-by-case basis.</w:t>
      </w:r>
    </w:p>
    <w:p w:rsidR="002005E2" w:rsidRPr="007647A8" w:rsidRDefault="000D492F"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13. The Financial Intelligence Agency ensures the establishment and operation of secure and protected channels for communication and exchange of information by means of electronic tools with the competent authorities and obliged entities. These communication channels guarantee the integrity, confidentiality and traceability of the information exchanged and compliance with data protection requirements and information security.</w:t>
      </w:r>
    </w:p>
    <w:p w:rsidR="002005E2" w:rsidRPr="007647A8" w:rsidRDefault="002005E2"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The technical and procedural rules for the creation, use and administration of these channels are defined in the cooperation agreements concluded between the authorities and in the internal acts of the institution.</w:t>
      </w:r>
    </w:p>
    <w:p w:rsidR="006841EF" w:rsidRPr="007647A8" w:rsidRDefault="006841EF"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14. The Financial Intelligence Agency, in the exercise of its functions under this law, exchanges information with the prosecution offices of general jurisdiction, the Special Prosecution Office Against Corruption and Organized Crime, the Albanian State Police, the National Bureau of Investigation, the State Intelligence Service and other competent authorities in the implementation of the law or intelligence, on issues of laundering of proceeds of crime, criminal offences or criminal activities that generate proceeds of crime, financing of terrorism or the financing of the proliferation of weapons of mass destruction, and may also sign bilateral or multilateral cooperation agreements with them, in accordance with the competences of each authority and with the legislation in force.</w:t>
      </w:r>
    </w:p>
    <w:p w:rsidR="00216A80" w:rsidRPr="007647A8" w:rsidRDefault="00245704"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15. The Financial Intelligence Agency may enter into agreements with any foreign counterpart agency, or other bodies abroad, that are subject to similar confidentiality obligations.</w:t>
      </w:r>
    </w:p>
    <w:p w:rsidR="008A32B5" w:rsidRPr="007647A8" w:rsidRDefault="0032012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16. The Financial Intelligence Agency, mainly, on the basis of a decision of the Council of Ministers, or for cases requested by the Financial Action Task Force or by other international bodies, from which obligations arise for the Republic of Albania, issues a list of countries for the restriction and/or control of transactions or business relationships of entities, proportionally to the risks identified, these decisions being binding for implementation by the obliged entities and the state authorities that have obligations under this law.</w:t>
      </w:r>
    </w:p>
    <w:p w:rsidR="00523533" w:rsidRPr="007647A8" w:rsidRDefault="000935F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17. The minister responsible for finance, upon the proposal of the responsible authority, within 6 months from the acts issued by AMLA, issues by instruction:</w:t>
      </w:r>
    </w:p>
    <w:p w:rsidR="002005E2" w:rsidRPr="007647A8" w:rsidRDefault="00523533"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the measures that must be taken to preserve the autonomy and operational independence of the responsible authority, including measures to prevent conflicts of interest from affecting its autonomy and operational independence;</w:t>
      </w:r>
    </w:p>
    <w:p w:rsidR="00523533" w:rsidRPr="007647A8" w:rsidRDefault="00523533"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the nature, characteristics and objectives of operational and strategic analysis;</w:t>
      </w:r>
    </w:p>
    <w:p w:rsidR="00523533" w:rsidRPr="007647A8" w:rsidRDefault="00523533"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the means and methods for the use and cross-checking of financial, administrative and law enforcement information to which the responsible authority has access;</w:t>
      </w:r>
    </w:p>
    <w:p w:rsidR="00523533" w:rsidRPr="007647A8" w:rsidRDefault="00523533"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d) the practices and procedures for suspending or refusing consent for the performance of the transaction and the suspension or monitoring of an account or business relationship in accordance with Articles 26 and 27 of this law.</w:t>
      </w:r>
    </w:p>
    <w:p w:rsidR="00D61A6C" w:rsidRPr="007647A8" w:rsidRDefault="00D61A6C" w:rsidP="002A39C9">
      <w:pPr>
        <w:widowControl w:val="0"/>
        <w:spacing w:after="0"/>
        <w:ind w:left="0" w:firstLine="709"/>
        <w:rPr>
          <w:rFonts w:ascii="Times New Roman" w:hAnsi="Times New Roman" w:cs="Times New Roman"/>
          <w:sz w:val="24"/>
          <w:szCs w:val="24"/>
        </w:rPr>
      </w:pPr>
    </w:p>
    <w:p w:rsidR="000D492F"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15</w:t>
      </w:r>
    </w:p>
    <w:p w:rsidR="000D492F" w:rsidRPr="007647A8" w:rsidRDefault="000D492F"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ICT structures</w:t>
      </w:r>
    </w:p>
    <w:p w:rsidR="000D492F" w:rsidRPr="007647A8" w:rsidRDefault="000D492F" w:rsidP="002A39C9">
      <w:pPr>
        <w:widowControl w:val="0"/>
        <w:spacing w:after="0"/>
        <w:ind w:left="0" w:firstLine="0"/>
        <w:rPr>
          <w:rFonts w:ascii="Times New Roman" w:hAnsi="Times New Roman" w:cs="Times New Roman"/>
          <w:sz w:val="24"/>
          <w:szCs w:val="24"/>
        </w:rPr>
      </w:pPr>
    </w:p>
    <w:p w:rsidR="000D492F" w:rsidRPr="007647A8" w:rsidRDefault="000D492F" w:rsidP="002A39C9">
      <w:pPr>
        <w:spacing w:after="0"/>
        <w:ind w:left="0" w:firstLine="720"/>
        <w:rPr>
          <w:rFonts w:ascii="Times New Roman" w:hAnsi="Times New Roman" w:cs="Times New Roman"/>
          <w:sz w:val="24"/>
          <w:szCs w:val="24"/>
        </w:rPr>
      </w:pPr>
      <w:r>
        <w:rPr>
          <w:rFonts w:ascii="Times New Roman" w:eastAsia="MS Mincho" w:hAnsi="Times New Roman" w:cs="Times New Roman"/>
          <w:sz w:val="24"/>
          <w:szCs w:val="24"/>
        </w:rPr>
        <w:t xml:space="preserve">The Financial Intelligence Agency, with regard to the information and communication technology (ICT) structure that it has in use, has the following competencies: </w:t>
      </w:r>
    </w:p>
    <w:p w:rsidR="000D492F" w:rsidRPr="007647A8" w:rsidRDefault="000D492F"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a) establishes, maintains and administers ICT systems, applications and infrastructure, including those classified as "state secret";</w:t>
      </w:r>
    </w:p>
    <w:p w:rsidR="000D492F" w:rsidRPr="007647A8" w:rsidRDefault="000D492F"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b) administers the respective structure of information technology employees in the institution;</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c) administers the respective code of each system that is used for the purposes of the functioning of the institution;</w:t>
      </w:r>
    </w:p>
    <w:p w:rsidR="000D492F" w:rsidRPr="007647A8" w:rsidRDefault="000D492F"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d) uses, as far as possible, the exchange of data electronically with the databases interconnected on the governmental interoperability platform;</w:t>
      </w:r>
    </w:p>
    <w:p w:rsidR="000D492F" w:rsidRPr="007647A8" w:rsidRDefault="000D492F"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dh) cooperates with the National Agencyof Information Society:</w:t>
      </w:r>
    </w:p>
    <w:p w:rsidR="000D492F" w:rsidRPr="007647A8" w:rsidRDefault="007647A8"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i. coordinating projects in the field of the information society;</w:t>
      </w:r>
    </w:p>
    <w:p w:rsidR="000D492F" w:rsidRPr="007647A8" w:rsidRDefault="007647A8"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ii. using Albanian standards in the ICT field, approved by the National Agency of Information Society, in accordance with international standards;</w:t>
      </w:r>
    </w:p>
    <w:p w:rsidR="000D492F" w:rsidRPr="007647A8" w:rsidRDefault="007647A8" w:rsidP="002A39C9">
      <w:pPr>
        <w:widowControl w:val="0"/>
        <w:spacing w:after="0"/>
        <w:ind w:left="0" w:firstLine="720"/>
        <w:rPr>
          <w:rFonts w:ascii="Times New Roman" w:eastAsia="MS Mincho" w:hAnsi="Times New Roman" w:cs="Times New Roman"/>
          <w:sz w:val="24"/>
          <w:szCs w:val="24"/>
        </w:rPr>
      </w:pPr>
      <w:r>
        <w:rPr>
          <w:rFonts w:ascii="Times New Roman" w:hAnsi="Times New Roman" w:cs="Times New Roman"/>
          <w:sz w:val="24"/>
          <w:szCs w:val="24"/>
        </w:rPr>
        <w:t>iii. to guarantee a high level of cybersecurity and solutions to computer security incidents.</w:t>
      </w:r>
    </w:p>
    <w:p w:rsidR="000D492F" w:rsidRPr="007647A8" w:rsidRDefault="000D492F" w:rsidP="002A39C9">
      <w:pPr>
        <w:pStyle w:val="Paragrafi"/>
        <w:spacing w:line="276" w:lineRule="auto"/>
        <w:ind w:firstLine="0"/>
        <w:rPr>
          <w:rFonts w:ascii="Times New Roman" w:hAnsi="Times New Roman"/>
          <w:sz w:val="24"/>
          <w:szCs w:val="24"/>
        </w:rPr>
      </w:pPr>
    </w:p>
    <w:p w:rsidR="002C7B53" w:rsidRPr="007647A8" w:rsidRDefault="002C7B53" w:rsidP="002A39C9">
      <w:pPr>
        <w:widowControl w:val="0"/>
        <w:spacing w:after="0"/>
        <w:ind w:left="0" w:firstLine="709"/>
        <w:jc w:val="center"/>
        <w:rPr>
          <w:rFonts w:ascii="Times New Roman" w:hAnsi="Times New Roman" w:cs="Times New Roman"/>
          <w:sz w:val="24"/>
          <w:szCs w:val="24"/>
        </w:rPr>
      </w:pPr>
    </w:p>
    <w:p w:rsidR="00CF2F70" w:rsidRPr="007647A8" w:rsidRDefault="00CF2F70" w:rsidP="002A39C9">
      <w:pPr>
        <w:widowControl w:val="0"/>
        <w:spacing w:after="0"/>
        <w:ind w:left="0" w:firstLine="709"/>
        <w:jc w:val="center"/>
        <w:rPr>
          <w:rFonts w:ascii="Times New Roman" w:hAnsi="Times New Roman" w:cs="Times New Roman"/>
          <w:sz w:val="24"/>
          <w:szCs w:val="24"/>
        </w:rPr>
      </w:pPr>
      <w:r>
        <w:rPr>
          <w:rFonts w:ascii="Times New Roman" w:hAnsi="Times New Roman" w:cs="Times New Roman"/>
          <w:sz w:val="24"/>
          <w:szCs w:val="24"/>
        </w:rPr>
        <w:t>Article 16</w:t>
      </w:r>
    </w:p>
    <w:p w:rsidR="00CF2F70" w:rsidRPr="007647A8" w:rsidRDefault="00A70F9F" w:rsidP="002A39C9">
      <w:pPr>
        <w:widowControl w:val="0"/>
        <w:spacing w:after="0"/>
        <w:ind w:left="0" w:firstLine="709"/>
        <w:jc w:val="center"/>
        <w:rPr>
          <w:rFonts w:ascii="Times New Roman" w:hAnsi="Times New Roman" w:cs="Times New Roman"/>
          <w:b/>
          <w:sz w:val="24"/>
          <w:szCs w:val="24"/>
        </w:rPr>
      </w:pPr>
      <w:r>
        <w:rPr>
          <w:rFonts w:ascii="Times New Roman" w:hAnsi="Times New Roman" w:cs="Times New Roman"/>
          <w:b/>
          <w:sz w:val="24"/>
          <w:szCs w:val="24"/>
        </w:rPr>
        <w:t>Responsibility for fundamental rights</w:t>
      </w:r>
    </w:p>
    <w:p w:rsidR="00CF2F70" w:rsidRPr="007647A8" w:rsidRDefault="00CF2F70" w:rsidP="002A39C9">
      <w:pPr>
        <w:widowControl w:val="0"/>
        <w:spacing w:after="0"/>
        <w:ind w:left="0" w:firstLine="709"/>
        <w:rPr>
          <w:rFonts w:ascii="Times New Roman" w:hAnsi="Times New Roman" w:cs="Times New Roman"/>
          <w:sz w:val="24"/>
          <w:szCs w:val="24"/>
        </w:rPr>
      </w:pPr>
    </w:p>
    <w:p w:rsidR="00400848"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1. The Financial Intelligence Agency appoints a person responsible for fundamental rights, who exercises his function as an internal advisory and supervisory mechanism for guaranteeing respect for fundamental rights in the activity of the institution. </w:t>
      </w:r>
    </w:p>
    <w:p w:rsidR="00CF2F70" w:rsidRPr="007647A8" w:rsidRDefault="00F656E6"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 xml:space="preserve">The function of the officer responsible for fundamental rights is exercised by one of the existing employees of the Financial Intelligence Agency. </w:t>
      </w:r>
    </w:p>
    <w:p w:rsidR="00CF2F70"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2. The officer responsible for fundamental rights performs the following duties:</w:t>
      </w:r>
    </w:p>
    <w:p w:rsidR="00CF2F70" w:rsidRPr="007647A8" w:rsidRDefault="001C644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a) advises the employees of the Financial Intelligence Agency on its activities, when it considers it necessary or at the request of the employees, without obstructing or delaying the exercise of these activities;</w:t>
      </w:r>
    </w:p>
    <w:p w:rsidR="00CF2F70"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b) promotes and supervises the compliance of the activity of the Financial Intelligence Agency with fundamental rights;</w:t>
      </w:r>
    </w:p>
    <w:p w:rsidR="00CF2F70"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c) gives advisory, non-binding opinions on the compliance of the activity of the Financial Intelligence Agency with fundamental rights;</w:t>
      </w:r>
    </w:p>
    <w:p w:rsidR="00CF2F70"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d) informs the head of the Financial Intelligence Agency of any risk or possible case of violation of fundamental rights during the exercise of its activity.</w:t>
      </w:r>
    </w:p>
    <w:p w:rsidR="00CF2F70" w:rsidRPr="007647A8" w:rsidRDefault="00CF2F70"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3. Fundamental Rights Officer exercises his functions independently and does not take instructions in connection with the exercise of these functions.</w:t>
      </w:r>
    </w:p>
    <w:p w:rsidR="00857461" w:rsidRPr="007647A8" w:rsidRDefault="001C644C" w:rsidP="002A39C9">
      <w:pPr>
        <w:widowControl w:val="0"/>
        <w:spacing w:after="0"/>
        <w:ind w:left="0" w:firstLine="709"/>
        <w:rPr>
          <w:rFonts w:ascii="Times New Roman" w:hAnsi="Times New Roman" w:cs="Times New Roman"/>
          <w:sz w:val="24"/>
          <w:szCs w:val="24"/>
        </w:rPr>
      </w:pPr>
      <w:r>
        <w:rPr>
          <w:rFonts w:ascii="Times New Roman" w:hAnsi="Times New Roman" w:cs="Times New Roman"/>
          <w:sz w:val="24"/>
          <w:szCs w:val="24"/>
        </w:rPr>
        <w:t>4. The manner of appointment, the functional status, the criteria and procedures for the exercise of the powers of the person responsible for fundamental rights are determined in the institution's internal regulation.</w:t>
      </w:r>
    </w:p>
    <w:p w:rsidR="006A49AF" w:rsidRPr="007647A8" w:rsidRDefault="006A49AF" w:rsidP="002A39C9">
      <w:pPr>
        <w:widowControl w:val="0"/>
        <w:spacing w:after="0"/>
        <w:ind w:left="0" w:firstLine="0"/>
        <w:rPr>
          <w:rFonts w:ascii="Times New Roman" w:hAnsi="Times New Roman" w:cs="Times New Roman"/>
          <w:sz w:val="24"/>
          <w:szCs w:val="24"/>
        </w:rPr>
      </w:pPr>
    </w:p>
    <w:p w:rsidR="006A49AF" w:rsidRPr="007647A8" w:rsidRDefault="006A49AF" w:rsidP="002A39C9">
      <w:pPr>
        <w:pStyle w:val="NormalWeb"/>
        <w:spacing w:before="0" w:beforeAutospacing="0" w:after="0" w:afterAutospacing="0" w:line="276" w:lineRule="auto"/>
        <w:jc w:val="center"/>
        <w:rPr>
          <w:rFonts w:eastAsia="Calibri"/>
          <w:b/>
          <w:bCs/>
        </w:rPr>
      </w:pPr>
      <w:r>
        <w:rPr>
          <w:rFonts w:eastAsia="Calibri"/>
          <w:bCs/>
        </w:rPr>
        <w:t>Article 17</w:t>
      </w:r>
      <w:r w:rsidRPr="007647A8">
        <w:rPr>
          <w:rFonts w:eastAsia="Calibri"/>
        </w:rPr>
        <w:br/>
      </w:r>
      <w:r>
        <w:rPr>
          <w:rFonts w:eastAsia="Calibri"/>
          <w:b/>
          <w:bCs/>
        </w:rPr>
        <w:t>Access to information</w:t>
      </w:r>
    </w:p>
    <w:p w:rsidR="00DA739C" w:rsidRPr="007647A8" w:rsidRDefault="00DA739C" w:rsidP="002A39C9">
      <w:pPr>
        <w:pStyle w:val="NormalWeb"/>
        <w:spacing w:before="0" w:beforeAutospacing="0" w:after="0" w:afterAutospacing="0" w:line="276" w:lineRule="auto"/>
        <w:jc w:val="center"/>
        <w:rPr>
          <w:rFonts w:eastAsia="Calibri"/>
          <w:bCs/>
        </w:rPr>
      </w:pPr>
    </w:p>
    <w:p w:rsidR="006A49AF" w:rsidRPr="007647A8" w:rsidRDefault="006A49AF" w:rsidP="002A39C9">
      <w:pPr>
        <w:pStyle w:val="NormalWeb"/>
        <w:spacing w:before="0" w:beforeAutospacing="0" w:after="0" w:afterAutospacing="0" w:line="276" w:lineRule="auto"/>
        <w:ind w:firstLine="709"/>
        <w:jc w:val="both"/>
        <w:rPr>
          <w:rFonts w:eastAsia="Calibri"/>
        </w:rPr>
      </w:pPr>
      <w:r>
        <w:rPr>
          <w:rFonts w:eastAsia="Calibri"/>
        </w:rPr>
        <w:t>1. The Financial Intelligence Agency, regardless of the form of its organisation, has access to the information necessary for the fulfilment of its duties and functions, including financial information, administrative information and information held by the competent authorities and law enforcement authorities.</w:t>
      </w:r>
    </w:p>
    <w:p w:rsidR="006A4703" w:rsidRPr="007647A8" w:rsidRDefault="006A49AF" w:rsidP="002A39C9">
      <w:pPr>
        <w:pStyle w:val="NormalWeb"/>
        <w:spacing w:before="0" w:beforeAutospacing="0" w:after="0" w:afterAutospacing="0" w:line="276" w:lineRule="auto"/>
        <w:ind w:firstLine="709"/>
        <w:jc w:val="both"/>
        <w:rPr>
          <w:rFonts w:eastAsia="Calibri"/>
        </w:rPr>
      </w:pPr>
      <w:r>
        <w:rPr>
          <w:rFonts w:eastAsia="Calibri"/>
        </w:rPr>
        <w:t>The Financial Intelligence Agency has access, including but not limited to, the following categories of information:</w:t>
      </w:r>
    </w:p>
    <w:p w:rsidR="006A4703" w:rsidRPr="007647A8" w:rsidRDefault="006A49AF" w:rsidP="002A39C9">
      <w:pPr>
        <w:pStyle w:val="NormalWeb"/>
        <w:spacing w:before="0" w:beforeAutospacing="0" w:after="0" w:afterAutospacing="0" w:line="276" w:lineRule="auto"/>
        <w:ind w:firstLine="720"/>
        <w:jc w:val="both"/>
        <w:rPr>
          <w:rFonts w:eastAsia="Calibri"/>
        </w:rPr>
      </w:pPr>
      <w:r>
        <w:rPr>
          <w:rFonts w:eastAsia="Calibri"/>
        </w:rPr>
        <w:t>a) immediate and direct access to financial information as follows: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 the information administered in the national automated and centralised mechanisms for the keeping and processing of financial data according to the provisions of the law on the central register of bank accounts;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ii. information from obliged entities, including information on transfers of funds, according to the definitions in Article 150, point 7 of this law and transfers of crypto-assets according to the definitions in Article 150, point 13 of this law;</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 xml:space="preserve">iii. the information </w:t>
      </w:r>
      <w:r>
        <w:t>on loans, credits, including mortgage loans, as well as the information on the registered mortgages related to them</w:t>
      </w:r>
      <w:r>
        <w:rPr>
          <w:rFonts w:eastAsia="Calibri"/>
        </w:rPr>
        <w:t>;</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iv. the information kept in the national databases of data on currency transactions and foreign exchange;</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v. information on financial instruments and the transactions related to them;</w:t>
      </w:r>
    </w:p>
    <w:p w:rsidR="006A4703" w:rsidRPr="007647A8" w:rsidRDefault="006A49AF" w:rsidP="002A39C9">
      <w:pPr>
        <w:pStyle w:val="NormalWeb"/>
        <w:spacing w:before="0" w:beforeAutospacing="0" w:after="0" w:afterAutospacing="0" w:line="276" w:lineRule="auto"/>
        <w:ind w:firstLine="720"/>
        <w:jc w:val="both"/>
        <w:rPr>
          <w:rFonts w:eastAsia="Calibri"/>
        </w:rPr>
      </w:pPr>
      <w:r>
        <w:rPr>
          <w:rFonts w:eastAsia="Calibri"/>
        </w:rPr>
        <w:t>b) immediate and direct access to administrative information as follows: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 fiscal data, including data administered by the tax authorities and other authorities responsible for the administration of public revenues, as well as fiscal data received within the framework of the automatic exchange of information for tax purposes with foreign counterpart authorities, in accordance with the legislation in force;</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ii. information on public procurement procedures for goods or services, as well as on concession contracts or other forms of public-private partnership, in accordance with the relevant legislation in force;</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iii. information from BARIS, according to the provisions of the law on the central register of bank accounts, as well as information in the national registers of immovable property or in the electronic systems of data access and land registers or cadastral registers;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iv. information in the national civil status registers, including registers for foreign nationals;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v. information in the national registers of passports and visas;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vi. information in the databases on cross-border travel, including border entry-exits;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vii. information in commercial databases, including business and companies registers, as well as databases for politically exposed persons;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viii. information in the national registers of motor vehicles, aircraft and vessels;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ix. information in national social insurance registers;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 customs data, including information on cross-border transfers of monetary instruments;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xi. information in the national registers of firearms and ammunition;</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xii. the information in the national register of beneficial owners;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xiii. data available through the interconnection mechanisms of the national central registers of the Member States, in accordance with the provisions of the law in force on the register of beneficial owners;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xiv. information in the registers of non-profit organisations;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xv. the information held by financial supervisors and financial regulators, in accordance with Articles 74 and 80, point 2, of this law;</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xvi. information in the databases that store data on the trading of carbon dioxide (CO₂) emissions, created and administered in accordance with the relevant legislation in force;</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xvii. information on the annual financial statements of commercial companies;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xviii. information in the national migration and immigration registers;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xix. the information available from the competent courts for commercial and economic matters;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xx. information in the registers and databases on insolvency proceedings, as well as the information held by the insolvency practitioner according to the legislation in force on insolvency;</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xxi. information on frozen or blocked funds and other property in implementation of financial restrictive measures.</w:t>
      </w:r>
    </w:p>
    <w:p w:rsidR="006A4703" w:rsidRPr="007647A8" w:rsidRDefault="006A49AF" w:rsidP="002A39C9">
      <w:pPr>
        <w:pStyle w:val="NormalWeb"/>
        <w:spacing w:before="0" w:beforeAutospacing="0" w:after="0" w:afterAutospacing="0" w:line="276" w:lineRule="auto"/>
        <w:ind w:firstLine="720"/>
        <w:jc w:val="both"/>
        <w:rPr>
          <w:rFonts w:eastAsia="Calibri"/>
        </w:rPr>
      </w:pPr>
      <w:r>
        <w:rPr>
          <w:rFonts w:eastAsia="Calibri"/>
        </w:rPr>
        <w:t>c) direct or indirect access to the registers and information held by law enforcement authorities, as follows: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 any type of information or data held by the competent authorities in the framework of the prevention, detection, investigation or prosecutions of offences of criminal offences;</w:t>
      </w:r>
    </w:p>
    <w:p w:rsidR="006A4703" w:rsidRPr="007647A8" w:rsidRDefault="007647A8" w:rsidP="002A39C9">
      <w:pPr>
        <w:pStyle w:val="NormalWeb"/>
        <w:spacing w:before="0" w:beforeAutospacing="0" w:after="0" w:afterAutospacing="0" w:line="276" w:lineRule="auto"/>
        <w:ind w:firstLine="720"/>
        <w:jc w:val="both"/>
        <w:rPr>
          <w:rFonts w:eastAsia="Calibri"/>
        </w:rPr>
      </w:pPr>
      <w:r>
        <w:rPr>
          <w:rFonts w:eastAsia="Calibri"/>
        </w:rPr>
        <w:t>ii. any type of information or data held by public authorities or by private entities within the framework of the prevention, detection, investigation or prosecutions of offences and which are available to the competent authorities without taking coercive measures under the criminal procedural legislation in force. For the purposes of this point, “coercive measures” are procedural or investigative actions that require judicial or prosecutorial authorisation, in accordance with the criminal procedural legislation in force.</w:t>
      </w:r>
    </w:p>
    <w:p w:rsidR="009F7E60" w:rsidRPr="007647A8" w:rsidRDefault="006A49AF" w:rsidP="002A39C9">
      <w:pPr>
        <w:pStyle w:val="NormalWeb"/>
        <w:spacing w:before="0" w:beforeAutospacing="0" w:after="0" w:afterAutospacing="0" w:line="276" w:lineRule="auto"/>
        <w:jc w:val="both"/>
        <w:rPr>
          <w:rFonts w:eastAsia="Calibri"/>
        </w:rPr>
      </w:pPr>
      <w:r>
        <w:rPr>
          <w:rFonts w:eastAsia="Calibri"/>
        </w:rPr>
        <w:t>The information provided for in point 1, letter “c” of this Article, includes:</w:t>
      </w:r>
    </w:p>
    <w:p w:rsidR="009F7E60" w:rsidRPr="007647A8" w:rsidRDefault="009F7E60" w:rsidP="002A39C9">
      <w:pPr>
        <w:pStyle w:val="NormalWeb"/>
        <w:spacing w:before="0" w:beforeAutospacing="0" w:after="0" w:afterAutospacing="0" w:line="276" w:lineRule="auto"/>
        <w:ind w:firstLine="720"/>
        <w:jc w:val="both"/>
        <w:rPr>
          <w:rFonts w:eastAsia="Calibri"/>
        </w:rPr>
      </w:pPr>
      <w:r>
        <w:rPr>
          <w:rFonts w:eastAsia="Calibri"/>
        </w:rPr>
        <w:t>a) data from criminal records;</w:t>
      </w:r>
    </w:p>
    <w:p w:rsidR="009F7E60" w:rsidRPr="007647A8" w:rsidRDefault="009F7E60" w:rsidP="002A39C9">
      <w:pPr>
        <w:pStyle w:val="NormalWeb"/>
        <w:spacing w:before="0" w:beforeAutospacing="0" w:after="0" w:afterAutospacing="0" w:line="276" w:lineRule="auto"/>
        <w:ind w:firstLine="720"/>
        <w:jc w:val="both"/>
        <w:rPr>
          <w:rFonts w:eastAsia="Calibri"/>
        </w:rPr>
      </w:pPr>
      <w:r>
        <w:rPr>
          <w:rFonts w:eastAsia="Calibri"/>
        </w:rPr>
        <w:t>b) information on investigations and criminal proceedings;</w:t>
      </w:r>
    </w:p>
    <w:p w:rsidR="009F7E60" w:rsidRPr="007647A8" w:rsidRDefault="009F7E60" w:rsidP="002A39C9">
      <w:pPr>
        <w:pStyle w:val="NormalWeb"/>
        <w:spacing w:before="0" w:beforeAutospacing="0" w:after="0" w:afterAutospacing="0" w:line="276" w:lineRule="auto"/>
        <w:ind w:firstLine="720"/>
        <w:jc w:val="both"/>
        <w:rPr>
          <w:rFonts w:eastAsia="Calibri"/>
        </w:rPr>
      </w:pPr>
      <w:r>
        <w:rPr>
          <w:rFonts w:eastAsia="Calibri"/>
        </w:rPr>
        <w:t xml:space="preserve">c) information on the measures of freezing or seizure of property; </w:t>
      </w:r>
    </w:p>
    <w:p w:rsidR="009F7E60" w:rsidRPr="007647A8" w:rsidRDefault="009F7E60" w:rsidP="002A39C9">
      <w:pPr>
        <w:pStyle w:val="NormalWeb"/>
        <w:spacing w:before="0" w:beforeAutospacing="0" w:after="0" w:afterAutospacing="0" w:line="276" w:lineRule="auto"/>
        <w:ind w:firstLine="720"/>
        <w:jc w:val="both"/>
        <w:rPr>
          <w:rFonts w:eastAsia="Calibri"/>
        </w:rPr>
      </w:pPr>
      <w:r>
        <w:rPr>
          <w:rFonts w:eastAsia="Calibri"/>
        </w:rPr>
        <w:t xml:space="preserve">d) information on other investigative measures or interim procedural measures; </w:t>
      </w:r>
    </w:p>
    <w:p w:rsidR="006A4703" w:rsidRPr="007647A8" w:rsidRDefault="009F7E60" w:rsidP="002A39C9">
      <w:pPr>
        <w:pStyle w:val="NormalWeb"/>
        <w:spacing w:before="0" w:beforeAutospacing="0" w:after="0" w:afterAutospacing="0" w:line="276" w:lineRule="auto"/>
        <w:ind w:firstLine="720"/>
        <w:jc w:val="both"/>
        <w:rPr>
          <w:rFonts w:eastAsia="Calibri"/>
        </w:rPr>
      </w:pPr>
      <w:r>
        <w:rPr>
          <w:rFonts w:eastAsia="Calibri"/>
        </w:rPr>
        <w:t xml:space="preserve">e) information on criminal decisions on sentences and confiscations; </w:t>
      </w:r>
    </w:p>
    <w:p w:rsidR="00245BFA" w:rsidRPr="007647A8" w:rsidRDefault="00245BFA" w:rsidP="002A39C9">
      <w:pPr>
        <w:pStyle w:val="NormalWeb"/>
        <w:spacing w:before="0" w:beforeAutospacing="0" w:after="0" w:afterAutospacing="0" w:line="276" w:lineRule="auto"/>
        <w:ind w:firstLine="720"/>
        <w:jc w:val="both"/>
        <w:rPr>
          <w:rFonts w:eastAsia="Calibri"/>
        </w:rPr>
      </w:pPr>
      <w:r>
        <w:rPr>
          <w:rFonts w:eastAsia="Calibri"/>
        </w:rPr>
        <w:t>f) any other information for the purposes of point 1, letter “c” of this article.</w:t>
      </w:r>
    </w:p>
    <w:p w:rsidR="006A4703" w:rsidRPr="007647A8" w:rsidRDefault="006A49AF" w:rsidP="002A39C9">
      <w:pPr>
        <w:pStyle w:val="NormalWeb"/>
        <w:spacing w:before="0" w:beforeAutospacing="0" w:after="0" w:afterAutospacing="0" w:line="276" w:lineRule="auto"/>
        <w:jc w:val="both"/>
        <w:rPr>
          <w:rFonts w:eastAsia="Calibri"/>
        </w:rPr>
      </w:pPr>
      <w:r>
        <w:rPr>
          <w:rFonts w:eastAsia="Calibri"/>
        </w:rPr>
        <w:t>The competent authorities may restrict, on a case-by-case basis, the access of the Financial Intelligence Agency according to the provisions of point 1, letter “c” of this article, when the making available of this information risks compromising the conduct of an ongoing criminal investigation.</w:t>
      </w:r>
    </w:p>
    <w:p w:rsidR="006A4703" w:rsidRPr="007647A8" w:rsidRDefault="006F5BB4" w:rsidP="002A39C9">
      <w:pPr>
        <w:pStyle w:val="NormalWeb"/>
        <w:spacing w:before="0" w:beforeAutospacing="0" w:after="0" w:afterAutospacing="0" w:line="276" w:lineRule="auto"/>
        <w:ind w:firstLine="720"/>
        <w:jc w:val="both"/>
        <w:rPr>
          <w:rFonts w:eastAsia="Calibri"/>
        </w:rPr>
      </w:pPr>
      <w:r>
        <w:rPr>
          <w:rFonts w:eastAsia="Calibri"/>
        </w:rPr>
        <w:t>2. Access to the information provided for in point 1 of this Article is direct, immediate and free of charge, when the information is held in an IT database, register or data retrieval system, from which the Financial Intelligence Agency may obtain the information without any intermediate step, or when the following conditions are met:</w:t>
      </w:r>
    </w:p>
    <w:p w:rsidR="006A4703" w:rsidRPr="007647A8" w:rsidRDefault="006A49AF" w:rsidP="002A39C9">
      <w:pPr>
        <w:pStyle w:val="NormalWeb"/>
        <w:spacing w:before="0" w:beforeAutospacing="0" w:after="0" w:afterAutospacing="0" w:line="276" w:lineRule="auto"/>
        <w:ind w:firstLine="720"/>
        <w:jc w:val="both"/>
        <w:rPr>
          <w:rFonts w:eastAsia="Calibri"/>
        </w:rPr>
      </w:pPr>
      <w:r>
        <w:rPr>
          <w:rFonts w:eastAsia="Calibri"/>
        </w:rPr>
        <w:t>a) the entities or authorities holding the information shall make it available immediately to the Financial Intelligence Agency;</w:t>
      </w:r>
    </w:p>
    <w:p w:rsidR="009E1137" w:rsidRPr="007647A8" w:rsidRDefault="006A49AF" w:rsidP="002A39C9">
      <w:pPr>
        <w:pStyle w:val="NormalWeb"/>
        <w:spacing w:before="0" w:beforeAutospacing="0" w:after="0" w:afterAutospacing="0" w:line="276" w:lineRule="auto"/>
        <w:ind w:firstLine="720"/>
        <w:jc w:val="both"/>
        <w:rPr>
          <w:rFonts w:eastAsia="Calibri"/>
        </w:rPr>
      </w:pPr>
      <w:r>
        <w:rPr>
          <w:rFonts w:eastAsia="Calibri"/>
        </w:rPr>
        <w:t xml:space="preserve">b) no authority, entity or third party is in a position to interfere with the requested data or the information that will be provided. </w:t>
      </w:r>
    </w:p>
    <w:p w:rsidR="006A4703" w:rsidRPr="007647A8" w:rsidRDefault="009E1137" w:rsidP="002A39C9">
      <w:pPr>
        <w:pStyle w:val="NormalWeb"/>
        <w:spacing w:before="0" w:beforeAutospacing="0" w:after="0" w:afterAutospacing="0" w:line="276" w:lineRule="auto"/>
        <w:ind w:firstLine="720"/>
        <w:jc w:val="both"/>
        <w:rPr>
          <w:rFonts w:eastAsia="Calibri"/>
        </w:rPr>
      </w:pPr>
      <w:r>
        <w:rPr>
          <w:rFonts w:eastAsia="Calibri"/>
        </w:rPr>
        <w:t>3. Public authorities ensure that, whenever possible, the Financial Intelligence Agency is guaranteed direct and free access to the information provided for in point 1, letter “c” of this Article.</w:t>
      </w:r>
    </w:p>
    <w:p w:rsidR="008C6BAA" w:rsidRPr="007647A8" w:rsidRDefault="008C6BAA" w:rsidP="002A39C9">
      <w:pPr>
        <w:pStyle w:val="NormalWeb"/>
        <w:spacing w:before="0" w:beforeAutospacing="0" w:after="0" w:afterAutospacing="0" w:line="276" w:lineRule="auto"/>
        <w:ind w:firstLine="720"/>
        <w:jc w:val="both"/>
        <w:rPr>
          <w:rFonts w:eastAsia="Calibri"/>
        </w:rPr>
      </w:pPr>
      <w:r>
        <w:rPr>
          <w:rFonts w:eastAsia="Calibri"/>
        </w:rPr>
        <w:t>In cases where the Financial Intelligence Agency is given indirect access to this information, the authority or subject that holds the requested information must make it available in a timely manner and without unjustified delay.</w:t>
      </w:r>
    </w:p>
    <w:p w:rsidR="006128F6" w:rsidRPr="007647A8" w:rsidRDefault="009E1137" w:rsidP="002A39C9">
      <w:pPr>
        <w:pStyle w:val="NormalWeb"/>
        <w:spacing w:before="0" w:beforeAutospacing="0" w:after="0" w:afterAutospacing="0" w:line="276" w:lineRule="auto"/>
        <w:ind w:firstLine="720"/>
        <w:jc w:val="both"/>
        <w:rPr>
          <w:rFonts w:eastAsia="Calibri"/>
        </w:rPr>
      </w:pPr>
      <w:r>
        <w:rPr>
          <w:rFonts w:eastAsia="Calibri"/>
        </w:rPr>
        <w:t xml:space="preserve">4.  The Financial Intelligence Agency in the exercise of its duties and functions in accordance with this law has the right to request, receive and use information from any obliged entity, with the aim of fulfilling its legal duties according to the stipulations in Article 14, points 6 and 7 of this law, even if no prior report has been submitted in accordance with Article 132, point 1, letter “a” or Article 133, point 1 of this law. </w:t>
      </w:r>
    </w:p>
    <w:p w:rsidR="005D5D8C" w:rsidRPr="007647A8" w:rsidRDefault="005D5D8C" w:rsidP="002A39C9">
      <w:pPr>
        <w:pStyle w:val="NormalWeb"/>
        <w:spacing w:before="0" w:beforeAutospacing="0" w:after="0" w:afterAutospacing="0" w:line="276" w:lineRule="auto"/>
        <w:ind w:firstLine="720"/>
        <w:jc w:val="both"/>
        <w:rPr>
          <w:rFonts w:eastAsia="Calibri"/>
        </w:rPr>
      </w:pPr>
      <w:r>
        <w:rPr>
          <w:rFonts w:eastAsia="Calibri"/>
        </w:rPr>
        <w:t>Obliged entities are obliged to respond to the requests of the Financial Intelligence Agency</w:t>
      </w:r>
      <w:r>
        <w:t>, without delay, within 10 calendar days.</w:t>
      </w:r>
    </w:p>
    <w:p w:rsidR="0043153F" w:rsidRPr="007647A8" w:rsidRDefault="0043153F" w:rsidP="002A39C9">
      <w:pPr>
        <w:pStyle w:val="NormalWeb"/>
        <w:spacing w:before="0" w:beforeAutospacing="0" w:after="0" w:afterAutospacing="0" w:line="276" w:lineRule="auto"/>
        <w:ind w:firstLine="720"/>
        <w:jc w:val="both"/>
        <w:rPr>
          <w:rFonts w:eastAsia="Calibri"/>
        </w:rPr>
      </w:pPr>
      <w:r>
        <w:rPr>
          <w:rFonts w:eastAsia="Calibri"/>
        </w:rPr>
        <w:t>Obliged entities are not required to comply with requests for information made in accordance with this point when they relate to information received in the situations referred to in Article 133, point 2 of this law.</w:t>
      </w:r>
    </w:p>
    <w:p w:rsidR="00DA56AC" w:rsidRPr="007647A8" w:rsidRDefault="006D5B55" w:rsidP="002A39C9">
      <w:pPr>
        <w:pStyle w:val="NormalWeb"/>
        <w:spacing w:before="0" w:beforeAutospacing="0" w:after="0" w:afterAutospacing="0" w:line="276" w:lineRule="auto"/>
        <w:ind w:firstLine="720"/>
        <w:jc w:val="both"/>
        <w:rPr>
          <w:rFonts w:eastAsia="Calibri"/>
        </w:rPr>
      </w:pPr>
      <w:r>
        <w:rPr>
          <w:rFonts w:eastAsia="Calibri"/>
        </w:rPr>
        <w:t>5. In cases where the provision of information is ensured through a central system, central contact point or centralised mechanism, this mechanism shall be permitted only when it guarantees the provision of information in a complete, unfiltered, priority, secure manner and without unjustified delays. When this mechanism does not guarantee these conditions, or when the Financial Intelligence Agency assesses that full control, comparison of data or verification at the primary source of the data is necessary, the authority, institution or entity that administers the information shall grant the agency direct and free access to the relevant database, register or system, according to its needs and requests.</w:t>
      </w:r>
    </w:p>
    <w:p w:rsidR="00DA56AC" w:rsidRPr="007647A8" w:rsidRDefault="00DA56AC" w:rsidP="002A39C9">
      <w:pPr>
        <w:pStyle w:val="NormalWeb"/>
        <w:spacing w:before="0" w:beforeAutospacing="0" w:after="0" w:afterAutospacing="0" w:line="276" w:lineRule="auto"/>
        <w:ind w:firstLine="720"/>
        <w:jc w:val="both"/>
        <w:rPr>
          <w:rFonts w:eastAsia="Calibri"/>
        </w:rPr>
      </w:pPr>
      <w:r>
        <w:rPr>
          <w:rFonts w:eastAsia="Calibri"/>
        </w:rPr>
        <w:t>When technical configuration or administrative authorisation is required for granting direct access, it shall be completed without delay and in any case no later than 10 working days from the submission of the request of the Financial Intelligence Agency. In urgent cases, when the information is related to ongoing financial analysis, freezing or withholding consent for the transaction, risk of disappearance of funds, risk of compromising the analysis, or request of counterpart financial intelligence units, the information or access shall be provided free of charge  and no later than 24 hours from the submission of the request.</w:t>
      </w:r>
    </w:p>
    <w:p w:rsidR="000F0CE6" w:rsidRPr="007647A8" w:rsidRDefault="006D5B55" w:rsidP="002A39C9">
      <w:pPr>
        <w:pStyle w:val="NormalWeb"/>
        <w:spacing w:before="0" w:beforeAutospacing="0" w:after="0" w:afterAutospacing="0" w:line="276" w:lineRule="auto"/>
        <w:ind w:firstLine="720"/>
        <w:jc w:val="both"/>
        <w:rPr>
          <w:rFonts w:eastAsia="Calibri"/>
        </w:rPr>
      </w:pPr>
      <w:r>
        <w:rPr>
          <w:rFonts w:eastAsia="Calibri"/>
        </w:rPr>
        <w:t>6. For the implementation of this article, the Financial Intelligence Agency may conclude cooperation agreements with the public authorities and the responsible entities that possess the relevant information, with the aim of determining the technical and procedural modalities for granting access, in accordance with this law and the bylaws in force.</w:t>
      </w:r>
    </w:p>
    <w:p w:rsidR="000F0CE6" w:rsidRPr="007647A8" w:rsidRDefault="000F0CE6" w:rsidP="002A39C9">
      <w:pPr>
        <w:pStyle w:val="NormalWeb"/>
        <w:spacing w:before="0" w:beforeAutospacing="0" w:after="0" w:afterAutospacing="0" w:line="276" w:lineRule="auto"/>
        <w:ind w:firstLine="720"/>
        <w:jc w:val="both"/>
        <w:rPr>
          <w:rFonts w:eastAsia="Calibri"/>
        </w:rPr>
      </w:pPr>
    </w:p>
    <w:p w:rsidR="00712735" w:rsidRPr="007647A8" w:rsidRDefault="00712735" w:rsidP="002A39C9">
      <w:pPr>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18</w:t>
      </w:r>
    </w:p>
    <w:p w:rsidR="000E7A6A" w:rsidRPr="007647A8" w:rsidRDefault="006A7B91" w:rsidP="002A39C9">
      <w:pPr>
        <w:pStyle w:val="NormalWeb"/>
        <w:spacing w:before="0" w:beforeAutospacing="0" w:after="0" w:afterAutospacing="0" w:line="276" w:lineRule="auto"/>
        <w:jc w:val="center"/>
        <w:rPr>
          <w:rFonts w:eastAsiaTheme="minorHAnsi"/>
          <w:b/>
        </w:rPr>
      </w:pPr>
      <w:r>
        <w:rPr>
          <w:rFonts w:eastAsiaTheme="minorHAnsi"/>
          <w:b/>
        </w:rPr>
        <w:t>Obligation to provide information</w:t>
      </w:r>
    </w:p>
    <w:p w:rsidR="006A7B91" w:rsidRPr="007647A8" w:rsidRDefault="006A7B91" w:rsidP="002A39C9">
      <w:pPr>
        <w:pStyle w:val="NormalWeb"/>
        <w:spacing w:before="0" w:beforeAutospacing="0" w:after="0" w:afterAutospacing="0" w:line="276" w:lineRule="auto"/>
        <w:ind w:firstLine="720"/>
        <w:jc w:val="both"/>
        <w:rPr>
          <w:rFonts w:eastAsia="Calibri"/>
        </w:rPr>
      </w:pPr>
    </w:p>
    <w:p w:rsidR="00B613F9" w:rsidRPr="007647A8" w:rsidRDefault="00712735" w:rsidP="002A39C9">
      <w:pPr>
        <w:pStyle w:val="NormalWeb"/>
        <w:spacing w:before="0" w:beforeAutospacing="0" w:after="0" w:afterAutospacing="0" w:line="276" w:lineRule="auto"/>
        <w:ind w:firstLine="720"/>
        <w:jc w:val="both"/>
        <w:rPr>
          <w:rFonts w:eastAsia="Calibri"/>
        </w:rPr>
      </w:pPr>
      <w:r>
        <w:rPr>
          <w:rFonts w:eastAsia="Calibri"/>
        </w:rPr>
        <w:t>1. Obliged entities, public authorities, public or private legal persons and any other person who holds or administers information necessary for the Financial Intelligence Agency may not refuse the provision of information, access or the requested documentation by relying on professional, banking, commercial, tax, administrative secrecy or on other confidentiality obligations, except in cases where the restriction is expressly provided for by law, including legal privilege and the exceptions provided for in Article 133 of this law.</w:t>
      </w:r>
    </w:p>
    <w:p w:rsidR="005A1760" w:rsidRPr="007647A8" w:rsidRDefault="00DB103E" w:rsidP="002A39C9">
      <w:pPr>
        <w:pStyle w:val="NormalWeb"/>
        <w:spacing w:before="0" w:beforeAutospacing="0" w:after="0" w:afterAutospacing="0" w:line="276" w:lineRule="auto"/>
        <w:ind w:firstLine="720"/>
        <w:jc w:val="both"/>
        <w:rPr>
          <w:rFonts w:eastAsia="Calibri"/>
        </w:rPr>
      </w:pPr>
      <w:r>
        <w:rPr>
          <w:rFonts w:eastAsia="Calibri"/>
        </w:rPr>
        <w:t xml:space="preserve">2. </w:t>
      </w:r>
      <w:r>
        <w:t xml:space="preserve">Obliged entities, public authorities, public or private legal persons, and any other person referred to in point 1 of this article are obliged to respond to requests for information from the </w:t>
      </w:r>
      <w:r>
        <w:rPr>
          <w:rFonts w:eastAsia="Calibri"/>
        </w:rPr>
        <w:t>Financial Intelligence Agency</w:t>
      </w:r>
      <w:r>
        <w:t xml:space="preserve"> and make available to it the requested data, information and documentation, without delay and, in any case, no later than 10 calendar days from receipt of the request.</w:t>
      </w:r>
    </w:p>
    <w:p w:rsidR="005A1760" w:rsidRPr="007647A8" w:rsidRDefault="00DB103E" w:rsidP="002A39C9">
      <w:pPr>
        <w:pStyle w:val="NormalWeb"/>
        <w:spacing w:before="0" w:beforeAutospacing="0" w:after="0" w:afterAutospacing="0" w:line="276" w:lineRule="auto"/>
        <w:ind w:firstLine="720"/>
        <w:jc w:val="both"/>
        <w:rPr>
          <w:rFonts w:eastAsia="Calibri"/>
        </w:rPr>
      </w:pPr>
      <w:r>
        <w:rPr>
          <w:rFonts w:eastAsia="Calibri"/>
        </w:rPr>
        <w:t>3. The Financial Intelligence Agency, in urgent cases, may request information, data and the necessary documentation also within a shorter deadline than that provided for in point 2 of this article, and the obliged entities, public authorities, or any other person are obliged to provide this information.</w:t>
      </w:r>
    </w:p>
    <w:p w:rsidR="00865974" w:rsidRPr="007647A8" w:rsidRDefault="00865974" w:rsidP="002A39C9">
      <w:pPr>
        <w:spacing w:after="0"/>
        <w:jc w:val="center"/>
        <w:rPr>
          <w:rFonts w:ascii="Times New Roman" w:hAnsi="Times New Roman" w:cs="Times New Roman"/>
          <w:sz w:val="24"/>
          <w:szCs w:val="24"/>
        </w:rPr>
      </w:pPr>
    </w:p>
    <w:p w:rsidR="00FC666C" w:rsidRPr="007647A8" w:rsidRDefault="002574E7" w:rsidP="002A39C9">
      <w:pPr>
        <w:spacing w:after="0"/>
        <w:jc w:val="center"/>
        <w:rPr>
          <w:rFonts w:ascii="Times New Roman" w:hAnsi="Times New Roman" w:cs="Times New Roman"/>
          <w:b/>
          <w:sz w:val="24"/>
          <w:szCs w:val="24"/>
        </w:rPr>
      </w:pPr>
      <w:r>
        <w:rPr>
          <w:rFonts w:ascii="Times New Roman" w:hAnsi="Times New Roman" w:cs="Times New Roman"/>
          <w:sz w:val="24"/>
          <w:szCs w:val="24"/>
        </w:rPr>
        <w:t>Article 19</w:t>
      </w:r>
      <w:r w:rsidR="00FC666C" w:rsidRPr="007647A8">
        <w:rPr>
          <w:rFonts w:ascii="Times New Roman" w:hAnsi="Times New Roman" w:cs="Times New Roman"/>
          <w:sz w:val="24"/>
          <w:szCs w:val="24"/>
        </w:rPr>
        <w:br/>
      </w:r>
      <w:r>
        <w:rPr>
          <w:rFonts w:ascii="Times New Roman" w:hAnsi="Times New Roman" w:cs="Times New Roman"/>
          <w:b/>
          <w:sz w:val="24"/>
          <w:szCs w:val="24"/>
        </w:rPr>
        <w:t>Reporting by customs authorities</w:t>
      </w:r>
    </w:p>
    <w:p w:rsidR="001403F7" w:rsidRPr="007647A8" w:rsidRDefault="001403F7" w:rsidP="002A39C9">
      <w:pPr>
        <w:spacing w:after="0"/>
        <w:jc w:val="center"/>
        <w:rPr>
          <w:rFonts w:ascii="Times New Roman" w:hAnsi="Times New Roman" w:cs="Times New Roman"/>
          <w:sz w:val="24"/>
          <w:szCs w:val="24"/>
        </w:rPr>
      </w:pPr>
    </w:p>
    <w:p w:rsidR="001403F7" w:rsidRPr="007647A8" w:rsidRDefault="001403F7" w:rsidP="002A39C9">
      <w:pPr>
        <w:spacing w:after="0"/>
        <w:ind w:left="0" w:firstLine="630"/>
        <w:rPr>
          <w:rFonts w:ascii="Times New Roman" w:hAnsi="Times New Roman" w:cs="Times New Roman"/>
          <w:sz w:val="24"/>
          <w:szCs w:val="24"/>
        </w:rPr>
      </w:pPr>
      <w:r>
        <w:rPr>
          <w:rFonts w:ascii="Times New Roman" w:hAnsi="Times New Roman" w:cs="Times New Roman"/>
          <w:sz w:val="24"/>
          <w:szCs w:val="24"/>
        </w:rPr>
        <w:t>1. The customs authorities report to the Financial Intelligence Agency immediately and, in any case, no later than 72 hours from detection, any suspicion, information or data related to money laundering, terrorist financing or the financing of the proliferation of weapons of mass destruction, for activities under their jurisdiction and in accordance with the provisions of Part IV of this law.</w:t>
      </w:r>
    </w:p>
    <w:p w:rsidR="00FC666C" w:rsidRPr="007647A8" w:rsidRDefault="001403F7" w:rsidP="002A39C9">
      <w:pPr>
        <w:spacing w:after="0"/>
        <w:ind w:left="0" w:firstLine="630"/>
        <w:rPr>
          <w:rFonts w:ascii="Times New Roman" w:hAnsi="Times New Roman" w:cs="Times New Roman"/>
          <w:sz w:val="24"/>
          <w:szCs w:val="24"/>
        </w:rPr>
      </w:pPr>
      <w:r>
        <w:rPr>
          <w:rFonts w:ascii="Times New Roman" w:hAnsi="Times New Roman" w:cs="Times New Roman"/>
          <w:sz w:val="24"/>
          <w:szCs w:val="24"/>
        </w:rPr>
        <w:t>2. Customs authorities implement the requirements established by instruction of the minister responsible for finance, related to the implementation of point 1 of this article.</w:t>
      </w:r>
    </w:p>
    <w:p w:rsidR="001403F7" w:rsidRPr="007647A8" w:rsidRDefault="001403F7" w:rsidP="002A39C9">
      <w:pPr>
        <w:spacing w:after="0"/>
        <w:jc w:val="center"/>
        <w:rPr>
          <w:rFonts w:ascii="Times New Roman" w:hAnsi="Times New Roman" w:cs="Times New Roman"/>
          <w:sz w:val="24"/>
          <w:szCs w:val="24"/>
        </w:rPr>
      </w:pPr>
    </w:p>
    <w:p w:rsidR="00FC666C" w:rsidRPr="007647A8" w:rsidRDefault="00FC666C" w:rsidP="002A39C9">
      <w:pPr>
        <w:spacing w:after="0"/>
        <w:jc w:val="center"/>
        <w:rPr>
          <w:rFonts w:ascii="Times New Roman" w:hAnsi="Times New Roman" w:cs="Times New Roman"/>
          <w:b/>
          <w:sz w:val="24"/>
          <w:szCs w:val="24"/>
        </w:rPr>
      </w:pPr>
      <w:r>
        <w:rPr>
          <w:rFonts w:ascii="Times New Roman" w:hAnsi="Times New Roman" w:cs="Times New Roman"/>
          <w:sz w:val="24"/>
          <w:szCs w:val="24"/>
        </w:rPr>
        <w:t>Article 20</w:t>
      </w:r>
      <w:r w:rsidRPr="007647A8">
        <w:rPr>
          <w:rFonts w:ascii="Times New Roman" w:hAnsi="Times New Roman" w:cs="Times New Roman"/>
          <w:sz w:val="24"/>
          <w:szCs w:val="24"/>
        </w:rPr>
        <w:br/>
      </w:r>
      <w:r>
        <w:rPr>
          <w:rFonts w:ascii="Times New Roman" w:hAnsi="Times New Roman" w:cs="Times New Roman"/>
          <w:b/>
          <w:sz w:val="24"/>
          <w:szCs w:val="24"/>
        </w:rPr>
        <w:t>Reporting by tax authorities</w:t>
      </w:r>
    </w:p>
    <w:p w:rsidR="009648E0" w:rsidRPr="007647A8" w:rsidRDefault="009648E0" w:rsidP="002A39C9">
      <w:pPr>
        <w:spacing w:after="0"/>
        <w:jc w:val="center"/>
        <w:rPr>
          <w:rFonts w:ascii="Times New Roman" w:hAnsi="Times New Roman" w:cs="Times New Roman"/>
          <w:b/>
          <w:sz w:val="24"/>
          <w:szCs w:val="24"/>
        </w:rPr>
      </w:pPr>
    </w:p>
    <w:p w:rsidR="001403F7" w:rsidRPr="007647A8" w:rsidRDefault="001403F7"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1. The tax authorities report to the Financial Intelligence Agency immediately and, in any case, no later than 72 hours from the registration of the action, any suspicion, alert, notification or data related to money laundering, terrorist financing or the financing of the proliferation of weapons of mass destruction, for activities under their jurisdiction.</w:t>
      </w:r>
    </w:p>
    <w:p w:rsidR="00FC666C" w:rsidRPr="007647A8" w:rsidRDefault="001403F7"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tax authorities implement the requirements laid down by instruction of the minister responsible for finance, related to the implementation of point 1 of this article.</w:t>
      </w:r>
    </w:p>
    <w:p w:rsidR="001403F7" w:rsidRPr="007647A8" w:rsidRDefault="001403F7" w:rsidP="002A39C9">
      <w:pPr>
        <w:spacing w:after="0"/>
        <w:jc w:val="center"/>
        <w:rPr>
          <w:rFonts w:ascii="Times New Roman" w:hAnsi="Times New Roman" w:cs="Times New Roman"/>
          <w:sz w:val="24"/>
          <w:szCs w:val="24"/>
        </w:rPr>
      </w:pPr>
    </w:p>
    <w:p w:rsidR="00FC666C" w:rsidRPr="007647A8" w:rsidRDefault="00FC666C" w:rsidP="002A39C9">
      <w:pPr>
        <w:spacing w:after="0"/>
        <w:jc w:val="center"/>
        <w:rPr>
          <w:rFonts w:ascii="Times New Roman" w:hAnsi="Times New Roman" w:cs="Times New Roman"/>
          <w:b/>
          <w:sz w:val="24"/>
          <w:szCs w:val="24"/>
        </w:rPr>
      </w:pPr>
      <w:r>
        <w:rPr>
          <w:rFonts w:ascii="Times New Roman" w:hAnsi="Times New Roman" w:cs="Times New Roman"/>
          <w:sz w:val="24"/>
          <w:szCs w:val="24"/>
        </w:rPr>
        <w:t>Article 21</w:t>
      </w:r>
      <w:r w:rsidRPr="007647A8">
        <w:rPr>
          <w:rFonts w:ascii="Times New Roman" w:hAnsi="Times New Roman" w:cs="Times New Roman"/>
          <w:sz w:val="24"/>
          <w:szCs w:val="24"/>
        </w:rPr>
        <w:br/>
      </w:r>
      <w:r>
        <w:rPr>
          <w:rFonts w:ascii="Times New Roman" w:hAnsi="Times New Roman" w:cs="Times New Roman"/>
          <w:b/>
          <w:sz w:val="24"/>
          <w:szCs w:val="24"/>
        </w:rPr>
        <w:t>Reporting of the State Cadastre Agency</w:t>
      </w:r>
    </w:p>
    <w:p w:rsidR="001403F7" w:rsidRPr="007647A8" w:rsidRDefault="001403F7" w:rsidP="002A39C9">
      <w:pPr>
        <w:spacing w:after="0"/>
        <w:ind w:left="504" w:firstLine="0"/>
        <w:rPr>
          <w:rFonts w:ascii="Times New Roman" w:hAnsi="Times New Roman" w:cs="Times New Roman"/>
          <w:sz w:val="24"/>
          <w:szCs w:val="24"/>
        </w:rPr>
      </w:pPr>
    </w:p>
    <w:p w:rsidR="001403F7" w:rsidRPr="007647A8" w:rsidRDefault="001403F7"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1. The State Cadastre Agency reports to the Financial Intelligence Agency, within 72 hours from registration, every property transfer contract with a value equal to or greater than 6 000 000 (six million) lek, or its equivalent in foreign currencies.</w:t>
      </w:r>
    </w:p>
    <w:p w:rsidR="00284EA3" w:rsidRPr="007647A8" w:rsidRDefault="001403F7"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State Cadastre Agency reports to the Financial Intelligence Agency immediately and, in any case, no later than 72 hours from the finding, any suspicion, information or data related to money laundering, terrorist financing or the financing of the proliferation of weapons of mass destruction, for activities under its jurisdiction.</w:t>
      </w:r>
    </w:p>
    <w:p w:rsidR="00FC666C" w:rsidRPr="007647A8" w:rsidRDefault="00284EA3"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3. The State Cadastre Agency implements the requirements laid down by decision of the Council of Ministers, related to the implementation of points 1 and 2 of this article.</w:t>
      </w:r>
    </w:p>
    <w:p w:rsidR="001403F7" w:rsidRPr="007647A8" w:rsidRDefault="001403F7" w:rsidP="002A39C9">
      <w:pPr>
        <w:spacing w:after="0"/>
        <w:jc w:val="center"/>
        <w:rPr>
          <w:rFonts w:ascii="Times New Roman" w:hAnsi="Times New Roman" w:cs="Times New Roman"/>
          <w:sz w:val="24"/>
          <w:szCs w:val="24"/>
        </w:rPr>
      </w:pPr>
    </w:p>
    <w:p w:rsidR="00500952" w:rsidRPr="007647A8" w:rsidRDefault="002574E7"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22</w:t>
      </w:r>
    </w:p>
    <w:p w:rsidR="002376C9" w:rsidRPr="007647A8" w:rsidRDefault="00A77146"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The obligation to report to the responsible authority</w:t>
      </w:r>
    </w:p>
    <w:p w:rsidR="00A77146" w:rsidRPr="007647A8" w:rsidRDefault="00A77146" w:rsidP="002A39C9">
      <w:pPr>
        <w:widowControl w:val="0"/>
        <w:spacing w:after="0"/>
        <w:ind w:left="0" w:firstLine="810"/>
        <w:rPr>
          <w:rFonts w:ascii="Times New Roman" w:hAnsi="Times New Roman" w:cs="Times New Roman"/>
          <w:sz w:val="24"/>
          <w:szCs w:val="24"/>
        </w:rPr>
      </w:pPr>
    </w:p>
    <w:p w:rsidR="005A4091" w:rsidRPr="007647A8" w:rsidRDefault="002376C9" w:rsidP="002A39C9">
      <w:pPr>
        <w:widowControl w:val="0"/>
        <w:spacing w:after="0"/>
        <w:ind w:left="0" w:firstLine="810"/>
        <w:rPr>
          <w:rFonts w:ascii="Times New Roman" w:hAnsi="Times New Roman" w:cs="Times New Roman"/>
          <w:sz w:val="24"/>
          <w:szCs w:val="24"/>
        </w:rPr>
      </w:pPr>
      <w:r>
        <w:rPr>
          <w:rFonts w:ascii="Times New Roman" w:hAnsi="Times New Roman" w:cs="Times New Roman"/>
          <w:sz w:val="24"/>
          <w:szCs w:val="24"/>
        </w:rPr>
        <w:t>1. Obliged entities must report to the responsible authority, immediately and no later than 72 hours, in accordance with the provisions of Article 132 of this law, the cases of which they have knowledge, suspect or have reasonable grounds to suspect that laundering of the proceeds of criminal offence, financing of terrorism, is being committed, has been committed or is attempted to be committed, or that the funds or activities involved derive from criminal activity.</w:t>
      </w:r>
    </w:p>
    <w:p w:rsidR="006A3197" w:rsidRPr="007647A8" w:rsidRDefault="006A3197" w:rsidP="002A39C9">
      <w:pPr>
        <w:widowControl w:val="0"/>
        <w:spacing w:after="0"/>
        <w:ind w:left="0" w:firstLine="810"/>
        <w:rPr>
          <w:rFonts w:ascii="Times New Roman" w:hAnsi="Times New Roman" w:cs="Times New Roman"/>
          <w:sz w:val="24"/>
          <w:szCs w:val="24"/>
        </w:rPr>
      </w:pPr>
      <w:r>
        <w:rPr>
          <w:rFonts w:ascii="Times New Roman" w:hAnsi="Times New Roman" w:cs="Times New Roman"/>
          <w:sz w:val="24"/>
          <w:szCs w:val="24"/>
        </w:rPr>
        <w:t>2. Obliged entities must report to the responsible authority, within the next working day, all transactions for high-value goods, according to the thresholds provided for in Article 137 of this law, carried out as a single transaction or as transactions linked to one another within 24 hours. Transactions carried out by public bodies or institutions are excluded from this obligation.</w:t>
      </w:r>
    </w:p>
    <w:p w:rsidR="002376C9" w:rsidRPr="007647A8" w:rsidRDefault="006A3197" w:rsidP="002A39C9">
      <w:pPr>
        <w:widowControl w:val="0"/>
        <w:spacing w:after="0"/>
        <w:ind w:left="0" w:firstLine="810"/>
        <w:rPr>
          <w:rFonts w:ascii="Times New Roman" w:hAnsi="Times New Roman" w:cs="Times New Roman"/>
          <w:sz w:val="24"/>
          <w:szCs w:val="24"/>
        </w:rPr>
      </w:pPr>
      <w:r>
        <w:rPr>
          <w:rFonts w:ascii="Times New Roman" w:hAnsi="Times New Roman" w:cs="Times New Roman"/>
          <w:sz w:val="24"/>
          <w:szCs w:val="24"/>
        </w:rPr>
        <w:t>3. Obliged entities must report to the responsible authority, within the following working day, in accordance with the provisions of Article 143, point 4 of this law, all transactions in physical cash, in an amount equal to or greater than 1 000 000 (one million) lek or the equivalent in foreign currencies, carried out as a single transaction or as transactions linked to each other within 24 hours. Transactions carried out by public bodies or institutions are exempted from this obligation.</w:t>
      </w:r>
    </w:p>
    <w:p w:rsidR="00D530B8" w:rsidRPr="007647A8" w:rsidRDefault="00D530B8" w:rsidP="002A39C9">
      <w:pPr>
        <w:widowControl w:val="0"/>
        <w:spacing w:after="0"/>
        <w:ind w:left="0" w:firstLine="810"/>
        <w:rPr>
          <w:rFonts w:ascii="Times New Roman" w:hAnsi="Times New Roman" w:cs="Times New Roman"/>
          <w:sz w:val="24"/>
          <w:szCs w:val="24"/>
        </w:rPr>
      </w:pPr>
      <w:r>
        <w:rPr>
          <w:rFonts w:ascii="Times New Roman" w:hAnsi="Times New Roman" w:cs="Times New Roman"/>
          <w:sz w:val="24"/>
          <w:szCs w:val="24"/>
        </w:rPr>
        <w:t>4. The manner of reporting by the obliged entities, both for the sending of information and its receipt, is carried out in accordance with the technical standards required by the responsible authority.</w:t>
      </w:r>
    </w:p>
    <w:p w:rsidR="00D8102D" w:rsidRPr="007647A8" w:rsidRDefault="00D530B8" w:rsidP="002A39C9">
      <w:pPr>
        <w:widowControl w:val="0"/>
        <w:spacing w:after="0"/>
        <w:ind w:left="0" w:firstLine="810"/>
        <w:rPr>
          <w:rFonts w:ascii="Times New Roman" w:hAnsi="Times New Roman" w:cs="Times New Roman"/>
          <w:sz w:val="24"/>
          <w:szCs w:val="24"/>
        </w:rPr>
      </w:pPr>
      <w:r>
        <w:rPr>
          <w:rFonts w:ascii="Times New Roman" w:eastAsia="Arial Unicode MS" w:hAnsi="Times New Roman" w:cs="Times New Roman"/>
          <w:sz w:val="24"/>
          <w:szCs w:val="24"/>
          <w:lang w:bidi="en-US"/>
        </w:rPr>
        <w:t xml:space="preserve">5. </w:t>
      </w:r>
      <w:r>
        <w:rPr>
          <w:rFonts w:ascii="Times New Roman" w:hAnsi="Times New Roman" w:cs="Times New Roman"/>
          <w:sz w:val="24"/>
          <w:szCs w:val="24"/>
        </w:rPr>
        <w:t>The Minister of Finance, upon the proposal of the responsible authority, shall issue, within 6 months from the entry into force of this law, detailed rules on the manner and procedures for reporting by obliged entities.</w:t>
      </w:r>
    </w:p>
    <w:p w:rsidR="000F1923" w:rsidRPr="007647A8" w:rsidRDefault="000F1923" w:rsidP="002A39C9">
      <w:pPr>
        <w:pStyle w:val="NormalWeb"/>
        <w:spacing w:before="0" w:beforeAutospacing="0" w:after="0" w:afterAutospacing="0" w:line="276" w:lineRule="auto"/>
        <w:ind w:firstLine="426"/>
        <w:jc w:val="both"/>
        <w:rPr>
          <w:rFonts w:eastAsia="Calibri"/>
        </w:rPr>
      </w:pPr>
    </w:p>
    <w:p w:rsidR="00D16B6B" w:rsidRPr="007647A8" w:rsidRDefault="002574E7" w:rsidP="002A39C9">
      <w:pPr>
        <w:keepNext/>
        <w:widowControl w:val="0"/>
        <w:spacing w:after="0"/>
        <w:jc w:val="center"/>
        <w:rPr>
          <w:rFonts w:ascii="Times New Roman" w:eastAsia="MS Mincho" w:hAnsi="Times New Roman" w:cs="Times New Roman"/>
          <w:sz w:val="24"/>
          <w:szCs w:val="24"/>
        </w:rPr>
      </w:pPr>
      <w:r>
        <w:rPr>
          <w:rFonts w:ascii="Times New Roman" w:eastAsia="MS Mincho" w:hAnsi="Times New Roman" w:cs="Times New Roman"/>
          <w:sz w:val="24"/>
          <w:szCs w:val="24"/>
        </w:rPr>
        <w:t>Article 23</w:t>
      </w:r>
    </w:p>
    <w:p w:rsidR="00D16B6B" w:rsidRPr="007647A8" w:rsidRDefault="00D16B6B" w:rsidP="002A39C9">
      <w:pPr>
        <w:keepNext/>
        <w:widowControl w:val="0"/>
        <w:spacing w:after="0"/>
        <w:jc w:val="center"/>
        <w:outlineLvl w:val="2"/>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Use of data </w:t>
      </w:r>
    </w:p>
    <w:p w:rsidR="00D16B6B" w:rsidRPr="007647A8" w:rsidRDefault="00D16B6B" w:rsidP="002A39C9">
      <w:pPr>
        <w:keepNext/>
        <w:widowControl w:val="0"/>
        <w:spacing w:after="0"/>
        <w:jc w:val="center"/>
        <w:outlineLvl w:val="2"/>
        <w:rPr>
          <w:rFonts w:ascii="Times New Roman" w:eastAsia="MS Mincho" w:hAnsi="Times New Roman" w:cs="Times New Roman"/>
          <w:b/>
          <w:bCs/>
          <w:sz w:val="24"/>
          <w:szCs w:val="24"/>
        </w:rPr>
      </w:pPr>
    </w:p>
    <w:p w:rsidR="00D16B6B" w:rsidRPr="007647A8" w:rsidRDefault="00F5653E" w:rsidP="002A39C9">
      <w:pPr>
        <w:pStyle w:val="Paragrafi"/>
        <w:spacing w:line="276" w:lineRule="auto"/>
        <w:rPr>
          <w:rFonts w:ascii="Times New Roman" w:eastAsia="MS Mincho" w:hAnsi="Times New Roman"/>
          <w:sz w:val="24"/>
          <w:szCs w:val="24"/>
        </w:rPr>
      </w:pPr>
      <w:r>
        <w:rPr>
          <w:rFonts w:ascii="Times New Roman" w:eastAsia="MS Mincho" w:hAnsi="Times New Roman"/>
          <w:sz w:val="24"/>
          <w:szCs w:val="24"/>
        </w:rPr>
        <w:t>1. Any information or data sent by the Financial Intelligence Agency to law enforcement officials shall be subject to the legislation on classified information and shall not constitute evidence within the meaning of the Code of Criminal Procedure, the Code of Civil Procedure or the administrative procedural legislation.</w:t>
      </w:r>
    </w:p>
    <w:p w:rsidR="000F1923" w:rsidRPr="007647A8" w:rsidRDefault="000F1923" w:rsidP="002A39C9">
      <w:pPr>
        <w:pStyle w:val="NormalWeb"/>
        <w:spacing w:before="0" w:beforeAutospacing="0" w:after="0" w:afterAutospacing="0" w:line="276" w:lineRule="auto"/>
        <w:ind w:firstLine="426"/>
        <w:jc w:val="both"/>
        <w:rPr>
          <w:rFonts w:eastAsia="Calibri"/>
        </w:rPr>
      </w:pPr>
    </w:p>
    <w:p w:rsidR="007C1DCF" w:rsidRPr="007647A8" w:rsidRDefault="007C1DCF" w:rsidP="002A39C9">
      <w:pPr>
        <w:framePr w:hSpace="180" w:wrap="around" w:vAnchor="text" w:hAnchor="text" w:x="-899" w:y="1"/>
        <w:widowControl w:val="0"/>
        <w:suppressAutoHyphens/>
        <w:snapToGrid w:val="0"/>
        <w:spacing w:after="0"/>
        <w:ind w:left="0" w:firstLine="0"/>
        <w:suppressOverlap/>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C1DCF" w:rsidRPr="007647A8" w:rsidRDefault="002376C9" w:rsidP="002A39C9">
      <w:pPr>
        <w:pStyle w:val="NormalWeb"/>
        <w:spacing w:before="0" w:beforeAutospacing="0" w:after="0" w:afterAutospacing="0" w:line="276" w:lineRule="auto"/>
        <w:ind w:firstLine="426"/>
        <w:jc w:val="center"/>
        <w:rPr>
          <w:rFonts w:eastAsia="Calibri"/>
        </w:rPr>
      </w:pPr>
      <w:r>
        <w:rPr>
          <w:rFonts w:eastAsia="Calibri"/>
        </w:rPr>
        <w:t>Article 24</w:t>
      </w:r>
    </w:p>
    <w:p w:rsidR="007C1DCF" w:rsidRPr="007647A8" w:rsidRDefault="007C1DCF" w:rsidP="002A39C9">
      <w:pPr>
        <w:pStyle w:val="NormalWeb"/>
        <w:spacing w:before="0" w:beforeAutospacing="0" w:after="0" w:afterAutospacing="0" w:line="276" w:lineRule="auto"/>
        <w:ind w:firstLine="426"/>
        <w:jc w:val="center"/>
        <w:rPr>
          <w:rFonts w:eastAsia="Calibri"/>
          <w:b/>
        </w:rPr>
      </w:pPr>
      <w:r>
        <w:rPr>
          <w:rFonts w:eastAsia="Calibri"/>
          <w:b/>
        </w:rPr>
        <w:t>Response to requests for information</w:t>
      </w:r>
    </w:p>
    <w:p w:rsidR="007C1DCF" w:rsidRPr="007647A8" w:rsidRDefault="007C1DCF" w:rsidP="002A39C9">
      <w:pPr>
        <w:widowControl w:val="0"/>
        <w:spacing w:after="0"/>
        <w:ind w:left="0" w:firstLine="0"/>
        <w:jc w:val="center"/>
        <w:rPr>
          <w:rFonts w:ascii="Times New Roman" w:eastAsia="Calibri" w:hAnsi="Times New Roman" w:cs="Times New Roman"/>
          <w:sz w:val="24"/>
          <w:szCs w:val="24"/>
        </w:rPr>
      </w:pPr>
    </w:p>
    <w:p w:rsidR="006A4703" w:rsidRPr="007647A8" w:rsidRDefault="00C00F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shall respond within a reasonable period, but not exceeding 15 working days, to reasoned requests for information submitted by the competent authorities specified in Article 85, point 1, letters “c” and “d”, based on suspicions related to money laundering and criminal offences related thereto, terrorist financing or the financing of the proliferation of weapons of mass destruction, when the requested information is already available to the Financial Intelligence Agency and is necessary on a case-by-case basis.</w:t>
      </w:r>
    </w:p>
    <w:p w:rsidR="006A4703" w:rsidRPr="007647A8" w:rsidRDefault="00C00F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decision to provide or disseminate information remains within the competence of the Financial Intelligence Agency.</w:t>
      </w:r>
    </w:p>
    <w:p w:rsidR="006A4703" w:rsidRPr="007647A8" w:rsidRDefault="00C00F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Where it results from objective circumstances that the provision of the requested information would have a negative impact on ongoing investigations or analyses, or, in exceptional circumstances, where the provision of this information would be clearly disproportionate in relation to the legitimate interests of a natural or legal person, or irrelevant in relation to the purpose for which it has been requested, the Financial Intelligence Agency is not obliged to respond to the request for information. In these cases, the Financial Intelligence Agency is obliged to notify in writing the requesting authority of the reasons for refusing to provide the information.</w:t>
      </w:r>
    </w:p>
    <w:p w:rsidR="006A4703" w:rsidRPr="007647A8" w:rsidRDefault="00C00F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competent authorities inform the Financial Intelligence Agency of the use and usefulness of the information made available pursuant to this article and article 14, point 6 of this law, as well as of the results of the actions and investigations carried out on the basis of this information.</w:t>
      </w:r>
    </w:p>
    <w:p w:rsidR="006A4703" w:rsidRPr="007647A8" w:rsidRDefault="00C00F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This information shall be provided as soon as possible and, in any case, in summary form, at least once a year, so as to enable the Financial Intelligence Agency to improve its operational analysis function.</w:t>
      </w:r>
    </w:p>
    <w:p w:rsidR="00AD7142" w:rsidRPr="007647A8" w:rsidRDefault="00AD7142" w:rsidP="002A39C9">
      <w:pPr>
        <w:widowControl w:val="0"/>
        <w:spacing w:after="0"/>
        <w:ind w:left="0" w:firstLine="720"/>
        <w:rPr>
          <w:rFonts w:ascii="Times New Roman" w:hAnsi="Times New Roman" w:cs="Times New Roman"/>
          <w:sz w:val="24"/>
          <w:szCs w:val="24"/>
        </w:rPr>
      </w:pPr>
    </w:p>
    <w:p w:rsidR="00AD7142" w:rsidRPr="007647A8" w:rsidRDefault="002376C9" w:rsidP="002A39C9">
      <w:pPr>
        <w:pStyle w:val="NormalWeb"/>
        <w:spacing w:before="0" w:beforeAutospacing="0" w:after="0" w:afterAutospacing="0" w:line="276" w:lineRule="auto"/>
        <w:ind w:firstLine="426"/>
        <w:jc w:val="center"/>
        <w:rPr>
          <w:rFonts w:eastAsia="Calibri"/>
        </w:rPr>
      </w:pPr>
      <w:r>
        <w:rPr>
          <w:rFonts w:eastAsia="Calibri"/>
        </w:rPr>
        <w:t>Article 25</w:t>
      </w:r>
    </w:p>
    <w:p w:rsidR="00AD7142" w:rsidRPr="007647A8" w:rsidRDefault="00AD7142" w:rsidP="002A39C9">
      <w:pPr>
        <w:pStyle w:val="NormalWeb"/>
        <w:spacing w:before="0" w:beforeAutospacing="0" w:after="0" w:afterAutospacing="0" w:line="276" w:lineRule="auto"/>
        <w:ind w:firstLine="426"/>
        <w:jc w:val="center"/>
        <w:rPr>
          <w:rFonts w:eastAsia="Calibri"/>
          <w:b/>
        </w:rPr>
      </w:pPr>
      <w:r>
        <w:rPr>
          <w:rFonts w:eastAsia="Calibri"/>
          <w:b/>
        </w:rPr>
        <w:t>Provision of information for supervisors</w:t>
      </w:r>
    </w:p>
    <w:p w:rsidR="00AD7142" w:rsidRPr="007647A8" w:rsidRDefault="00AD7142" w:rsidP="002A39C9">
      <w:pPr>
        <w:widowControl w:val="0"/>
        <w:spacing w:after="0"/>
        <w:ind w:left="0" w:firstLine="720"/>
        <w:rPr>
          <w:rFonts w:ascii="Times New Roman" w:hAnsi="Times New Roman" w:cs="Times New Roman"/>
          <w:sz w:val="24"/>
          <w:szCs w:val="24"/>
        </w:rPr>
      </w:pPr>
    </w:p>
    <w:p w:rsidR="006A4703" w:rsidRPr="007647A8" w:rsidRDefault="00AD714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provides supervisors, spontaneously or upon request, with information that may be relevant to the exercise of their supervisory functions in accordance with Chapter III of Part I of this law, including at least:</w:t>
      </w:r>
    </w:p>
    <w:p w:rsidR="006A4703" w:rsidRPr="007647A8" w:rsidRDefault="00B63F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quality and quantity of reports of suspicious activities or transactions sent by obliged entities;</w:t>
      </w:r>
    </w:p>
    <w:p w:rsidR="006A4703" w:rsidRPr="007647A8" w:rsidRDefault="00B63F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quality and observance of the deadlines of the responses given by the obliged entities to the requests of the Financial Intelligence Agency in accordance with Article 132, paragraph 1, letter “b”;</w:t>
      </w:r>
    </w:p>
    <w:p w:rsidR="006A4703" w:rsidRPr="007647A8" w:rsidRDefault="00B63F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results of strategic analyses carried out in accordance with Article 14, point 7, letter “b” of this law, as well as any important information on trends and methods of money laundering, criminal offences related to it, the financing of terrorism or the financing of the proliferation of weapons of mass destruction, including geographical, cross-border and emerging risks.</w:t>
      </w:r>
    </w:p>
    <w:p w:rsidR="006A4703" w:rsidRPr="007647A8" w:rsidRDefault="00AD714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shall notify the supervisors whenever the information at its disposal results in possible breaches by the obliged entities of the obligations provided for in Part II and Part III of this law.</w:t>
      </w:r>
    </w:p>
    <w:p w:rsidR="00B63F68" w:rsidRPr="007647A8" w:rsidRDefault="00AB5FF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Except in cases where this is necessarily required for the purposes of point 2 of this Article, the information made available by the Financial Intelligence Agency under this Article does not contain data on certain natural or legal persons, nor data on concrete cases involving natural or legal persons who are the subject of an ongoing analysis or criminal investigation, or that may lead to their identification.</w:t>
      </w:r>
    </w:p>
    <w:p w:rsidR="00263220" w:rsidRPr="007647A8" w:rsidRDefault="00263220" w:rsidP="002A39C9">
      <w:pPr>
        <w:widowControl w:val="0"/>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    </w:t>
      </w:r>
    </w:p>
    <w:p w:rsidR="00263220" w:rsidRPr="007647A8" w:rsidRDefault="00263220" w:rsidP="002A39C9">
      <w:pPr>
        <w:widowControl w:val="0"/>
        <w:spacing w:after="0"/>
        <w:ind w:left="0" w:firstLine="426"/>
        <w:rPr>
          <w:rFonts w:ascii="Times New Roman" w:hAnsi="Times New Roman" w:cs="Times New Roman"/>
          <w:sz w:val="24"/>
          <w:szCs w:val="24"/>
        </w:rPr>
      </w:pPr>
    </w:p>
    <w:p w:rsidR="00263220" w:rsidRPr="007647A8" w:rsidRDefault="002376C9"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26</w:t>
      </w:r>
    </w:p>
    <w:p w:rsidR="00263220" w:rsidRPr="007647A8" w:rsidRDefault="003B7337"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Freezing or refusal to give consent</w:t>
      </w:r>
    </w:p>
    <w:p w:rsidR="00B63F68" w:rsidRPr="007647A8" w:rsidRDefault="00B63F68" w:rsidP="002A39C9">
      <w:pPr>
        <w:widowControl w:val="0"/>
        <w:spacing w:after="0"/>
        <w:ind w:left="0" w:firstLine="426"/>
        <w:rPr>
          <w:rFonts w:ascii="Times New Roman" w:hAnsi="Times New Roman" w:cs="Times New Roman"/>
          <w:sz w:val="24"/>
          <w:szCs w:val="24"/>
        </w:rPr>
      </w:pPr>
    </w:p>
    <w:p w:rsidR="009B5F3A" w:rsidRPr="007647A8" w:rsidRDefault="002632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Financial Intelligence Agency has the competence to take urgent measures, directly or indirectly, when there is suspicion that a transaction is related to money laundering or terrorist financing, to freeze the transaction or not to give consent for its execution. </w:t>
      </w:r>
    </w:p>
    <w:p w:rsidR="00765DC8" w:rsidRPr="007647A8" w:rsidRDefault="009B5F3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In cases where the need to freeze or not to give consent for the execution of a transaction is determined on the basis of a suspicion reported in accordance with Article 132, the freezing or refusal to give consent is imposed on the obliged entity within the period referred to in Article 134 of this law. </w:t>
      </w:r>
    </w:p>
    <w:p w:rsidR="009B5F3A" w:rsidRPr="007647A8" w:rsidRDefault="009B5F3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When the need to freeze a transaction is based on the analytical work of the Financial Intelligence Agency, regardless of whether a prior report has been submitted by the obliged entity, the freezing shall be imposed as soon as possible by the Financial Intelligence Agency. </w:t>
      </w:r>
    </w:p>
    <w:p w:rsidR="00FA6035" w:rsidRPr="007647A8" w:rsidRDefault="00FA603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freezing or refusal to give consent for the execution of a transaction shall be imposed by the Financial Intelligence Agency for the purpose of preserving funds, carrying out its analyses, including the analysis of the transaction, assessing whether the suspicion has been confirmed and, if so, disseminating the results of the analyses to the relevant competent authorities to allow the adoption of appropriate measures.</w:t>
      </w:r>
    </w:p>
    <w:p w:rsidR="006A4703" w:rsidRPr="007647A8" w:rsidRDefault="001B44A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period of freezing or of withholding consent for carrying out the transaction, for the purposes of the analytical work of the Financial Intelligence Agency, shall not exceed 10 working days.  The Financial Intelligence Agency is authorised to lift at any time the freezing or the withholding of consent for carrying out a transaction, when it finds that this measure is no longer necessary for achieving the purposes provided for in this point of this article.</w:t>
      </w:r>
    </w:p>
    <w:p w:rsidR="006A4703" w:rsidRPr="007647A8" w:rsidRDefault="002632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has the competence to freeze or not give consent for the execution of a transaction, pursuant to this article, upon the request of a counterpart financial intelligence unit of a Member State or third country.</w:t>
      </w:r>
    </w:p>
    <w:p w:rsidR="006A4703" w:rsidRPr="007647A8" w:rsidRDefault="002632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Where there is suspicion that a bank account or payment account, a crypto-asset account or a business relationship is linked to money laundering or the financing of terrorism, the Financial Intelligence Agency has the competence to take urgent measures, directly or indirectly, to freeze the use of this account or to freeze the business relationship, with the purpose of preserving the funds, to carry out financial analyses, to assess whether the suspicion has been confirmed, and, in case of confirmation, to disseminate the results of the analyses to the relevant competent authorities, with the purpose of taking appropriate measures.</w:t>
      </w:r>
    </w:p>
    <w:p w:rsidR="00C60129" w:rsidRPr="007647A8" w:rsidRDefault="00DD09C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freezing period for the use of an account or business relationship, according to this point, for the purposes of the analytical work of the Financial Intelligence Agency shall not exceed 5 working days. </w:t>
      </w:r>
    </w:p>
    <w:p w:rsidR="003608B0" w:rsidRPr="007647A8" w:rsidRDefault="003608B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is authorised to lift the freezing at any time, when it determines that this measure is no longer necessary for achieving the objectives provided for in this point of this article.</w:t>
      </w:r>
    </w:p>
    <w:p w:rsidR="006A4703" w:rsidRPr="007647A8" w:rsidRDefault="002632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has the competence to freeze the use of an account or to freeze a business relationship, under this point, at the request of a counterpart financial intelligence unit of a Member State or third country.</w:t>
      </w:r>
    </w:p>
    <w:p w:rsidR="00060A01" w:rsidRPr="007647A8" w:rsidRDefault="00043F5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Financial Intelligence Agency, for the purposes of points 1 and 2 of this Article, in cases where it observes elements of the criminal offence, sends information to the prosecution office, together with a copy of the order for temporary freezing or for withholding consent for carrying out the transaction and the relevant documentation. </w:t>
      </w:r>
    </w:p>
    <w:p w:rsidR="00060A01" w:rsidRPr="007647A8" w:rsidRDefault="00060A0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the absence of a seizure decision or another restrictive measure imposed by the competent prosecution or court, within 72 hours from receipt of the order and the relevant documentation from the prosecution, the order of the Financial Intelligence Agency ceases to produce legal effects.</w:t>
      </w:r>
    </w:p>
    <w:p w:rsidR="00263220" w:rsidRPr="007647A8" w:rsidRDefault="00CB70F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imposition of freezing or the withholding of consent for carrying out the transaction under this article shall not impose any kind of civil, administrative or criminal liability on the Financial Intelligence Agency, its directors or its employees.</w:t>
      </w:r>
    </w:p>
    <w:p w:rsidR="00C31FC5" w:rsidRPr="007647A8" w:rsidRDefault="00C31FC5" w:rsidP="002A39C9">
      <w:pPr>
        <w:widowControl w:val="0"/>
        <w:spacing w:after="0"/>
        <w:ind w:left="0" w:firstLine="0"/>
        <w:rPr>
          <w:rFonts w:ascii="Times New Roman" w:hAnsi="Times New Roman" w:cs="Times New Roman"/>
          <w:sz w:val="24"/>
          <w:szCs w:val="24"/>
        </w:rPr>
      </w:pPr>
    </w:p>
    <w:p w:rsidR="00C31FC5" w:rsidRPr="007647A8" w:rsidRDefault="00C31FC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27</w:t>
      </w:r>
    </w:p>
    <w:p w:rsidR="00C31FC5" w:rsidRPr="007647A8" w:rsidRDefault="00314126"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b/>
          <w:sz w:val="24"/>
          <w:szCs w:val="24"/>
        </w:rPr>
        <w:t>Monitoring of transactions or activities</w:t>
      </w:r>
      <w:r>
        <w:rPr>
          <w:rFonts w:ascii="Times New Roman" w:hAnsi="Times New Roman" w:cs="Times New Roman"/>
          <w:sz w:val="24"/>
          <w:szCs w:val="24"/>
        </w:rPr>
        <w:t xml:space="preserve"> </w:t>
      </w:r>
    </w:p>
    <w:p w:rsidR="00D106A6" w:rsidRPr="007647A8" w:rsidRDefault="00D106A6" w:rsidP="002A39C9">
      <w:pPr>
        <w:widowControl w:val="0"/>
        <w:spacing w:after="0"/>
        <w:ind w:left="0" w:firstLine="0"/>
        <w:rPr>
          <w:rFonts w:ascii="Times New Roman" w:hAnsi="Times New Roman" w:cs="Times New Roman"/>
          <w:sz w:val="24"/>
          <w:szCs w:val="24"/>
        </w:rPr>
      </w:pP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orders the obliged entities that, for a period of time determined by it, to monitor the transactions or activities carried out through one or more bank accounts, payment accounts, crypto-asset accounts, or other business relationships administered by them, for persons who present a significant risk of money laundering, related criminal offences, the financing of terrorism, or the financing of the proliferation of weapons of mass destruction.</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orders obliged entities to report the results of the monitoring carried out, according to point 1 of this article, within the deadlines and according to the periodicity determined by it.</w:t>
      </w:r>
    </w:p>
    <w:p w:rsidR="00C77067"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Financial Intelligence Agency orders monitoring measures under this article also upon the request of a counterpart financial intelligence unit of a Member State or a third country. </w:t>
      </w:r>
    </w:p>
    <w:p w:rsidR="00C77067" w:rsidRPr="007647A8" w:rsidRDefault="00C77067" w:rsidP="002A39C9">
      <w:pPr>
        <w:widowControl w:val="0"/>
        <w:spacing w:after="0"/>
        <w:ind w:left="0" w:firstLine="0"/>
        <w:rPr>
          <w:rFonts w:ascii="Times New Roman" w:hAnsi="Times New Roman" w:cs="Times New Roman"/>
          <w:sz w:val="24"/>
          <w:szCs w:val="24"/>
        </w:rPr>
      </w:pPr>
    </w:p>
    <w:p w:rsidR="00C77067" w:rsidRPr="007647A8" w:rsidRDefault="002574E7" w:rsidP="002A39C9">
      <w:pPr>
        <w:widowControl w:val="0"/>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sz w:val="24"/>
          <w:szCs w:val="24"/>
        </w:rPr>
        <w:t>Article 28</w:t>
      </w:r>
      <w:r w:rsidR="00C77067" w:rsidRPr="007647A8">
        <w:rPr>
          <w:rFonts w:ascii="Times New Roman" w:eastAsia="Calibri" w:hAnsi="Times New Roman" w:cs="Times New Roman"/>
          <w:sz w:val="24"/>
          <w:szCs w:val="24"/>
        </w:rPr>
        <w:br/>
      </w:r>
      <w:r>
        <w:rPr>
          <w:rFonts w:ascii="Times New Roman" w:eastAsia="Calibri" w:hAnsi="Times New Roman" w:cs="Times New Roman"/>
          <w:b/>
          <w:sz w:val="24"/>
          <w:szCs w:val="24"/>
        </w:rPr>
        <w:t>Notification of obliged entities about the risks</w:t>
      </w:r>
    </w:p>
    <w:p w:rsidR="002653FA" w:rsidRPr="007647A8" w:rsidRDefault="002653FA" w:rsidP="002A39C9">
      <w:pPr>
        <w:widowControl w:val="0"/>
        <w:spacing w:after="0"/>
        <w:ind w:left="0" w:firstLine="0"/>
        <w:jc w:val="center"/>
        <w:rPr>
          <w:rFonts w:ascii="Times New Roman" w:hAnsi="Times New Roman" w:cs="Times New Roman"/>
          <w:sz w:val="24"/>
          <w:szCs w:val="24"/>
        </w:rPr>
      </w:pP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has the competence to notify the obliged entities of information that is important for the fulfillment of the legal obligations for the implementation of customer due diligence measures, pursuant to Chapter III of Part II of this law.</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This information includes:</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types of transactions or activities that present significant risk for money laundering, criminal offences related to them, the financing of terrorism or the financing of the proliferation of weapons of mass destruction;</w:t>
      </w:r>
    </w:p>
    <w:p w:rsidR="006A4703" w:rsidRPr="007647A8" w:rsidRDefault="00070B2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designated persons who present a considerable risk for money laundering, criminal offences related to them, terrorist financing or the financing of the proliferation of weapons of mass destruction;</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specific geographical areas that present a significant risk for money laundering, criminal offences related thereto, terrorist financing or the financing of the proliferation of weapons of mass destruction.</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notice provided for in point 1 of this Article shall apply for a specified period, in accordance with the determinations given in this law, which may not exceed 6 months.</w:t>
      </w:r>
    </w:p>
    <w:p w:rsidR="00D106A6"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Financial Intelligence Agency makes available to obliged entities, at least once a year, information or strategic analyses on typologies, risk indicators and trends in the field of money laundering, terrorist financing and the financing of the proliferation of weapons of mass destruction.</w:t>
      </w:r>
    </w:p>
    <w:p w:rsidR="00C77067" w:rsidRPr="007647A8" w:rsidRDefault="00C77067" w:rsidP="002A39C9">
      <w:pPr>
        <w:widowControl w:val="0"/>
        <w:spacing w:after="0"/>
        <w:ind w:left="0" w:firstLine="426"/>
        <w:jc w:val="center"/>
        <w:rPr>
          <w:rFonts w:ascii="Times New Roman" w:hAnsi="Times New Roman" w:cs="Times New Roman"/>
          <w:sz w:val="24"/>
          <w:szCs w:val="24"/>
        </w:rPr>
      </w:pPr>
    </w:p>
    <w:p w:rsidR="00C77067" w:rsidRPr="007647A8" w:rsidRDefault="00C77067"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29</w:t>
      </w:r>
    </w:p>
    <w:p w:rsidR="00C77067" w:rsidRPr="007647A8" w:rsidRDefault="007A6CAB"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 xml:space="preserve">Annual report </w:t>
      </w:r>
    </w:p>
    <w:p w:rsidR="00C77067" w:rsidRPr="007647A8" w:rsidRDefault="00C77067" w:rsidP="002A39C9">
      <w:pPr>
        <w:widowControl w:val="0"/>
        <w:spacing w:after="0"/>
        <w:ind w:left="0" w:firstLine="426"/>
        <w:jc w:val="center"/>
        <w:rPr>
          <w:rFonts w:ascii="Times New Roman" w:hAnsi="Times New Roman" w:cs="Times New Roman"/>
          <w:sz w:val="24"/>
          <w:szCs w:val="24"/>
        </w:rPr>
      </w:pPr>
    </w:p>
    <w:p w:rsidR="006A4703" w:rsidRPr="007647A8" w:rsidRDefault="00B00DE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publishes, no later than 30 June of each year, the annual report for the preceding year on its activity.</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report, among other things, must contain statistical data on:</w:t>
      </w:r>
    </w:p>
    <w:p w:rsidR="006A4703" w:rsidRPr="007647A8" w:rsidRDefault="00B00DE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a) the tracking and handling by the Financial Intelligence Agency of reports on suspicious transactions and activities reported under this law; </w:t>
      </w:r>
    </w:p>
    <w:p w:rsidR="00B00DE1"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reports on suspicious transactions and activities reported by obliged entities;</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c) notifications or information sent by the supervisory authorities, as well as the information provided by the central registers; </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cases referred to the competent authorities and their further follow-up;</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requests submitted to and received from counterpart financial intelligence units;</w:t>
      </w:r>
    </w:p>
    <w:p w:rsidR="003B34D2"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the requests submitted to and received by the competent authorities specified in Article 85, point 1, letter “c” of this law;</w:t>
      </w:r>
    </w:p>
    <w:p w:rsidR="006A4703"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the human resources made available;</w:t>
      </w:r>
    </w:p>
    <w:p w:rsidR="006A4703" w:rsidRPr="007647A8" w:rsidRDefault="00B00DE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data on cross-border movements of monetary instruments, transmitted by the customs authorities pursuant to Part IV of this law.</w:t>
      </w:r>
    </w:p>
    <w:p w:rsidR="006933EA" w:rsidRPr="007647A8" w:rsidRDefault="00B00DE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The annual report also contains information on the trends and typologies identified in the cases for which information has been sent to other competent authorities. </w:t>
      </w:r>
    </w:p>
    <w:p w:rsidR="00C77067" w:rsidRPr="007647A8" w:rsidRDefault="00C770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information included in the report must not allow the identification of any natural or  legal person.</w:t>
      </w:r>
    </w:p>
    <w:p w:rsidR="00C77067" w:rsidRPr="007647A8" w:rsidRDefault="00C77067" w:rsidP="002A39C9">
      <w:pPr>
        <w:widowControl w:val="0"/>
        <w:spacing w:after="0"/>
        <w:ind w:left="0" w:firstLine="425"/>
        <w:rPr>
          <w:rFonts w:ascii="Times New Roman" w:hAnsi="Times New Roman" w:cs="Times New Roman"/>
          <w:sz w:val="24"/>
          <w:szCs w:val="24"/>
        </w:rPr>
      </w:pPr>
    </w:p>
    <w:p w:rsidR="00455784" w:rsidRPr="007647A8" w:rsidRDefault="00C77067" w:rsidP="002A39C9">
      <w:pPr>
        <w:widowControl w:val="0"/>
        <w:spacing w:after="0"/>
        <w:ind w:left="0" w:firstLine="425"/>
        <w:jc w:val="center"/>
        <w:rPr>
          <w:rFonts w:ascii="Times New Roman" w:hAnsi="Times New Roman" w:cs="Times New Roman"/>
          <w:sz w:val="24"/>
          <w:szCs w:val="24"/>
        </w:rPr>
      </w:pPr>
      <w:r>
        <w:rPr>
          <w:rFonts w:ascii="Times New Roman" w:hAnsi="Times New Roman" w:cs="Times New Roman"/>
          <w:sz w:val="24"/>
          <w:szCs w:val="24"/>
        </w:rPr>
        <w:t>Article 30</w:t>
      </w:r>
    </w:p>
    <w:p w:rsidR="00C77067" w:rsidRPr="007647A8" w:rsidRDefault="000A27D4" w:rsidP="002A39C9">
      <w:pPr>
        <w:widowControl w:val="0"/>
        <w:spacing w:after="0"/>
        <w:ind w:left="0" w:firstLine="425"/>
        <w:jc w:val="center"/>
        <w:rPr>
          <w:rFonts w:ascii="Times New Roman" w:hAnsi="Times New Roman" w:cs="Times New Roman"/>
          <w:sz w:val="24"/>
          <w:szCs w:val="24"/>
        </w:rPr>
      </w:pPr>
      <w:r>
        <w:rPr>
          <w:rFonts w:ascii="Times New Roman" w:hAnsi="Times New Roman" w:cs="Times New Roman"/>
          <w:b/>
          <w:sz w:val="24"/>
          <w:szCs w:val="24"/>
        </w:rPr>
        <w:t xml:space="preserve">Assessment of the quality of reporting </w:t>
      </w:r>
    </w:p>
    <w:p w:rsidR="00C77067" w:rsidRPr="007647A8" w:rsidRDefault="00C77067" w:rsidP="002A39C9">
      <w:pPr>
        <w:widowControl w:val="0"/>
        <w:spacing w:after="0"/>
        <w:ind w:left="0" w:firstLine="0"/>
        <w:rPr>
          <w:rFonts w:ascii="Times New Roman" w:hAnsi="Times New Roman" w:cs="Times New Roman"/>
          <w:sz w:val="24"/>
          <w:szCs w:val="24"/>
        </w:rPr>
      </w:pPr>
    </w:p>
    <w:p w:rsidR="006A4703" w:rsidRPr="007647A8" w:rsidRDefault="00C760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ensures the assessment of the quality of reports submitted by obliged entities in relation to suspicious activity reports in accordance with the provisions of Article 132 of this law. This assessment includes, at least, compliance with the reporting deadlines, the description of the suspicion and the documentation submitted at the time of reporting.</w:t>
      </w:r>
    </w:p>
    <w:p w:rsidR="006A4703" w:rsidRPr="007647A8" w:rsidRDefault="00C760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assessment of the quality of reporting under this Article does not imply the assessment of each individual report submitted by the obliged entities.</w:t>
      </w:r>
    </w:p>
    <w:p w:rsidR="006A4703" w:rsidRPr="007647A8" w:rsidRDefault="00C760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Financial Intelligence Agency communicates the assessment of the quality of reporting, at least once a year, either for the obliged entities individually, or for groups or categories of obliged entities, taking into consideration the total number of reports on suspicious transactions submitted by the obliged entities.</w:t>
      </w:r>
    </w:p>
    <w:p w:rsidR="006A4703" w:rsidRPr="007647A8" w:rsidRDefault="00C760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assessment of the quality of reporting is also made available to the supervisory authorities, to enable them to exercise risk-based supervision in accordance with Article 48 of this law.</w:t>
      </w:r>
    </w:p>
    <w:p w:rsidR="003337B0" w:rsidRPr="007647A8" w:rsidRDefault="003337B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Financial Intelligence Agency shall report every year to AMLA on the assessment of the quality of reporting by obliged entities in accordance with this Article, and shall provide statistics on the number of suspicious transaction reports submitted by the categories of obliged entities.</w:t>
      </w:r>
    </w:p>
    <w:p w:rsidR="006A4703" w:rsidRPr="007647A8" w:rsidRDefault="00E4793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assessment of the quality of reporting must not prejudice the ongoing analytical work carried out by the Financial Intelligence Agency, nor the checks or administrative actions that follow the sending of the information, and does not affect the implementation of the requirements for the protection of data and the preservation of confidentiality.</w:t>
      </w:r>
    </w:p>
    <w:p w:rsidR="00C76048" w:rsidRPr="007647A8" w:rsidRDefault="00C377F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The Financial Intelligence Agency shall ensure the provision of the assessment, at least once a year, to the customs authorities on the effectiveness and further follow-up of the reports sent in accordance with Article 192 of Part IV of this law.</w:t>
      </w:r>
    </w:p>
    <w:p w:rsidR="00871852" w:rsidRPr="007647A8" w:rsidRDefault="00871852" w:rsidP="002A39C9">
      <w:pPr>
        <w:widowControl w:val="0"/>
        <w:spacing w:after="0"/>
        <w:ind w:left="0" w:firstLine="720"/>
        <w:rPr>
          <w:rFonts w:ascii="Times New Roman" w:hAnsi="Times New Roman" w:cs="Times New Roman"/>
          <w:sz w:val="24"/>
          <w:szCs w:val="24"/>
        </w:rPr>
      </w:pPr>
    </w:p>
    <w:p w:rsidR="00871852" w:rsidRPr="007647A8" w:rsidRDefault="002376C9" w:rsidP="002A39C9">
      <w:pPr>
        <w:spacing w:after="0"/>
        <w:jc w:val="center"/>
        <w:rPr>
          <w:rFonts w:ascii="Times New Roman" w:hAnsi="Times New Roman" w:cs="Times New Roman"/>
          <w:sz w:val="24"/>
          <w:szCs w:val="24"/>
        </w:rPr>
      </w:pPr>
      <w:r>
        <w:rPr>
          <w:rFonts w:ascii="Times New Roman" w:hAnsi="Times New Roman" w:cs="Times New Roman"/>
          <w:sz w:val="24"/>
          <w:szCs w:val="24"/>
        </w:rPr>
        <w:t>Article 31</w:t>
      </w:r>
    </w:p>
    <w:p w:rsidR="00871852" w:rsidRPr="007647A8" w:rsidRDefault="00871852" w:rsidP="002A39C9">
      <w:pPr>
        <w:spacing w:after="0"/>
        <w:jc w:val="center"/>
        <w:rPr>
          <w:rFonts w:ascii="Times New Roman" w:hAnsi="Times New Roman" w:cs="Times New Roman"/>
          <w:b/>
          <w:sz w:val="24"/>
          <w:szCs w:val="24"/>
        </w:rPr>
      </w:pPr>
      <w:r>
        <w:rPr>
          <w:rFonts w:ascii="Times New Roman" w:hAnsi="Times New Roman" w:cs="Times New Roman"/>
          <w:b/>
          <w:sz w:val="24"/>
          <w:szCs w:val="24"/>
        </w:rPr>
        <w:t>Supervisory functions of the Financial Intelligence Agency</w:t>
      </w:r>
    </w:p>
    <w:p w:rsidR="00871852" w:rsidRPr="007647A8" w:rsidRDefault="00871852" w:rsidP="002A39C9">
      <w:pPr>
        <w:spacing w:after="0"/>
        <w:rPr>
          <w:rFonts w:ascii="Times New Roman" w:hAnsi="Times New Roman" w:cs="Times New Roman"/>
          <w:b/>
          <w:sz w:val="24"/>
          <w:szCs w:val="24"/>
        </w:rPr>
      </w:pPr>
    </w:p>
    <w:p w:rsidR="0068426D" w:rsidRPr="007647A8" w:rsidRDefault="00871852"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in accordance with Article 40, point 2, letter “g”, Article 42 and the provisions in Chapter III of Part I of this law, carries out on-site or remote inspections, at obliged entities, to the extent necessary for the verification of the fulfillment of the obligations arising from this law and that are directly related to:</w:t>
      </w:r>
    </w:p>
    <w:p w:rsidR="0068426D" w:rsidRPr="007647A8" w:rsidRDefault="0068426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a) reporting of suspicious transactions or activities;</w:t>
      </w:r>
    </w:p>
    <w:p w:rsidR="0068426D" w:rsidRPr="007647A8" w:rsidRDefault="0068426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b) the reporting of cash transactions, as well as of transactions according to the reporting thresholds defined in this law;</w:t>
      </w:r>
    </w:p>
    <w:p w:rsidR="0068426D" w:rsidRPr="007647A8" w:rsidRDefault="0068426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c) the provision of the information and documentation requested by the Agency;</w:t>
      </w:r>
    </w:p>
    <w:p w:rsidR="0068426D" w:rsidRPr="007647A8" w:rsidRDefault="0068426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d) the implementation of the Agency's orders for freezing, refusal to give consent or monitoring;</w:t>
      </w:r>
    </w:p>
    <w:p w:rsidR="0068426D" w:rsidRPr="007647A8" w:rsidRDefault="0068426D"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e) the quality of reporting, as well as the functioning of the internal mechanisms for the identification and reporting of suspicions.</w:t>
      </w:r>
    </w:p>
    <w:p w:rsidR="003B1E67"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exercises supervisory functions over obliged entities for which no other supervisory authority has been designated.</w:t>
      </w:r>
    </w:p>
    <w:p w:rsidR="00663FE0"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3. For the purposes of point 1 of this article and in fulfillment of the provisions of Chapter III, Section 1, of Part I of this law, the Financial Intelligence Agency has the right to request and obtain documents, registers, electronic data, customer files, transactions, alerts, internal analyses, decisions on non-reporting, written explanations and any other information necessary for the subject matter of the inspection, as well as to obtain physical or electronic copies thereof.</w:t>
      </w:r>
    </w:p>
    <w:p w:rsidR="00663FE0"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4. The Financial Intelligence Agency may carry out inspections alone or in cooperation with the relevant supervisory authority. When, during the inspection, violations are found that fall within the competence of the sectoral supervisory authority, the Agency forwards the findings to the relevant authority for further actions.</w:t>
      </w:r>
    </w:p>
    <w:p w:rsidR="007E7C27"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5. The obliged entity is obliged to cooperate with the Financial Intelligence Agency, not to obstruct the control or inspection, to preserve the data and not to notify the client or third parties of the actions of the Financial Intelligence Agency, except where this is expressly permitted by law.</w:t>
      </w:r>
    </w:p>
    <w:p w:rsidR="00663FE0"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6. When the violations relate to the non-reporting of suspicions, the non-provision of information, the obstruction of access, the non-implementation of the orders of the Financial Intelligence Agency, or the non-fulfilment of obligations that directly affect its functions, the Financial Intelligence Agency exercises its powers and imposes fines and administrative measures in accordance with this law.</w:t>
      </w:r>
    </w:p>
    <w:p w:rsidR="00865974" w:rsidRPr="007647A8" w:rsidRDefault="00CE28B9" w:rsidP="002A39C9">
      <w:pPr>
        <w:pStyle w:val="NormalWeb"/>
        <w:spacing w:before="0" w:beforeAutospacing="0" w:after="0" w:afterAutospacing="0" w:line="276" w:lineRule="auto"/>
        <w:ind w:firstLine="720"/>
        <w:jc w:val="both"/>
        <w:rPr>
          <w:rFonts w:eastAsia="Calibri"/>
        </w:rPr>
      </w:pPr>
      <w:r>
        <w:rPr>
          <w:rFonts w:eastAsia="Calibri"/>
        </w:rPr>
        <w:t>7. In cases where the Financial Intelligence Agency finds that an obliged entity or another licensed, authorised or registered entity has been involved in activities related to money laundering, terrorist financing or financing of the proliferation of weapons of mass destruction, or has obstructed the exercise of its powers, it may request the supervisory or licensing authority to take the relevant measures, including the suspension, limitation or revocation of the licence, authorisation or registration, in accordance with this law and the applicable sectoral legislation in force.</w:t>
      </w:r>
    </w:p>
    <w:p w:rsidR="00865974" w:rsidRPr="007647A8" w:rsidRDefault="00CE28B9" w:rsidP="002A39C9">
      <w:pPr>
        <w:pStyle w:val="NormalWeb"/>
        <w:spacing w:before="0" w:beforeAutospacing="0" w:after="0" w:afterAutospacing="0" w:line="276" w:lineRule="auto"/>
        <w:ind w:firstLine="720"/>
        <w:jc w:val="both"/>
        <w:rPr>
          <w:rFonts w:eastAsia="Calibri"/>
        </w:rPr>
      </w:pPr>
      <w:r>
        <w:rPr>
          <w:rFonts w:eastAsia="Calibri"/>
        </w:rPr>
        <w:t>8. The supervisory or licensing authority reviews the request of the Financial Intelligence Agency and notifies it in writing of the measures taken or the reasons for not taking them within 30 days from receipt of the request.</w:t>
      </w:r>
    </w:p>
    <w:p w:rsidR="003B1E67"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9. The exercise of the powers of the Financial Intelligence Agency under this article does not affect the supervisory powers of the sectoral authorities defined in this law. </w:t>
      </w:r>
    </w:p>
    <w:p w:rsidR="009E6C95" w:rsidRPr="007647A8" w:rsidRDefault="00CE28B9"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10. The Council of Ministers, upon the proposal of the minister responsible for finance, within 6 months from the entry into force of this law, determines by decision the procedures for the ascertainment, review, proposal and imposition of administrative measures and fines by the Financial Intelligence Agency.</w:t>
      </w:r>
    </w:p>
    <w:p w:rsidR="00836E0A" w:rsidRPr="007647A8" w:rsidRDefault="00836E0A" w:rsidP="002A39C9">
      <w:pPr>
        <w:widowControl w:val="0"/>
        <w:spacing w:after="0"/>
        <w:ind w:left="0" w:firstLine="426"/>
        <w:jc w:val="center"/>
        <w:rPr>
          <w:rFonts w:ascii="Times New Roman" w:hAnsi="Times New Roman" w:cs="Times New Roman"/>
          <w:sz w:val="24"/>
          <w:szCs w:val="24"/>
        </w:rPr>
      </w:pPr>
    </w:p>
    <w:p w:rsidR="00C76048" w:rsidRPr="007647A8" w:rsidRDefault="002574E7"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32</w:t>
      </w:r>
    </w:p>
    <w:p w:rsidR="00C76048" w:rsidRPr="007647A8" w:rsidRDefault="00572757"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Cooperation between financial intelligence units</w:t>
      </w:r>
    </w:p>
    <w:p w:rsidR="00C76048" w:rsidRPr="007647A8" w:rsidRDefault="00C76048" w:rsidP="002A39C9">
      <w:pPr>
        <w:widowControl w:val="0"/>
        <w:spacing w:after="0"/>
        <w:ind w:left="0" w:firstLine="426"/>
        <w:jc w:val="center"/>
        <w:rPr>
          <w:rFonts w:ascii="Times New Roman" w:hAnsi="Times New Roman" w:cs="Times New Roman"/>
          <w:sz w:val="24"/>
          <w:szCs w:val="24"/>
        </w:rPr>
      </w:pPr>
    </w:p>
    <w:p w:rsidR="00C76048" w:rsidRPr="007647A8" w:rsidRDefault="00C760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cooperates, to the greatest extent possible, with the financial intelligence units of the Member States and of third countries, regardless of the form of their organisation.</w:t>
      </w:r>
    </w:p>
    <w:p w:rsidR="00C76048" w:rsidRPr="007647A8" w:rsidRDefault="00C76048" w:rsidP="002A39C9">
      <w:pPr>
        <w:widowControl w:val="0"/>
        <w:spacing w:after="0"/>
        <w:ind w:left="0" w:firstLine="720"/>
        <w:rPr>
          <w:rFonts w:ascii="Times New Roman" w:hAnsi="Times New Roman" w:cs="Times New Roman"/>
          <w:sz w:val="24"/>
          <w:szCs w:val="24"/>
        </w:rPr>
      </w:pPr>
    </w:p>
    <w:p w:rsidR="002B4267" w:rsidRPr="007647A8" w:rsidRDefault="002B4267" w:rsidP="002A39C9">
      <w:pPr>
        <w:widowControl w:val="0"/>
        <w:spacing w:after="0"/>
        <w:ind w:left="0" w:firstLine="0"/>
        <w:rPr>
          <w:rFonts w:ascii="Times New Roman" w:hAnsi="Times New Roman" w:cs="Times New Roman"/>
          <w:sz w:val="24"/>
          <w:szCs w:val="24"/>
        </w:rPr>
      </w:pPr>
    </w:p>
    <w:p w:rsidR="002B4267" w:rsidRPr="007647A8" w:rsidRDefault="002574E7"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33</w:t>
      </w:r>
    </w:p>
    <w:p w:rsidR="002B4267" w:rsidRPr="007647A8" w:rsidRDefault="002B4267"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Secure communication channels</w:t>
      </w:r>
    </w:p>
    <w:p w:rsidR="00836E0A" w:rsidRPr="007647A8" w:rsidRDefault="00836E0A" w:rsidP="002A39C9">
      <w:pPr>
        <w:widowControl w:val="0"/>
        <w:spacing w:after="0"/>
        <w:ind w:left="0" w:firstLine="0"/>
        <w:jc w:val="center"/>
        <w:rPr>
          <w:rFonts w:ascii="Times New Roman" w:hAnsi="Times New Roman" w:cs="Times New Roman"/>
          <w:sz w:val="24"/>
          <w:szCs w:val="24"/>
        </w:rPr>
      </w:pPr>
    </w:p>
    <w:p w:rsidR="008B6306" w:rsidRPr="007647A8" w:rsidRDefault="002B426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uses secure and protected communication channels for the exchange of information with counterpart financial intelligence units of Member States and third countries. These channels ensure the protection of information during its communication and exchange, as well as enable the keeping of records of information processing operations.</w:t>
      </w:r>
    </w:p>
    <w:p w:rsidR="00D569D4" w:rsidRPr="007647A8" w:rsidRDefault="002B4267" w:rsidP="002A39C9">
      <w:pPr>
        <w:widowControl w:val="0"/>
        <w:spacing w:after="0"/>
        <w:ind w:left="0" w:firstLine="720"/>
        <w:rPr>
          <w:rFonts w:ascii="Times New Roman" w:eastAsia="Times New Roman" w:hAnsi="Times New Roman" w:cs="Times New Roman"/>
          <w:sz w:val="24"/>
          <w:szCs w:val="24"/>
        </w:rPr>
      </w:pPr>
      <w:r>
        <w:rPr>
          <w:rFonts w:ascii="Times New Roman" w:hAnsi="Times New Roman" w:cs="Times New Roman"/>
          <w:sz w:val="24"/>
          <w:szCs w:val="24"/>
        </w:rPr>
        <w:t xml:space="preserve">2. </w:t>
      </w:r>
      <w:r>
        <w:rPr>
          <w:rFonts w:ascii="Times New Roman" w:eastAsia="Times New Roman" w:hAnsi="Times New Roman" w:cs="Times New Roman"/>
          <w:sz w:val="24"/>
          <w:szCs w:val="24"/>
        </w:rPr>
        <w:t xml:space="preserve">The Financial Intelligence Agency shall undertake all necessary legal, organisational and technical measures to be involved in and to use the FIU.net system, administered by AMLA, in the exchange of information with the counterpart financial intelligence units of the Member States, in accordance with the provisions of this law. </w:t>
      </w:r>
    </w:p>
    <w:p w:rsidR="005570C3" w:rsidRPr="007647A8" w:rsidRDefault="00D569D4" w:rsidP="002A39C9">
      <w:pPr>
        <w:widowControl w:val="0"/>
        <w:spacing w:after="0"/>
        <w:ind w:left="0" w:firstLine="720"/>
        <w:rPr>
          <w:rFonts w:ascii="Times New Roman" w:hAnsi="Times New Roman" w:cs="Times New Roman"/>
          <w:sz w:val="24"/>
          <w:szCs w:val="24"/>
        </w:rPr>
      </w:pPr>
      <w:r>
        <w:rPr>
          <w:rFonts w:ascii="Times New Roman" w:eastAsia="Times New Roman" w:hAnsi="Times New Roman" w:cs="Times New Roman"/>
          <w:sz w:val="24"/>
          <w:szCs w:val="24"/>
        </w:rPr>
        <w:t xml:space="preserve">The Financial Intelligence Agency may use FIU.net for communication with counterpart financial intelligence units of third countries, with other authorities and  with the bodies, offices and agencies of the European Union. </w:t>
      </w:r>
      <w:r>
        <w:rPr>
          <w:rFonts w:ascii="Times New Roman" w:hAnsi="Times New Roman" w:cs="Times New Roman"/>
          <w:sz w:val="24"/>
          <w:szCs w:val="24"/>
        </w:rPr>
        <w:t>The Financial Intelligence Agency may use FIU.net for the exchange of information with AMLA for the purposes of joint analyses in accordance with Article 35 of this law and in accordance with the relevant legislation of the European Union.</w:t>
      </w:r>
    </w:p>
    <w:p w:rsidR="00E4527F" w:rsidRPr="007647A8" w:rsidRDefault="00B8484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eastAsia="Times New Roman" w:hAnsi="Times New Roman" w:cs="Times New Roman"/>
          <w:sz w:val="24"/>
          <w:szCs w:val="24"/>
        </w:rPr>
        <w:t xml:space="preserve">The Financial Intelligence Agency exchanges information in accordance with Articles 34 and 35 of this law using FIU.net. </w:t>
      </w:r>
      <w:r>
        <w:rPr>
          <w:rFonts w:ascii="Times New Roman" w:hAnsi="Times New Roman" w:cs="Times New Roman"/>
          <w:sz w:val="24"/>
          <w:szCs w:val="24"/>
        </w:rPr>
        <w:t xml:space="preserve">In the event of technical impossibility for the use of FIU.net, the information must be transmitted by any other appropriate means that guarantees a high level of security and protection of data. </w:t>
      </w:r>
    </w:p>
    <w:p w:rsidR="0063234F" w:rsidRPr="007647A8" w:rsidRDefault="003C382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Financial Intelligence Agency exchanges information with counterpart financial intelligence units of third countries that are not connected to FIU.net through secure and protected communication channels.</w:t>
      </w:r>
    </w:p>
    <w:p w:rsidR="00BC3094" w:rsidRPr="007647A8" w:rsidRDefault="0063234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5. The Financial Intelligence Agency, in the performance of its functions, cooperates to the greatest extent possible with its counterpart financial intelligence units for the use of the latest technologies, in accordance with the applicable sectoral legislation in force. </w:t>
      </w:r>
    </w:p>
    <w:p w:rsidR="008B6306" w:rsidRPr="007647A8" w:rsidRDefault="00E646F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cooperates to the greatest extent possible in the implementation of the solutions developed and administered by AMLA, in accordance with the relevant legislation of the European Union.</w:t>
      </w:r>
    </w:p>
    <w:p w:rsidR="001C0FF6" w:rsidRPr="007647A8" w:rsidRDefault="001C0FF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6. The Financial Intelligence Agency ensures the use of the technical functionalities of FIU.net that enable the automated comparison, on the basis of a match or no match, of the data made available in FIU.net by the Financial Intelligence Agency with the data made available in that system by the other counterpart financial intelligence units and </w:t>
      </w:r>
      <w:r>
        <w:rPr>
          <w:rFonts w:ascii="Times New Roman" w:eastAsia="Times New Roman" w:hAnsi="Times New Roman" w:cs="Times New Roman"/>
          <w:sz w:val="24"/>
          <w:szCs w:val="24"/>
        </w:rPr>
        <w:t>by the bodies, offices and agencies of the European Union</w:t>
      </w:r>
      <w:r>
        <w:rPr>
          <w:rFonts w:ascii="Times New Roman" w:hAnsi="Times New Roman" w:cs="Times New Roman"/>
          <w:sz w:val="24"/>
          <w:szCs w:val="24"/>
        </w:rPr>
        <w:t xml:space="preserve"> insofar as such a match falls within the respective mandates of those bodies, offices and agencies of the European Union.</w:t>
      </w:r>
    </w:p>
    <w:p w:rsidR="001702A5" w:rsidRPr="007647A8" w:rsidRDefault="00D4629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The Financial Intelligence Agency shall take the necessary measures to guarantee the security, confidentiality and integrity of the information exchanged through communication channels. Where there are risks that may compromise the secure and protected exchange of information, including cases where there are concerns regarding the independence and autonomy of a counterpart financial intelligence unit, the Financial Intelligence Agency may restrict or suspend the exchange of information.</w:t>
      </w:r>
    </w:p>
    <w:p w:rsidR="00CB5EC0" w:rsidRPr="007647A8" w:rsidRDefault="00CB5EC0" w:rsidP="002A39C9">
      <w:pPr>
        <w:widowControl w:val="0"/>
        <w:spacing w:after="0"/>
        <w:ind w:left="0" w:firstLine="720"/>
        <w:rPr>
          <w:rFonts w:ascii="Times New Roman" w:hAnsi="Times New Roman" w:cs="Times New Roman"/>
          <w:sz w:val="24"/>
          <w:szCs w:val="24"/>
        </w:rPr>
      </w:pPr>
    </w:p>
    <w:p w:rsidR="001702A5" w:rsidRPr="007647A8" w:rsidRDefault="001702A5"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34</w:t>
      </w:r>
    </w:p>
    <w:p w:rsidR="001702A5" w:rsidRPr="007647A8" w:rsidRDefault="001702A5"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Exchange of information between financial intelligence units</w:t>
      </w:r>
    </w:p>
    <w:p w:rsidR="00CF118F" w:rsidRPr="007647A8" w:rsidRDefault="00CF118F" w:rsidP="002A39C9">
      <w:pPr>
        <w:widowControl w:val="0"/>
        <w:spacing w:after="0"/>
        <w:ind w:left="0" w:firstLine="0"/>
        <w:jc w:val="center"/>
        <w:rPr>
          <w:rFonts w:ascii="Times New Roman" w:hAnsi="Times New Roman" w:cs="Times New Roman"/>
          <w:sz w:val="24"/>
          <w:szCs w:val="24"/>
        </w:rPr>
      </w:pPr>
    </w:p>
    <w:p w:rsidR="008B6306" w:rsidRPr="007647A8" w:rsidRDefault="001702A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exchanges, spontaneously or upon request, any information that may be relevant for the processing or analysis of information by financial intelligence units in connection with money laundering, offences related thereto or the financing of terrorism, and for the natural or legal person involved, regardless of the type of predicate offence that may be involved, even in cases where the type of predicate offences is not identified at the time of the exchange of information.</w:t>
      </w:r>
    </w:p>
    <w:p w:rsidR="008B6306" w:rsidRPr="007647A8" w:rsidRDefault="001702A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request for exchange of information must contain the relevant facts, the information on the case, the reasons for submitting the request, the link with the state of the financial intelligence unit to which the request is addressed, as well as the manner in which the requested information will be used.</w:t>
      </w:r>
    </w:p>
    <w:p w:rsidR="008B6306" w:rsidRPr="007647A8" w:rsidRDefault="001702A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When the Financial Intelligence Agency receives a suspicious activity report, in accordance with Article 132, paragraph 1, letter “a”, which relates to another state, it forwards without delay the report or all relevant information derived from it to the counterpart financial intelligence unit of the other state.</w:t>
      </w:r>
    </w:p>
    <w:p w:rsidR="008B6306" w:rsidRPr="007647A8" w:rsidRDefault="004E142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When the Financial Intelligence Agency responds to a request for information submitted by another financial intelligence unit, it uses the full range of powers and means at its disposal and that it would normally use also in cases of handling matters at national level, for obtaining and analysing information.</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When the Financial Intelligence Agency seeks to obtain additional information from an obliged entity that has its activity established in another state, but operates in the territory of the Republic of Albania, the request shall be addressed to the financial intelligence unit of the state in whose territory the obliged entity has its activity established. This unit shall obtain the relevant information in accordance with Article 132, points 1, 2 and 3 and shall immediately transmit to the Agency the information obtained.</w:t>
      </w:r>
    </w:p>
    <w:p w:rsidR="008B6306" w:rsidRPr="007647A8" w:rsidRDefault="004E142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In cases where information is required to be provided in accordance with point 1 of this article, the Financial Intelligence Agency shall respond to the request as quickly as possible and in any case, no later than 5 working days after receipt of the request, if the requested information is in its possession or is available in a database or register to which the Financial Intelligence Agency has direct access.</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exceptional, justified cases, this deadline may be extended up to a maximum of 10 working days.</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When the Financial Intelligence Agency is not in a position to provide the requested information, it shall notify without delay the counterpart financial intelligence unit that has submitted the request.</w:t>
      </w:r>
    </w:p>
    <w:p w:rsidR="008B6306" w:rsidRPr="007647A8" w:rsidRDefault="004E142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In exceptional, justified and urgent cases, and by way of derogation from point 3 of this article, when, according to point 1 of this article, the Financial Intelligence Agency is required to provide information that is in its possession or is available in a database or register to which it has direct access, the requested information shall be provided no later than 1 working day from receipt of the request.</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When the Financial Intelligence Agency is not able to respond to the request within the deadline of 1 working day or does not have direct access to the requested information, it provides the relevant reasoning.</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Where the provision of the requested information within the time limit of 1 working day would constitute a disproportionate burden for the Financial Intelligence Agency, it may postpone the provision of the information. In this case, the Financial Intelligence Agency immediately notifies the financial intelligence unit that has submitted the request of the extension of the time limit.</w:t>
      </w:r>
    </w:p>
    <w:p w:rsidR="008B6306"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these cases, the deadline for giving the response may be extended up to a maximum of 3 working days.</w:t>
      </w:r>
    </w:p>
    <w:p w:rsidR="008B6306" w:rsidRPr="007647A8" w:rsidRDefault="004E142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5. The Financial Intelligence Agency may refuse the exchange of information only in exceptional circumstances, when the exchange would be contrary to the fundamental principles of the national legal order. </w:t>
      </w:r>
    </w:p>
    <w:p w:rsidR="004B53C3" w:rsidRPr="007647A8" w:rsidRDefault="00B866E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These extraordinary circumstances are determined in such a way as to avoid their misuse and the unjustified restriction of the exchange of information for analytical purposes.</w:t>
      </w:r>
    </w:p>
    <w:p w:rsidR="004F56E9" w:rsidRPr="007647A8" w:rsidRDefault="004F56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deadlines laid down in point 3 of this Article apply only to counterpart financial intelligence units which are part of the Member States. The deadlines for cooperation with other counterpart financial intelligence units apply in accordance with the principles and procedures of the EGMONT Group.</w:t>
      </w:r>
    </w:p>
    <w:p w:rsidR="00CC46DA" w:rsidRPr="007647A8" w:rsidRDefault="00CC46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The minister responsible for finance, upon the proposal of the responsible authority, issues by guideline the implementing technical standards on the format for the exchange of information with the counterpart financial intelligence units of the Member States, based on the acts drafted by AMLA and approved by the European Commission in this field.</w:t>
      </w:r>
    </w:p>
    <w:p w:rsidR="004B53C3" w:rsidRPr="007647A8" w:rsidRDefault="004B53C3" w:rsidP="002A39C9">
      <w:pPr>
        <w:widowControl w:val="0"/>
        <w:spacing w:after="0"/>
        <w:ind w:left="0" w:firstLine="0"/>
        <w:rPr>
          <w:rFonts w:ascii="Times New Roman" w:hAnsi="Times New Roman" w:cs="Times New Roman"/>
          <w:sz w:val="24"/>
          <w:szCs w:val="24"/>
        </w:rPr>
      </w:pPr>
    </w:p>
    <w:p w:rsidR="004932A7" w:rsidRPr="007647A8" w:rsidRDefault="004932A7"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35</w:t>
      </w:r>
    </w:p>
    <w:p w:rsidR="004B53C3" w:rsidRPr="007647A8" w:rsidRDefault="004932A7"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Joint analyses</w:t>
      </w:r>
    </w:p>
    <w:p w:rsidR="004932A7" w:rsidRPr="007647A8" w:rsidRDefault="004932A7" w:rsidP="002A39C9">
      <w:pPr>
        <w:widowControl w:val="0"/>
        <w:spacing w:after="0"/>
        <w:ind w:left="0" w:firstLine="0"/>
        <w:rPr>
          <w:rFonts w:ascii="Times New Roman" w:hAnsi="Times New Roman" w:cs="Times New Roman"/>
          <w:sz w:val="24"/>
          <w:szCs w:val="24"/>
        </w:rPr>
      </w:pP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has the competence to conduct joint analyses of suspicious transactions and activities.</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for the purposes of implementing point 1 of this article, with the assistance of AMLA, together with the respective financial intelligence units of the Member States, establishes joint analysis teams for a specific purpose and for a limited period of time, which may be extended with the consent of the parties, to carry out operational analyses of suspicious transactions or activities involving one or more of the financial intelligence units that have established the team.</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joint analysis team may be established when:</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operational analyses of a financial intelligence unit require difficult and demanding analyses, which relate to other Member States;</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some financial intelligence units are carrying out operational analyses in which the circumstances of the case justify joint actions in the Member States involved.</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request for the establishment of a joint analysis team may be submitted by any of the financial intelligence units involved or by AMLA, in accordance with the provisions in the relevant legislation of the European Union.</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Financial Intelligence Agency designates one of its employees to participate in the joint analysis team, who shall have full powers in accordance with this law and, within the limits of his competences, make available the information administered by the Financial Intelligence Agency for the purposes of the analysis carried out by the joint analysis team.</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When the joint analysis team needs assistance from another financial intelligence unit, which is not part of the team, it may request that unit to:</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join the joint analysis team;</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b) submit to the joint analysis team financial information, as well as information within the framework of financial intelligence. </w:t>
      </w:r>
    </w:p>
    <w:p w:rsidR="006A4703"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Financial Intelligence Agency and the financial intelligence units participating in the joint analyses may invite third parties, including the bodies, offices and agencies of the European Union, to participate in the joint analyses, where it is relevant for the purposes of the joint analyses and where such participation is in accordance with the respective legal competences of those third parties.</w:t>
      </w:r>
    </w:p>
    <w:p w:rsidR="004932A7" w:rsidRPr="007647A8" w:rsidRDefault="004932A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and the financial intelligence units participating in the joint analysis determine the conditions applicable to the participation of third parties and establish measures that guarantee the confidentiality and security of the information exchanged. The information exchanged shall be used only for the purposes for which the joint analysis has been established.</w:t>
      </w:r>
    </w:p>
    <w:p w:rsidR="00992B1E" w:rsidRPr="007647A8" w:rsidRDefault="00992B1E" w:rsidP="002A39C9">
      <w:pPr>
        <w:widowControl w:val="0"/>
        <w:spacing w:after="0"/>
        <w:ind w:left="0" w:firstLine="426"/>
        <w:rPr>
          <w:rFonts w:ascii="Times New Roman" w:hAnsi="Times New Roman" w:cs="Times New Roman"/>
          <w:sz w:val="24"/>
          <w:szCs w:val="24"/>
        </w:rPr>
      </w:pPr>
    </w:p>
    <w:p w:rsidR="00992B1E" w:rsidRPr="007647A8" w:rsidRDefault="00CE2425"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36</w:t>
      </w:r>
    </w:p>
    <w:p w:rsidR="00992B1E" w:rsidRPr="007647A8" w:rsidRDefault="00992B1E"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Use of the information exchanged</w:t>
      </w:r>
    </w:p>
    <w:p w:rsidR="00992B1E" w:rsidRPr="007647A8" w:rsidRDefault="00992B1E" w:rsidP="002A39C9">
      <w:pPr>
        <w:widowControl w:val="0"/>
        <w:spacing w:after="0"/>
        <w:rPr>
          <w:rFonts w:ascii="Times New Roman" w:hAnsi="Times New Roman" w:cs="Times New Roman"/>
          <w:sz w:val="24"/>
          <w:szCs w:val="24"/>
        </w:rPr>
      </w:pPr>
    </w:p>
    <w:p w:rsidR="006A4703"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uses the information and documents received in accordance with Articles 32, 33 and 34 of this law for the fulfilment of its functions, in accordance with this law.</w:t>
      </w:r>
    </w:p>
    <w:p w:rsidR="003B0B38"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The Financial Intelligence Agency, when acting in the capacity of the transmitting financial intelligence unit, during the exchange of information and documents in accordance with Articles 32 and 34 of this law, may impose restrictions or conditions on the use of the information and documents transmitted in accordance with this law. </w:t>
      </w:r>
    </w:p>
    <w:p w:rsidR="00D51BC2" w:rsidRPr="007647A8" w:rsidRDefault="003B0B3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These restrictions and conditions shall not apply where the transmission consists of a report submitted by an obliged entity in accordance with Article 132, points 1 and 2 of this law, or information derived from it, which concerns another Member State, where the obliged entity operates through the freedom to provide services and where that report or information does not include any link with the Member State of the transmitting financial intelligence unit. </w:t>
      </w:r>
    </w:p>
    <w:p w:rsidR="006A6E4C" w:rsidRPr="007647A8" w:rsidRDefault="00D51BC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unit receiving the information must comply with the restrictions and conditions imposed on the use of the transmitted information and documents.</w:t>
      </w:r>
    </w:p>
    <w:p w:rsidR="004F61DA"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Financial Intelligence Agency designates at least one contact person or contact point responsible for receiving requests for information from the counterpart financial intelligence units of the Member States or third countries.</w:t>
      </w:r>
    </w:p>
    <w:p w:rsidR="00992B1E" w:rsidRPr="007647A8" w:rsidRDefault="00992B1E" w:rsidP="002A39C9">
      <w:pPr>
        <w:widowControl w:val="0"/>
        <w:spacing w:after="0"/>
        <w:ind w:left="0" w:firstLine="0"/>
        <w:rPr>
          <w:rFonts w:ascii="Times New Roman" w:hAnsi="Times New Roman" w:cs="Times New Roman"/>
          <w:sz w:val="24"/>
          <w:szCs w:val="24"/>
        </w:rPr>
      </w:pPr>
    </w:p>
    <w:p w:rsidR="004F61DA" w:rsidRPr="007647A8" w:rsidRDefault="004F61DA"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37</w:t>
      </w:r>
    </w:p>
    <w:p w:rsidR="00FF05C4" w:rsidRPr="007647A8" w:rsidRDefault="00800AEE"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Consent for the further dissemination of exchanged information</w:t>
      </w:r>
    </w:p>
    <w:p w:rsidR="00800AEE" w:rsidRPr="007647A8" w:rsidRDefault="00800AEE" w:rsidP="002A39C9">
      <w:pPr>
        <w:widowControl w:val="0"/>
        <w:spacing w:after="0"/>
        <w:ind w:left="0" w:firstLine="426"/>
        <w:rPr>
          <w:rFonts w:ascii="Times New Roman" w:hAnsi="Times New Roman" w:cs="Times New Roman"/>
          <w:sz w:val="24"/>
          <w:szCs w:val="24"/>
        </w:rPr>
      </w:pPr>
    </w:p>
    <w:p w:rsidR="006A4703"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ensures that information exchanged in accordance with Articles 32, 33 and 34 of this law is used only for the purpose for which it was requested or provided. Any further dissemination of this information by the Financial Intelligence Agency to any other authority, agency or department, as well as any use of this information for purposes different from those initially approved, is subject to the prior consent of the respective financial intelligence unit that transmitted the information.</w:t>
      </w:r>
    </w:p>
    <w:p w:rsidR="006A4703"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requirement for prior consent, according to the above paragraph of this point, does not apply when the information provided by the financial intelligence unit consists of a suspicious activity report, submitted by an obliged entity in accordance with Article 132, points 1 and 2 of this law, provided that this report or information relates only to another Member State where the obliged entity operates through the freedom to provide services and that has no connection with the Member State of the financial intelligence unit transmitting the information.</w:t>
      </w:r>
    </w:p>
    <w:p w:rsidR="006A4703"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Financial Intelligence Agency gives prior consent for the dissemination of the requested information, immediately and to the greatest extent possible, regardless of the type of criminal offence and of whether the criminal offence has been identified or not.</w:t>
      </w:r>
    </w:p>
    <w:p w:rsidR="006A4703" w:rsidRPr="007647A8" w:rsidRDefault="004F61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Financial Intelligence Agency should not refuse to grant consent for the dissemination of information, except in cases where:</w:t>
      </w:r>
    </w:p>
    <w:p w:rsidR="006A4703" w:rsidRPr="007647A8" w:rsidRDefault="006A470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request is outside the scope of application of the provisions of this law; or</w:t>
      </w:r>
    </w:p>
    <w:p w:rsidR="006A4703" w:rsidRPr="007647A8" w:rsidRDefault="006A470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dissemination of the information may prejudice an ongoing investigation; or</w:t>
      </w:r>
    </w:p>
    <w:p w:rsidR="006A4703" w:rsidRPr="007647A8" w:rsidRDefault="006A470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dissemination of information is not in accordance with the fundamental principles of the legal order.</w:t>
      </w:r>
    </w:p>
    <w:p w:rsidR="004F61DA" w:rsidRPr="007647A8" w:rsidRDefault="005971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Any refusal to grant consent shall be reasoned appropriately. The cases in which the granting of consent may be refused shall be defined in such a way as to avoid misuse and the unjustified restriction of the dissemination of information to the competent authorities.</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2574E7"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38</w:t>
      </w:r>
    </w:p>
    <w:p w:rsidR="00FF05C4" w:rsidRPr="007647A8" w:rsidRDefault="00FF05C4"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The effect of the provisions of criminal law</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FF05C4"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Differences between the definitions of the main criminal offences in the national legislation of the Member States or third countries do not prevent the Financial Intelligence Agency from providing assistance to another financial intelligence unit and do not limit the exchange, dissemination and use of information in accordance with Articles 34, 35, 36 and 37 of this law.</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FF05C4"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39</w:t>
      </w:r>
    </w:p>
    <w:p w:rsidR="00FF05C4" w:rsidRPr="007647A8" w:rsidRDefault="00FF05C4"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Confidentiality of reporting</w:t>
      </w:r>
    </w:p>
    <w:p w:rsidR="00FF05C4" w:rsidRPr="007647A8" w:rsidRDefault="00FF05C4" w:rsidP="002A39C9">
      <w:pPr>
        <w:widowControl w:val="0"/>
        <w:spacing w:after="0"/>
        <w:ind w:left="0" w:firstLine="0"/>
        <w:rPr>
          <w:rFonts w:ascii="Times New Roman" w:hAnsi="Times New Roman" w:cs="Times New Roman"/>
          <w:sz w:val="24"/>
          <w:szCs w:val="24"/>
        </w:rPr>
      </w:pPr>
    </w:p>
    <w:p w:rsidR="006A4703" w:rsidRPr="007647A8" w:rsidRDefault="00FF05C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Financial Intelligence Agency ensures mechanisms for the protection of the identity of obliged entities and their employees, or persons in an equivalent position, including agents and distributors, who report suspicions in accordance with Article 132, paragraph 1, letter “a” of this law. </w:t>
      </w:r>
    </w:p>
    <w:p w:rsidR="006A4703" w:rsidRPr="007647A8" w:rsidRDefault="00FF05C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The Financial Intelligence Agency does not disclose the source of the report referred to in point 1 of this article, when responding to requests for information from the competent authorities in accordance with Article 24 of this law or when disseminating the results of analyses in accordance with Article 14 of this law. </w:t>
      </w:r>
    </w:p>
    <w:p w:rsidR="00FF05C4" w:rsidRPr="007647A8" w:rsidRDefault="00B6151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Point 2 of this Article shall apply without prejudice to the provisions of the procedural criminal legislation in force.</w:t>
      </w:r>
    </w:p>
    <w:p w:rsidR="009D0488" w:rsidRPr="007647A8" w:rsidRDefault="009D0488" w:rsidP="002A39C9">
      <w:pPr>
        <w:widowControl w:val="0"/>
        <w:spacing w:after="0"/>
        <w:ind w:left="0" w:firstLine="426"/>
        <w:rPr>
          <w:rFonts w:ascii="Times New Roman" w:hAnsi="Times New Roman" w:cs="Times New Roman"/>
          <w:sz w:val="24"/>
          <w:szCs w:val="24"/>
        </w:rPr>
      </w:pPr>
    </w:p>
    <w:p w:rsidR="00684F2A" w:rsidRPr="007647A8" w:rsidRDefault="00684F2A" w:rsidP="002A39C9">
      <w:pPr>
        <w:widowControl w:val="0"/>
        <w:spacing w:after="0"/>
        <w:ind w:left="0" w:firstLine="0"/>
        <w:jc w:val="center"/>
        <w:rPr>
          <w:rFonts w:ascii="Times New Roman" w:hAnsi="Times New Roman" w:cs="Times New Roman"/>
          <w:sz w:val="24"/>
          <w:szCs w:val="24"/>
        </w:rPr>
      </w:pPr>
    </w:p>
    <w:p w:rsidR="00684F2A" w:rsidRPr="007647A8" w:rsidRDefault="009A44EA"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CHAPTER III</w:t>
      </w:r>
    </w:p>
    <w:p w:rsidR="009C19E0" w:rsidRPr="007647A8" w:rsidRDefault="009C19E0"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b/>
          <w:sz w:val="24"/>
          <w:szCs w:val="24"/>
        </w:rPr>
        <w:t>Supervision in the field of the prevention of money laundering, terrorist financing and financing of the proliferation of weapons of mass destruction</w:t>
      </w:r>
    </w:p>
    <w:p w:rsidR="009C19E0" w:rsidRPr="007647A8" w:rsidRDefault="009C19E0" w:rsidP="002A39C9">
      <w:pPr>
        <w:widowControl w:val="0"/>
        <w:spacing w:after="0"/>
        <w:ind w:left="0" w:firstLine="0"/>
        <w:jc w:val="center"/>
        <w:rPr>
          <w:rFonts w:ascii="Times New Roman" w:hAnsi="Times New Roman" w:cs="Times New Roman"/>
          <w:sz w:val="24"/>
          <w:szCs w:val="24"/>
        </w:rPr>
      </w:pPr>
    </w:p>
    <w:p w:rsidR="009C19E0" w:rsidRPr="007647A8" w:rsidRDefault="0063131D"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Section 1</w:t>
      </w:r>
    </w:p>
    <w:p w:rsidR="00FF05C4" w:rsidRPr="007647A8" w:rsidRDefault="009C19E0"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sz w:val="24"/>
          <w:szCs w:val="24"/>
        </w:rPr>
        <w:t>GENERAL PROVISIONS</w:t>
      </w:r>
      <w:r w:rsidR="00684F2A" w:rsidRPr="007647A8">
        <w:rPr>
          <w:rFonts w:ascii="Times New Roman" w:hAnsi="Times New Roman" w:cs="Times New Roman"/>
          <w:sz w:val="24"/>
          <w:szCs w:val="24"/>
        </w:rPr>
        <w:br/>
      </w:r>
    </w:p>
    <w:p w:rsidR="00032A47" w:rsidRPr="007647A8" w:rsidRDefault="00032A47" w:rsidP="002A39C9">
      <w:pPr>
        <w:widowControl w:val="0"/>
        <w:spacing w:after="0"/>
        <w:ind w:left="0" w:firstLine="0"/>
        <w:rPr>
          <w:rFonts w:ascii="Times New Roman" w:hAnsi="Times New Roman" w:cs="Times New Roman"/>
          <w:sz w:val="24"/>
          <w:szCs w:val="24"/>
        </w:rPr>
      </w:pPr>
    </w:p>
    <w:p w:rsidR="0043521A" w:rsidRPr="007647A8" w:rsidRDefault="0043521A"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40</w:t>
      </w:r>
    </w:p>
    <w:p w:rsidR="0043521A" w:rsidRPr="007647A8" w:rsidRDefault="0043521A"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Supervisory authorities and their powers</w:t>
      </w:r>
    </w:p>
    <w:p w:rsidR="0043521A" w:rsidRPr="007647A8" w:rsidRDefault="0043521A" w:rsidP="002A39C9">
      <w:pPr>
        <w:widowControl w:val="0"/>
        <w:spacing w:after="0"/>
        <w:ind w:left="0" w:firstLine="0"/>
        <w:rPr>
          <w:rFonts w:ascii="Times New Roman" w:hAnsi="Times New Roman" w:cs="Times New Roman"/>
          <w:sz w:val="24"/>
          <w:szCs w:val="24"/>
        </w:rPr>
      </w:pPr>
    </w:p>
    <w:p w:rsidR="003E7ABA" w:rsidRPr="007647A8" w:rsidRDefault="0043521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Obliged entities, which carry out activity in the territory of the Republic of Albania according to the definitions in Part II and Part III of this law, with the exception of the cases specified in Article 44, shall be subject to appropriate and effective supervision by the supervisory authorities, with the aim of preventing money laundering, the financing of terrorism and the financing of the proliferation of weapons of mass destruction.</w:t>
      </w:r>
    </w:p>
    <w:p w:rsidR="003E7ABA" w:rsidRPr="007647A8" w:rsidRDefault="0043521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supervisory authorities, according to this law, are:</w:t>
      </w:r>
    </w:p>
    <w:p w:rsidR="003E7ABA" w:rsidRPr="007647A8" w:rsidRDefault="00FA7ED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Bank of Albania for the obliged entities that it licenses within its field of activity;</w:t>
      </w:r>
    </w:p>
    <w:p w:rsidR="003E7ABA" w:rsidRPr="007647A8" w:rsidRDefault="0043521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Albanian Financial Supervisory Authority for obliged entities that it licenses within its field of activity;</w:t>
      </w:r>
    </w:p>
    <w:p w:rsidR="003E7ABA" w:rsidRPr="007647A8" w:rsidRDefault="00B41E9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Gambling Supervision Authority, for entities that carry out activity in the field of gambling services;</w:t>
      </w:r>
    </w:p>
    <w:p w:rsidR="003E7ABA"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National Chamber of Advocacy, for lawyers;</w:t>
      </w:r>
    </w:p>
    <w:p w:rsidR="003E7ABA"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e) Ministry of Justice, for notaries, real estate agents and </w:t>
      </w:r>
      <w:r>
        <w:rPr>
          <w:rFonts w:ascii="Times New Roman" w:eastAsia="Arial Unicode MS" w:hAnsi="Times New Roman" w:cs="Times New Roman"/>
          <w:sz w:val="24"/>
          <w:szCs w:val="24"/>
          <w:lang w:bidi="en-US"/>
        </w:rPr>
        <w:t xml:space="preserve">other independent legal professionals when they are involved in transactions according to the definitions in </w:t>
      </w:r>
      <w:r>
        <w:rPr>
          <w:rFonts w:ascii="Times New Roman" w:hAnsi="Times New Roman" w:cs="Times New Roman"/>
          <w:sz w:val="24"/>
          <w:szCs w:val="24"/>
        </w:rPr>
        <w:t>Part II of the law;</w:t>
      </w:r>
    </w:p>
    <w:p w:rsidR="003E7ABA"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The Public Oversight Board, for statutory auditors, certified accountants as well as obliged entities that it licenses within the scope of its activity;</w:t>
      </w:r>
    </w:p>
    <w:p w:rsidR="00674D3E"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Financial Intelligence Agency for obliged entities in relation to non-implementation of the legal obligations for reporting suspicious transactions or activity, as well as for reporting transactions in cash or for transactions according to the reporting thresholds determined in Part II and Part III of this law;</w:t>
      </w:r>
    </w:p>
    <w:p w:rsidR="003E7ABA"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the ministries and/or other competent authorities, for the obliged entities under this law that license within the scope of their activity;</w:t>
      </w:r>
    </w:p>
    <w:p w:rsidR="00B72498" w:rsidRPr="007647A8" w:rsidRDefault="00B7249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eastAsia="Arial Unicode MS" w:hAnsi="Times New Roman" w:cs="Times New Roman"/>
          <w:sz w:val="24"/>
          <w:szCs w:val="24"/>
          <w:lang w:bidi="en-US"/>
        </w:rPr>
        <w:t>AMLA when acting in the capacity of the supervisor, according to the definitions given in this law.</w:t>
      </w:r>
    </w:p>
    <w:p w:rsidR="003E7ABA" w:rsidRPr="007647A8" w:rsidRDefault="0043521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Council of Ministers determines by decision the supervisory authorities for the supervision of each obliged entity in accordance with this law. </w:t>
      </w:r>
    </w:p>
    <w:p w:rsidR="0043521A" w:rsidRPr="007647A8" w:rsidRDefault="0043521A" w:rsidP="002A39C9">
      <w:pPr>
        <w:widowControl w:val="0"/>
        <w:spacing w:after="0"/>
        <w:ind w:left="0" w:firstLine="0"/>
        <w:rPr>
          <w:rFonts w:ascii="Times New Roman" w:hAnsi="Times New Roman" w:cs="Times New Roman"/>
          <w:sz w:val="24"/>
          <w:szCs w:val="24"/>
        </w:rPr>
      </w:pPr>
    </w:p>
    <w:p w:rsidR="0029680B" w:rsidRPr="007647A8" w:rsidRDefault="002376C9"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41</w:t>
      </w:r>
    </w:p>
    <w:p w:rsidR="0029680B" w:rsidRPr="007647A8" w:rsidRDefault="0029680B"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Institutional guarantees for the exercise of supervision</w:t>
      </w:r>
    </w:p>
    <w:p w:rsidR="0029680B" w:rsidRPr="007647A8" w:rsidRDefault="0029680B" w:rsidP="002A39C9">
      <w:pPr>
        <w:widowControl w:val="0"/>
        <w:spacing w:after="0"/>
        <w:ind w:left="0" w:firstLine="0"/>
        <w:rPr>
          <w:rFonts w:ascii="Times New Roman" w:hAnsi="Times New Roman" w:cs="Times New Roman"/>
          <w:sz w:val="24"/>
          <w:szCs w:val="24"/>
        </w:rPr>
      </w:pP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supervisory authorities exercise their functions independently, effectively and continuously, for the purposes of the prevention of money laundering, terrorist financing and the financing of the proliferation of weapons of mass destruction, in accordance with the obligations provided for in this law.</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Supervisory authorities shall be provided with sufficient financial, human and technical resources, adapted to the level of risk, the nature and number of the obliged entities they supervise, as well as to guarantee the effective exercise of their functions in accordance with the provisions in Article 42 of this law.</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Supervisory authorities must:</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establish and strengthen specialised structures for the exercise of supervisory functions;</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to employ and train specialised employees;</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to use technical systems and tools for drafting sectoral analyses and risk analyses, as well as for continuous inspection and monitoring.</w:t>
      </w:r>
    </w:p>
    <w:p w:rsidR="0029680B" w:rsidRPr="007647A8" w:rsidRDefault="005F128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employees of the supervisory authorities must:</w:t>
      </w:r>
    </w:p>
    <w:p w:rsidR="0029680B" w:rsidRPr="007647A8" w:rsidRDefault="00163FD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enjoy high integrity, have appropriate professional skills and qualifications and have high professional standards;</w:t>
      </w:r>
    </w:p>
    <w:p w:rsidR="0029680B" w:rsidRPr="007647A8" w:rsidRDefault="00163FD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be subject to special rules for maintaining confidentiality, safeguarding classified information, protecting personal data and preventing conflict of interest.</w:t>
      </w:r>
    </w:p>
    <w:p w:rsidR="0029680B" w:rsidRPr="007647A8" w:rsidRDefault="0029680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manner of organisation and functioning of the supervisory authorities, the requirements for financial, human and technical resources, the criteria for the qualification and integrity of the employees are regulated in the relevant sectoral laws and in the bylaws issued for their implementation.</w:t>
      </w:r>
    </w:p>
    <w:p w:rsidR="0029680B" w:rsidRPr="007647A8" w:rsidRDefault="0029680B" w:rsidP="002A39C9">
      <w:pPr>
        <w:widowControl w:val="0"/>
        <w:spacing w:after="0"/>
        <w:ind w:left="0" w:firstLine="0"/>
        <w:rPr>
          <w:rFonts w:ascii="Times New Roman" w:hAnsi="Times New Roman" w:cs="Times New Roman"/>
          <w:sz w:val="24"/>
          <w:szCs w:val="24"/>
        </w:rPr>
      </w:pPr>
    </w:p>
    <w:p w:rsidR="00D95DA2" w:rsidRPr="007647A8" w:rsidRDefault="002376C9"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42</w:t>
      </w:r>
    </w:p>
    <w:p w:rsidR="00D95DA2" w:rsidRPr="007647A8" w:rsidRDefault="00D95DA2"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Functions of the supervisory authorities</w:t>
      </w:r>
    </w:p>
    <w:p w:rsidR="00D95DA2" w:rsidRPr="007647A8" w:rsidRDefault="00D95DA2" w:rsidP="002A39C9">
      <w:pPr>
        <w:widowControl w:val="0"/>
        <w:spacing w:after="0"/>
        <w:ind w:left="0" w:firstLine="426"/>
        <w:rPr>
          <w:rFonts w:ascii="Times New Roman" w:hAnsi="Times New Roman" w:cs="Times New Roman"/>
          <w:sz w:val="24"/>
          <w:szCs w:val="24"/>
        </w:rPr>
      </w:pPr>
    </w:p>
    <w:p w:rsidR="00D95DA2" w:rsidRPr="007647A8" w:rsidRDefault="009361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supervisory authorities exercise these functions: </w:t>
      </w:r>
    </w:p>
    <w:p w:rsidR="00D95DA2" w:rsidRPr="007647A8" w:rsidRDefault="009361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distribute the relevant information and guidelines to the obliged entities, in accordance with Article 47;</w:t>
      </w:r>
    </w:p>
    <w:p w:rsidR="00D95DA2" w:rsidRPr="007647A8" w:rsidRDefault="009361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decide on those cases when the specific inherent risks of a sector are clear and known and, consequently, the carrying out of documented individual risk assessments by the obliged entities under Article 92 of this law is not required;</w:t>
      </w:r>
    </w:p>
    <w:p w:rsidR="00D95DA2" w:rsidRPr="007647A8" w:rsidRDefault="009361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verify the adequacy and implementation of the policies, procedures and internal controls of the obliged entities, in accordance with Chapter II of Part II of this law, as well as the sufficiency and adequacy of the human resources made available for the fulfilment of the legal obligations of Part II of this law. As well as the supervisory authorities of collective investment undertakings, determine the cases when the reporting of suspicious activities may be entrusted to the service providers, in accordance with Article 100, point 7, of this law;</w:t>
      </w:r>
    </w:p>
    <w:p w:rsidR="00D95DA2" w:rsidRPr="007647A8" w:rsidRDefault="009361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assess and regularly supervise the risks of money laundering, terrorist financing or financing of the proliferation of weapons of mass destruction, as well as the risks of non-implementation or circumvention of financial restrictive measures, to which the obliged entities are exposed;</w:t>
      </w:r>
    </w:p>
    <w:p w:rsidR="00D95DA2" w:rsidRPr="007647A8" w:rsidRDefault="003C3C9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supervise the compliance of obliged entities with the obligations related to financial restrictive measures;</w:t>
      </w:r>
    </w:p>
    <w:p w:rsidR="00D95DA2" w:rsidRPr="007647A8" w:rsidRDefault="003C3C9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carry out all remote checks, on-site inspections and thematic controls and any other checks, assessments and analyses necessary to verify that obliged entities fulfil the obligations provided for in Part II of the law, as well as implement any administrative measure taken pursuant to Article 67 of this law;</w:t>
      </w:r>
    </w:p>
    <w:p w:rsidR="00D95DA2" w:rsidRPr="007647A8" w:rsidRDefault="0006208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take appropriate supervisory measures to address any breach of the applicable requirements by the obliged entities, identified during the supervision process, and monitor the implementation of these measures.</w:t>
      </w:r>
    </w:p>
    <w:p w:rsidR="00D95DA2" w:rsidRPr="007647A8" w:rsidRDefault="00526DF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Supervisory authorities have sufficient powers, for the exercise of the functions provided for in point 1 of this Article, including the power to:</w:t>
      </w:r>
    </w:p>
    <w:p w:rsidR="00D95DA2" w:rsidRPr="007647A8" w:rsidRDefault="00D95DA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require the provision of any information by obliged entities, which is necessary for the supervision and verification of compliance with the obligations provided for in Part II and Part III of the law, as well as carry out relevant verifications, including also at service providers, to whom obliged entities have entrusted through contracting part of their obligations to fulfill the requirements of this law;</w:t>
      </w:r>
    </w:p>
    <w:p w:rsidR="00D95DA2" w:rsidRPr="007647A8" w:rsidRDefault="0075302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imposed appropriate and proportionate administrative measures to remedy the situation in the event of finding violations, including the imposition of fines in accordance with Section 4 of this Chapter of Part I of the law.</w:t>
      </w:r>
    </w:p>
    <w:p w:rsidR="00D95DA2" w:rsidRPr="007647A8" w:rsidRDefault="006B723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Financial supervisory authorities and supervisory authorities responsible for providers of gambling services shall be vested with additional powers, besides those provided for in point 2 of this article, including the power to carry out inspections at the premises where the obliged entity exercises its activity, without prior notice, when this is necessary to ensure the proper and effective conduct of the inspection, and they shall also be provided with all the means necessary for carrying out this form of inspection. </w:t>
      </w:r>
    </w:p>
    <w:p w:rsidR="00D95DA2" w:rsidRPr="007647A8" w:rsidRDefault="00D95DA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For the purposes of the first paragraph of this point, the supervisory authorities must at least have competence:</w:t>
      </w:r>
    </w:p>
    <w:p w:rsidR="00D95DA2" w:rsidRPr="007647A8" w:rsidRDefault="0043339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examine the books, data or records of the obliged entities and take copies or extracts thereof;</w:t>
      </w:r>
    </w:p>
    <w:p w:rsidR="00D95DA2" w:rsidRPr="007647A8" w:rsidRDefault="00D95DA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to have access to any computer program, database, information technology tool or other electronic means for recording information, which is used by obliged entities;</w:t>
      </w:r>
    </w:p>
    <w:p w:rsidR="00D95DA2" w:rsidRPr="007647A8" w:rsidRDefault="00D95DA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receive information in writing or orally from any person responsible for the policies, procedures and internal controls for the prevention of money laundering, terrorist financing and financing of the proliferation of weapons of mass destruction, or from representatives or employees of the obliged entity, as well as from any representative or employee of the entities to which the obliged entity has entrusted tasks through contracting in accordance with Article 100 of the law, as well as interview any other person who gives consent to be interviewed for the purpose of collecting information related to the subject matter of the verification.</w:t>
      </w:r>
    </w:p>
    <w:p w:rsidR="001A0FA1" w:rsidRPr="007647A8" w:rsidRDefault="001A0FA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manner of exercising the supervisory functions and powers under this article, including the procedures for inspection, verification, obtaining information, are regulated in the respective sectoral laws and in the bylaws issued for their implementation.</w:t>
      </w:r>
    </w:p>
    <w:p w:rsidR="0043521A" w:rsidRPr="007647A8" w:rsidRDefault="0043521A" w:rsidP="002A39C9">
      <w:pPr>
        <w:widowControl w:val="0"/>
        <w:spacing w:after="0"/>
        <w:ind w:left="0" w:firstLine="0"/>
        <w:rPr>
          <w:rFonts w:ascii="Times New Roman" w:hAnsi="Times New Roman" w:cs="Times New Roman"/>
          <w:sz w:val="24"/>
          <w:szCs w:val="24"/>
        </w:rPr>
      </w:pPr>
    </w:p>
    <w:p w:rsidR="00C32389" w:rsidRPr="007647A8" w:rsidRDefault="00C32389" w:rsidP="002A39C9">
      <w:pPr>
        <w:widowControl w:val="0"/>
        <w:spacing w:after="0"/>
        <w:ind w:left="0" w:firstLine="0"/>
        <w:jc w:val="center"/>
        <w:rPr>
          <w:rFonts w:ascii="Times New Roman" w:hAnsi="Times New Roman" w:cs="Times New Roman"/>
          <w:sz w:val="24"/>
          <w:szCs w:val="24"/>
        </w:rPr>
      </w:pPr>
    </w:p>
    <w:p w:rsidR="009C2103" w:rsidRPr="007647A8" w:rsidRDefault="002376C9"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43</w:t>
      </w:r>
    </w:p>
    <w:p w:rsidR="009C2103" w:rsidRPr="007647A8" w:rsidRDefault="009C2103"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Delegation of supervisory functions to self-regulatory bodies</w:t>
      </w:r>
    </w:p>
    <w:p w:rsidR="009C2103" w:rsidRPr="007647A8" w:rsidRDefault="009C2103" w:rsidP="002A39C9">
      <w:pPr>
        <w:widowControl w:val="0"/>
        <w:spacing w:after="0"/>
        <w:ind w:left="0" w:firstLine="0"/>
        <w:rPr>
          <w:rFonts w:ascii="Times New Roman" w:hAnsi="Times New Roman" w:cs="Times New Roman"/>
          <w:sz w:val="24"/>
          <w:szCs w:val="24"/>
        </w:rPr>
      </w:pPr>
    </w:p>
    <w:p w:rsidR="006A4703" w:rsidRPr="007647A8" w:rsidRDefault="004E784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In the case of obliged entities defined in Article 86, paragraph 3, letters “a” and “b”, the exercise of supervisory functions may be delegated to be carried out by self-regulatory bodies, provided that these bodies:</w:t>
      </w:r>
    </w:p>
    <w:p w:rsidR="006A4703" w:rsidRPr="007647A8" w:rsidRDefault="009C210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be equipped with the powers necessary for the exercise of supervision, according to Article 42 of this law;</w:t>
      </w:r>
    </w:p>
    <w:p w:rsidR="006A4703" w:rsidRPr="007647A8" w:rsidRDefault="009C210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have sufficient financial, human and technical resources for the exercise of their functions.</w:t>
      </w:r>
    </w:p>
    <w:p w:rsidR="009C2103" w:rsidRPr="007647A8" w:rsidRDefault="00EC52F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Employees of the self-regulatory bodies must have high professional integrity and appropriate qualifications and maintain high professional standards, including maintaining standards of confidentiality and classified information, protection of personal data and prevention of conflict of interest.</w:t>
      </w:r>
    </w:p>
    <w:p w:rsidR="003D715A" w:rsidRPr="007647A8" w:rsidRDefault="003D715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delegation of supervisory functions to self-regulatory bodies, according to this article, is determined in the relevant sectoral laws.</w:t>
      </w:r>
    </w:p>
    <w:p w:rsidR="00E32A00" w:rsidRPr="007647A8" w:rsidRDefault="00E32A00" w:rsidP="002A39C9">
      <w:pPr>
        <w:widowControl w:val="0"/>
        <w:spacing w:after="0"/>
        <w:ind w:left="0" w:firstLine="426"/>
        <w:rPr>
          <w:rFonts w:ascii="Times New Roman" w:hAnsi="Times New Roman" w:cs="Times New Roman"/>
          <w:sz w:val="24"/>
          <w:szCs w:val="24"/>
        </w:rPr>
      </w:pPr>
    </w:p>
    <w:p w:rsidR="00101553" w:rsidRPr="007647A8" w:rsidRDefault="00101553" w:rsidP="002A39C9">
      <w:pPr>
        <w:widowControl w:val="0"/>
        <w:spacing w:after="0"/>
        <w:ind w:left="0" w:firstLine="426"/>
        <w:rPr>
          <w:rFonts w:ascii="Times New Roman" w:hAnsi="Times New Roman" w:cs="Times New Roman"/>
          <w:sz w:val="24"/>
          <w:szCs w:val="24"/>
        </w:rPr>
      </w:pPr>
    </w:p>
    <w:p w:rsidR="00D95DA2" w:rsidRPr="007647A8" w:rsidRDefault="002376C9"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44</w:t>
      </w:r>
    </w:p>
    <w:p w:rsidR="00D95DA2" w:rsidRPr="007647A8" w:rsidRDefault="00D95DA2"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Supervision of obliged entities operating on the basis of the freedom to provide services</w:t>
      </w:r>
    </w:p>
    <w:p w:rsidR="00D95DA2" w:rsidRPr="007647A8" w:rsidRDefault="00D95DA2" w:rsidP="002A39C9">
      <w:pPr>
        <w:widowControl w:val="0"/>
        <w:spacing w:after="0"/>
        <w:ind w:left="0" w:firstLine="0"/>
        <w:rPr>
          <w:rFonts w:ascii="Times New Roman" w:hAnsi="Times New Roman" w:cs="Times New Roman"/>
          <w:sz w:val="24"/>
          <w:szCs w:val="24"/>
        </w:rPr>
      </w:pPr>
    </w:p>
    <w:p w:rsidR="00D95DA2" w:rsidRPr="007647A8" w:rsidRDefault="00D95DA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When, for reasons of overriding public interest, Albanian legislation provides for specific authorisation requirements for obliged entities to carry out activities in the territory of the Republic of Albania, on the basis of the freedom to provide services, the activities carried out by obliged entities on the basis of these authorisations shall be subject to supervision by the Albanian supervisory authorities, regardless of whether the authorised activities are carried out through a form of presence established in the territory of the Republic of Albania, or by means of remote means.</w:t>
      </w:r>
    </w:p>
    <w:p w:rsidR="00D95DA2" w:rsidRPr="007647A8" w:rsidRDefault="00BC319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supervisory authorities shall notify the supervisors of the Member State in which the head office of the obliged entity is located for the exercise of supervision under this Article.</w:t>
      </w:r>
    </w:p>
    <w:p w:rsidR="00D95DA2" w:rsidRPr="007647A8" w:rsidRDefault="00BC319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above points of this Article shall not apply when AMLA acts as a supervisor, in the exercise of its supervisory powers under European Union legislation. </w:t>
      </w:r>
    </w:p>
    <w:p w:rsidR="00D95DA2" w:rsidRPr="007647A8" w:rsidRDefault="00D95DA2" w:rsidP="002A39C9">
      <w:pPr>
        <w:widowControl w:val="0"/>
        <w:spacing w:after="0"/>
        <w:ind w:left="0" w:firstLine="0"/>
        <w:jc w:val="center"/>
        <w:rPr>
          <w:rFonts w:ascii="Times New Roman" w:hAnsi="Times New Roman" w:cs="Times New Roman"/>
        </w:rPr>
      </w:pPr>
    </w:p>
    <w:p w:rsidR="009628B6" w:rsidRPr="007647A8" w:rsidRDefault="009628B6" w:rsidP="002A39C9">
      <w:pPr>
        <w:widowControl w:val="0"/>
        <w:spacing w:after="0"/>
        <w:ind w:left="0" w:firstLine="0"/>
        <w:rPr>
          <w:rFonts w:ascii="Times New Roman" w:hAnsi="Times New Roman" w:cs="Times New Roman"/>
          <w:sz w:val="24"/>
          <w:szCs w:val="24"/>
        </w:rPr>
      </w:pPr>
    </w:p>
    <w:p w:rsidR="009628B6" w:rsidRPr="007647A8" w:rsidRDefault="009628B6"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45</w:t>
      </w:r>
    </w:p>
    <w:p w:rsidR="00DE6623" w:rsidRPr="007647A8" w:rsidRDefault="007F21D4"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Supervision of the activities through which certain intermediaries operate on the basis of the freedom to provide services</w:t>
      </w:r>
    </w:p>
    <w:p w:rsidR="00887967" w:rsidRPr="007647A8" w:rsidRDefault="00887967" w:rsidP="002A39C9">
      <w:pPr>
        <w:widowControl w:val="0"/>
        <w:spacing w:after="0"/>
        <w:ind w:left="0" w:firstLine="0"/>
        <w:rPr>
          <w:rFonts w:ascii="Times New Roman" w:hAnsi="Times New Roman" w:cs="Times New Roman"/>
          <w:sz w:val="24"/>
          <w:szCs w:val="24"/>
        </w:rPr>
      </w:pP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When the activities of the following obliged entities are carried out in the territory of the Republic of Albania on the basis of the freedom to provide services, through agents, distributors or other forms of presence, including cases where these activities are carried out on the basis of an authorisation granted under the legislation in force governing the authorisation and prudent supervision of credit institutions, these activities are subject to supervision by the competent supervisors for:</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issuers of electronic money, according to the legislation in force;</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payment service providers, according to the legislation in force;</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providers of crypto-asset services, according to the legislation in force.</w:t>
      </w:r>
    </w:p>
    <w:p w:rsidR="00FC7D2E" w:rsidRPr="007647A8" w:rsidRDefault="00ED19F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For the purposes of this point, the competent supervisors of the state in the territory of which these activities are carried out, effectively supervise and ensure compliance with the provisions set out in Part II and Part III of this law.</w:t>
      </w:r>
    </w:p>
    <w:p w:rsidR="00FC7D2E" w:rsidRPr="007647A8" w:rsidRDefault="00ED19F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By way of exception from point 1 of this article, the supervision of the agents, distributors or other forms of presence referred to in that point, is carried out by the supervisor of the Member State where the head office of the obliged entity is located, when: </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criteria laid down in the regulatory technical standards laid down in Article 49, point 3 of this law are not met; and</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supervisory authority, in the territory of which the agents, distributors or other forms of presence are located, notifies the supervisor of the Member State where the head office of the obliged entity is located that, taking into consideration the limited presence of this entity's activity in its territory, the supervision of the activities referred to in point 1 of this article shall be carried out by the supervisor of the Member State where the head office of the obliged entity is located.</w:t>
      </w:r>
    </w:p>
    <w:p w:rsidR="00FC7D2E"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For the purposes of this Article, the supervisor of the Member State where the head office of the obliged entity is located and the supervisory authority, when the obliged entity operates in the territory of the Republic of Albania on the basis of the freedom to provide services through agents or distributors or through other forms of presence, shall exchange between themselves any information necessary to assess whether the criteria provided for in point 2, letter “a”, are met, including information on any change in the circumstances of the obliged entity that may affect the fulfilment of these criteria.</w:t>
      </w:r>
    </w:p>
    <w:p w:rsidR="00277F0B" w:rsidRPr="007647A8" w:rsidRDefault="005A417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supervisor of the Member State where the head office of the obliged entity is located shall notify the obliged entity, within 2 weeks from receipt of the notification under point 2, letter “b”, that it will exercise supervision over the activity of agents, distributors or other forms of presence, through which the obliged entity carries out activity on the basis of the freedom to provide services in another Member State, and shall notify it of any subsequent change in relation to the supervision.</w:t>
      </w:r>
    </w:p>
    <w:p w:rsidR="00D95DA2" w:rsidRPr="007647A8" w:rsidRDefault="00AB279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5. This Article shall not apply where AMLA acts as a supervisory authority, in the exercise of its supervisory powers under the acts of the European Union. </w:t>
      </w:r>
    </w:p>
    <w:p w:rsidR="009F6C25" w:rsidRPr="007647A8" w:rsidRDefault="009F6C25" w:rsidP="002A39C9">
      <w:pPr>
        <w:widowControl w:val="0"/>
        <w:spacing w:after="0"/>
        <w:ind w:left="0" w:firstLine="720"/>
        <w:rPr>
          <w:rFonts w:ascii="Times New Roman" w:hAnsi="Times New Roman" w:cs="Times New Roman"/>
          <w:sz w:val="24"/>
          <w:szCs w:val="24"/>
        </w:rPr>
      </w:pPr>
    </w:p>
    <w:p w:rsidR="00990B0F" w:rsidRPr="007647A8" w:rsidRDefault="002376C9" w:rsidP="002A39C9">
      <w:pPr>
        <w:widowControl w:val="0"/>
        <w:spacing w:after="0"/>
        <w:ind w:left="0" w:firstLine="426"/>
        <w:jc w:val="center"/>
        <w:rPr>
          <w:rFonts w:ascii="Times New Roman" w:hAnsi="Times New Roman" w:cs="Times New Roman"/>
          <w:sz w:val="24"/>
          <w:szCs w:val="24"/>
        </w:rPr>
      </w:pPr>
      <w:r>
        <w:rPr>
          <w:rFonts w:ascii="Times New Roman" w:hAnsi="Times New Roman" w:cs="Times New Roman"/>
          <w:sz w:val="24"/>
          <w:szCs w:val="24"/>
        </w:rPr>
        <w:t>Article 46</w:t>
      </w:r>
    </w:p>
    <w:p w:rsidR="00990B0F" w:rsidRPr="007647A8" w:rsidRDefault="00990B0F" w:rsidP="002A39C9">
      <w:pPr>
        <w:widowControl w:val="0"/>
        <w:spacing w:after="0"/>
        <w:ind w:left="0" w:firstLine="426"/>
        <w:jc w:val="center"/>
        <w:rPr>
          <w:rFonts w:ascii="Times New Roman" w:hAnsi="Times New Roman" w:cs="Times New Roman"/>
          <w:b/>
          <w:sz w:val="24"/>
          <w:szCs w:val="24"/>
        </w:rPr>
      </w:pPr>
      <w:r>
        <w:rPr>
          <w:rFonts w:ascii="Times New Roman" w:hAnsi="Times New Roman" w:cs="Times New Roman"/>
          <w:b/>
          <w:sz w:val="24"/>
          <w:szCs w:val="24"/>
        </w:rPr>
        <w:t>Coordination of supervision in the case of multiple supervisory authorities</w:t>
      </w:r>
    </w:p>
    <w:p w:rsidR="00990B0F" w:rsidRPr="007647A8" w:rsidRDefault="00990B0F" w:rsidP="002A39C9">
      <w:pPr>
        <w:widowControl w:val="0"/>
        <w:spacing w:after="0"/>
        <w:ind w:left="0" w:firstLine="0"/>
        <w:rPr>
          <w:rFonts w:ascii="Times New Roman" w:hAnsi="Times New Roman" w:cs="Times New Roman"/>
          <w:sz w:val="24"/>
          <w:szCs w:val="24"/>
        </w:rPr>
      </w:pPr>
    </w:p>
    <w:p w:rsidR="00990B0F" w:rsidRPr="007647A8" w:rsidRDefault="00990B0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Where the supervision of a category of obliged entities has been assigned to more than one supervisory authority, those authorities shall exercise supervision in a consistent and effective manner throughout the relevant sector. For this purpose, a lead supervisor shall be designated or a coordination mechanism shall be established between the supervisory authorities.</w:t>
      </w:r>
    </w:p>
    <w:p w:rsidR="0057720E" w:rsidRPr="007647A8" w:rsidRDefault="003B6FE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When the supervision of all obliged entities has been assigned to more than one supervisory authority, a coordination mechanism must be established between these authorities to ensure that obliged entities are supervised effectively according to the highest standards. </w:t>
      </w:r>
    </w:p>
    <w:p w:rsidR="003B6FE7" w:rsidRPr="007647A8" w:rsidRDefault="006933D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This coordination mechanism should include all supervisory authorities, except in cases where:</w:t>
      </w:r>
    </w:p>
    <w:p w:rsidR="00990B0F" w:rsidRPr="007647A8" w:rsidRDefault="00645C6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supervision has been assigned to a self-regulatory body, in this case the public authority specified in Article 60 of this law must participate in the coordination mechanism;</w:t>
      </w:r>
    </w:p>
    <w:p w:rsidR="00990B0F" w:rsidRPr="007647A8" w:rsidRDefault="006E0D7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supervision of a category of obliged entities is assigned to several supervisory authorities, in this case the lead supervisory authority shall participate in the coordination mechanism; if the lead supervisory authority has not been designated, the supervisory authorities designate a representative among themselves.</w:t>
      </w:r>
    </w:p>
    <w:p w:rsidR="00990B0F" w:rsidRPr="007647A8" w:rsidRDefault="005976B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coordination mechanism, where appropriate, the lead supervisory authority and the coordination of supervision under this Article shall be determined by bylaw.</w:t>
      </w:r>
    </w:p>
    <w:p w:rsidR="00D95DA2" w:rsidRPr="007647A8" w:rsidRDefault="00D95DA2" w:rsidP="002A39C9">
      <w:pPr>
        <w:widowControl w:val="0"/>
        <w:spacing w:after="0"/>
        <w:ind w:left="0" w:firstLine="0"/>
        <w:rPr>
          <w:rFonts w:ascii="Times New Roman" w:hAnsi="Times New Roman" w:cs="Times New Roman"/>
          <w:sz w:val="24"/>
          <w:szCs w:val="24"/>
        </w:rPr>
      </w:pPr>
    </w:p>
    <w:p w:rsidR="00DE6623"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47</w:t>
      </w:r>
    </w:p>
    <w:p w:rsidR="00DE6623" w:rsidRPr="007647A8" w:rsidRDefault="00DE6623"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Information of obliged entities</w:t>
      </w:r>
    </w:p>
    <w:p w:rsidR="00DE6623" w:rsidRPr="007647A8" w:rsidRDefault="00DE6623" w:rsidP="002A39C9">
      <w:pPr>
        <w:widowControl w:val="0"/>
        <w:spacing w:after="0"/>
        <w:ind w:left="0" w:firstLine="0"/>
        <w:rPr>
          <w:rFonts w:ascii="Times New Roman" w:hAnsi="Times New Roman" w:cs="Times New Roman"/>
          <w:sz w:val="24"/>
          <w:szCs w:val="24"/>
        </w:rPr>
      </w:pP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supervisory authorities make available to the obliged entities, which are under their supervision, the appropriate information on money laundering, terrorist financing and the financing of the proliferation of weapons of mass destruction. </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information referred to in point 1 includes, inter alia:</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risk assessments carried out at international or regional level, as well as any relevant recommendation issued on the basis of those assessments, insofar as they are applicable to Albania;</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national or sectoral risk assessments drafted in accordance with Article 11 of this law;</w:t>
      </w:r>
    </w:p>
    <w:p w:rsidR="0082639A"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guidelines, recommendations and opinions issued by AMLA regarding beneficial ownership;</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information on third countries identified in accordance with Chapter III, Section 2 of Part II of this law;</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any instruction, report or guiding document drafted by the competent national authorities, supervisory authorities, the Financial Intelligence Agency, public authorities that supervise self-regulatory bodies, as well as by the institutions and bodies of the European Union, AMLA, international organisations as well as by standard setters, relating to money laundering methods, terrorist financing and the financing of the proliferation of weapons of mass destruction that may be applied in a certain sector, as well as indicators that facilitate the identification of transactions or activities with risk, as well as guidance on the obligations of obliged entities in relation to restrictive financial measures.</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Supervisory authorities carry out information and awareness-raising activities, as appropriate, to inform obliged entities that are under their supervision about their obligations under this law.</w:t>
      </w:r>
    </w:p>
    <w:p w:rsidR="00B53822" w:rsidRPr="007647A8" w:rsidRDefault="00DE662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supervisory authorities ensure that the information on the persons or entities designated in relation to financial restrictive measures and measures against the financing of terrorism imposed by the United Nations is made available immediately to the obliged entities that are under their supervision, in accordance with the legislation in force in this field.</w:t>
      </w:r>
    </w:p>
    <w:p w:rsidR="00DE6623" w:rsidRPr="007647A8" w:rsidRDefault="00DE6623" w:rsidP="002A39C9">
      <w:pPr>
        <w:widowControl w:val="0"/>
        <w:spacing w:after="0"/>
        <w:ind w:left="0" w:firstLine="720"/>
        <w:rPr>
          <w:rFonts w:ascii="Times New Roman" w:hAnsi="Times New Roman" w:cs="Times New Roman"/>
          <w:sz w:val="24"/>
          <w:szCs w:val="24"/>
        </w:rPr>
      </w:pPr>
    </w:p>
    <w:p w:rsidR="00AC071E" w:rsidRPr="007647A8" w:rsidRDefault="00AC071E"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48</w:t>
      </w:r>
    </w:p>
    <w:p w:rsidR="00FB6387" w:rsidRPr="007647A8" w:rsidRDefault="00FB6387"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Risk-based supervision</w:t>
      </w:r>
    </w:p>
    <w:p w:rsidR="00AC071E" w:rsidRPr="007647A8" w:rsidRDefault="00AC071E" w:rsidP="002A39C9">
      <w:pPr>
        <w:widowControl w:val="0"/>
        <w:spacing w:after="0"/>
        <w:ind w:left="0" w:firstLine="0"/>
        <w:rPr>
          <w:rFonts w:ascii="Times New Roman" w:hAnsi="Times New Roman" w:cs="Times New Roman"/>
          <w:sz w:val="24"/>
          <w:szCs w:val="24"/>
        </w:rPr>
      </w:pPr>
    </w:p>
    <w:p w:rsidR="00FC7D2E" w:rsidRPr="007647A8" w:rsidRDefault="00AC071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Supervisors apply risk-based supervision in the exercise of their functions. For this purpose, it shall be ensured that supervisors:</w:t>
      </w:r>
    </w:p>
    <w:p w:rsidR="00FC7D2E" w:rsidRPr="007647A8" w:rsidRDefault="00AC071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clearly understand the risks of money laundering, terrorist financing and financing of the proliferation of weapons of mass destruction that are present in the Republic of Albania;</w:t>
      </w:r>
    </w:p>
    <w:p w:rsidR="00FC7D2E" w:rsidRPr="007647A8" w:rsidRDefault="00AC071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assess all relevant information on the specific national and international risks related to the customers, products and services of the obliged entities;</w:t>
      </w:r>
    </w:p>
    <w:p w:rsidR="00FC7D2E" w:rsidRPr="007647A8" w:rsidRDefault="00AC071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to base the frequency and intensity of on-site, remote and thematic supervision on the risk profile of obliged entities, as well as on the risks of money laundering, terrorist financing and the financing of the proliferation of weapons of mass destruction at national level.</w:t>
      </w:r>
    </w:p>
    <w:p w:rsidR="00FC7D2E" w:rsidRPr="007647A8" w:rsidRDefault="00AC071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For the purposes of letter “c”,  supervisors draw up annual supervision programmes, which take into account the time and resources necessary to react immediately in the event of objective and meaningful indicators of violations of Part II and Part III of the law.</w:t>
      </w:r>
    </w:p>
    <w:p w:rsidR="002A570E" w:rsidRPr="007647A8" w:rsidRDefault="002A570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Supervisors shall ensure that, in the exercise of supervision, they take into consideration the degree of discretion allowed to obliged entities to apply the risk-based approach and appropriately review the risk assessments on which the exercise of this discretion by obliged entities is based, as well as the appropriateness of their internal policies, procedures and controls.</w:t>
      </w:r>
    </w:p>
    <w:p w:rsidR="00683218"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Supervisors shall prepare a detailed annual report of their supervisory activity and publish a summary of it. This summary shall not contain confidential information and shall include:</w:t>
      </w:r>
    </w:p>
    <w:p w:rsidR="00683218"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categories of obliged entities under supervision and the number of obliged entities by category;</w:t>
      </w:r>
    </w:p>
    <w:p w:rsidR="00683218"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 description of the powers entrusted to the supervisors and the duties assigned to them and, where necessary, of the mechanisms referred to in Article 46 of this law in which they participate and, for the principal supervisor, a summary of the coordinating activities carried out;</w:t>
      </w:r>
    </w:p>
    <w:p w:rsidR="00683218"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a summary of the supervisory activity carried out during the reporting period.</w:t>
      </w:r>
    </w:p>
    <w:p w:rsidR="00FC7D2E"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Council of Ministers, upon the proposal of the minister responsible for finance, based on the acts drafted by AMLA and approved by the European Commission in this field, shall issue by decision, within six months from the entry into force of this law, the regulatory technical standards that determine the standards and methodology for the assessment and classification of the identified risk profile and the residual risk profile of obliged entities, as well as for determining the frequency of the review of this risk profile. The frequency of the review of the risk profile takes into consideration, among other things, significant changes in the structure, administration or activity of the obliged entity, as well as the nature, scale and complexity of its activity.</w:t>
      </w:r>
    </w:p>
    <w:p w:rsidR="00252A48" w:rsidRPr="007647A8" w:rsidRDefault="0068321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minister responsible for finance, upon the proposal of the responsible authority, issues by guideline within six months from the acts issued by AMLA, guidelines for implementation by supervisors on:</w:t>
      </w:r>
    </w:p>
    <w:p w:rsidR="00252A48" w:rsidRPr="007647A8" w:rsidRDefault="00252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characteristics of risk-based supervision;</w:t>
      </w:r>
    </w:p>
    <w:p w:rsidR="00252A48" w:rsidRPr="007647A8" w:rsidRDefault="00252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measures that must be taken by the supervisors to ensure appropriate and effective supervision, including the training of their staff;</w:t>
      </w:r>
    </w:p>
    <w:p w:rsidR="00252A48" w:rsidRPr="007647A8" w:rsidRDefault="00252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steps that must be taken when supervision is carried out based on the level of risk.</w:t>
      </w:r>
    </w:p>
    <w:p w:rsidR="005912AD" w:rsidRPr="007647A8" w:rsidRDefault="005912AD" w:rsidP="002A39C9">
      <w:pPr>
        <w:widowControl w:val="0"/>
        <w:spacing w:after="0"/>
        <w:rPr>
          <w:rFonts w:ascii="Times New Roman" w:hAnsi="Times New Roman" w:cs="Times New Roman"/>
          <w:sz w:val="24"/>
          <w:szCs w:val="24"/>
        </w:rPr>
      </w:pPr>
    </w:p>
    <w:p w:rsidR="00CE6CA8" w:rsidRPr="007647A8" w:rsidRDefault="00CE6CA8" w:rsidP="002A39C9">
      <w:pPr>
        <w:widowControl w:val="0"/>
        <w:spacing w:after="0"/>
        <w:ind w:left="0" w:firstLine="0"/>
        <w:rPr>
          <w:rFonts w:ascii="Times New Roman" w:hAnsi="Times New Roman" w:cs="Times New Roman"/>
          <w:sz w:val="24"/>
          <w:szCs w:val="24"/>
        </w:rPr>
      </w:pPr>
    </w:p>
    <w:p w:rsidR="00CF1A75" w:rsidRPr="007647A8" w:rsidRDefault="00CF1A7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49</w:t>
      </w:r>
    </w:p>
    <w:p w:rsidR="00CF1A75" w:rsidRPr="007647A8" w:rsidRDefault="00CF1A75"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central contact point</w:t>
      </w:r>
    </w:p>
    <w:p w:rsidR="00EE787C" w:rsidRPr="007647A8" w:rsidRDefault="00EE787C" w:rsidP="002A39C9">
      <w:pPr>
        <w:widowControl w:val="0"/>
        <w:spacing w:after="0"/>
        <w:ind w:left="0" w:firstLine="0"/>
        <w:jc w:val="center"/>
        <w:rPr>
          <w:rFonts w:ascii="Times New Roman" w:hAnsi="Times New Roman" w:cs="Times New Roman"/>
          <w:sz w:val="24"/>
          <w:szCs w:val="24"/>
        </w:rPr>
      </w:pPr>
    </w:p>
    <w:p w:rsidR="00120582" w:rsidRPr="007647A8" w:rsidRDefault="00D4253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The supervisory authority, within the scope of competence, for the purpose of implementing Article 40 and Article 45, point 1, may require issuers of electronic money, payment service providers and crypto-asset service providers, which carry out activity in the territory of the Republic of Albania, other than through a subsidiary or branch, or when they operate through agents, distributors or other forms of carrying out activity, on the basis of the freedom to provide services, to designate a central contact point in the territory of the Republic of Albania. </w:t>
      </w:r>
    </w:p>
    <w:p w:rsidR="00D3066A" w:rsidRPr="007647A8" w:rsidRDefault="00B94E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central contact point ensures, on behalf of the obliged entity, compliance with the requirements of this law and must facilitate the exercise of supervision by the competent supervisor, including by providing supervisors with documents and information upon request.</w:t>
      </w:r>
    </w:p>
    <w:p w:rsidR="00CF1A75" w:rsidRPr="007647A8" w:rsidRDefault="00CF1A7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Council of Ministers, upon the proposal of the minister responsible for finance, based on the acts drawn up by AMLA and approved by the European Commission in this field, shall determine by decision the regulatory technical standards that define the criteria for determining the circumstances in which the appointment of a central contact point is appropriate, as well as the functions of the central contact point, in accordance with the requirements of this article.</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EE787C"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50</w:t>
      </w:r>
    </w:p>
    <w:p w:rsidR="00EE787C" w:rsidRPr="007647A8" w:rsidRDefault="00EE787C"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The obligation to report by supervisors</w:t>
      </w:r>
    </w:p>
    <w:p w:rsidR="00EE787C" w:rsidRPr="007647A8" w:rsidRDefault="00EE787C" w:rsidP="002A39C9">
      <w:pPr>
        <w:widowControl w:val="0"/>
        <w:spacing w:after="0"/>
        <w:ind w:left="0" w:firstLine="567"/>
        <w:jc w:val="center"/>
        <w:rPr>
          <w:rFonts w:ascii="Times New Roman" w:hAnsi="Times New Roman" w:cs="Times New Roman"/>
          <w:sz w:val="24"/>
          <w:szCs w:val="24"/>
        </w:rPr>
      </w:pPr>
    </w:p>
    <w:p w:rsidR="00B53822"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Supervisors, if during the exercise of their functions, including checks carried out on obliged entities, or in any other way, discover or become aware of facts, circumstances, information or data that may be related to money laundering, related criminal offences, the financing of terrorism or the financing of the proliferation of weapons of mass destruction, shall inform without delay the Financial Intelligence Agency.</w:t>
      </w:r>
    </w:p>
    <w:p w:rsidR="00B53822"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obligation provided for in point 1 of this article also applies to the supervisors of the capital markets, the foreign exchange market and derivative financial instruments.</w:t>
      </w:r>
    </w:p>
    <w:p w:rsidR="00EE787C"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Fulfilment of the obligation to report to the Financial Intelligence Agency, pursuant to this article, does not replace and does not affect the obligation of supervisors to notify the competent authorities for prosecutions of offences of any criminal activity that they detect or of which they become aware during the exercise of their supervisory functions.</w:t>
      </w:r>
    </w:p>
    <w:p w:rsidR="008F7AFB" w:rsidRPr="007647A8" w:rsidRDefault="008F7AF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Council of Ministers, upon the proposal of the Minister of Finance, issues detailed rules on the form, manner and procedure for reporting data by the supervisory authorities.</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DD6B6B"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51</w:t>
      </w:r>
    </w:p>
    <w:p w:rsidR="00EE787C" w:rsidRPr="007647A8" w:rsidRDefault="00B6344F"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Provision of information </w:t>
      </w:r>
    </w:p>
    <w:p w:rsidR="00EE787C" w:rsidRPr="007647A8" w:rsidRDefault="00EE787C" w:rsidP="002A39C9">
      <w:pPr>
        <w:widowControl w:val="0"/>
        <w:spacing w:after="0"/>
        <w:ind w:left="0" w:firstLine="0"/>
        <w:rPr>
          <w:rFonts w:ascii="Times New Roman" w:hAnsi="Times New Roman" w:cs="Times New Roman"/>
          <w:b/>
          <w:sz w:val="24"/>
          <w:szCs w:val="24"/>
        </w:rPr>
      </w:pPr>
    </w:p>
    <w:p w:rsidR="00FC7D2E" w:rsidRPr="007647A8" w:rsidRDefault="00B6344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supervisors communicate to the Financial Intelligence Agency, periodically and upon request, at least the following information:</w:t>
      </w:r>
    </w:p>
    <w:p w:rsidR="00FC7D2E"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list of the forms of exercising activity in the territory of the Republic of Albania and the list of other forms of presence that are under their supervision, in accordance with Article 45, point 1, of this law, as well as any change to these lists;</w:t>
      </w:r>
    </w:p>
    <w:p w:rsidR="00FC7D2E"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any significant finding that identifies serious weaknesses in the reporting systems of obliged entities;</w:t>
      </w:r>
    </w:p>
    <w:p w:rsidR="00EE787C"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results of the risk assessments carried out by the supervisory authorities in accordance with Article 48 of this law, in consolidated form.</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EE787C"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52</w:t>
      </w:r>
    </w:p>
    <w:p w:rsidR="00EE787C" w:rsidRPr="007647A8" w:rsidRDefault="00EE787C"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General principles of cooperation between supervisors</w:t>
      </w:r>
    </w:p>
    <w:p w:rsidR="00EE787C" w:rsidRPr="007647A8" w:rsidRDefault="00EE787C" w:rsidP="002A39C9">
      <w:pPr>
        <w:widowControl w:val="0"/>
        <w:spacing w:after="0"/>
        <w:ind w:left="0" w:firstLine="0"/>
        <w:rPr>
          <w:rFonts w:ascii="Times New Roman" w:hAnsi="Times New Roman" w:cs="Times New Roman"/>
          <w:sz w:val="24"/>
          <w:szCs w:val="24"/>
        </w:rPr>
      </w:pPr>
    </w:p>
    <w:p w:rsidR="00FC7D2E"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Supervisors cooperate with each other to the widest extent possible, regardless of their nature or institutional status.</w:t>
      </w:r>
    </w:p>
    <w:p w:rsidR="00CE6A65"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Cooperation may include, within the limits of the legal powers of the supervisor to whom the request has been addressed:</w:t>
      </w:r>
    </w:p>
    <w:p w:rsidR="00CE6A65"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carrying out checks, inspections or other supervisory actions on behalf of a requesting supervisor;</w:t>
      </w:r>
    </w:p>
    <w:p w:rsidR="00CE6A65" w:rsidRPr="007647A8" w:rsidRDefault="00EE787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subsequent exchange of information secured through these actions; or</w:t>
      </w:r>
    </w:p>
    <w:p w:rsidR="00EE787C" w:rsidRPr="007647A8" w:rsidRDefault="00CE6A6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facilitating the carrying out of checks, inspections or other supervisory actions by the requesting supervisor.</w:t>
      </w:r>
    </w:p>
    <w:p w:rsidR="00F91DCC" w:rsidRPr="007647A8" w:rsidRDefault="00F91DCC" w:rsidP="002A39C9">
      <w:pPr>
        <w:widowControl w:val="0"/>
        <w:spacing w:after="0"/>
        <w:ind w:left="0" w:firstLine="567"/>
        <w:rPr>
          <w:rFonts w:ascii="Times New Roman" w:hAnsi="Times New Roman" w:cs="Times New Roman"/>
          <w:sz w:val="24"/>
          <w:szCs w:val="24"/>
        </w:rPr>
      </w:pPr>
    </w:p>
    <w:p w:rsidR="00304D25" w:rsidRPr="007647A8" w:rsidRDefault="00F91DCC" w:rsidP="002A39C9">
      <w:pPr>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53</w:t>
      </w:r>
    </w:p>
    <w:p w:rsidR="00F91DCC" w:rsidRPr="007647A8" w:rsidRDefault="00F91DCC"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Exchange of information on cross-border activities</w:t>
      </w:r>
    </w:p>
    <w:p w:rsidR="00F91DCC" w:rsidRPr="007647A8" w:rsidRDefault="00F91DCC" w:rsidP="002A39C9">
      <w:pPr>
        <w:widowControl w:val="0"/>
        <w:spacing w:after="0"/>
        <w:ind w:left="0" w:firstLine="567"/>
        <w:jc w:val="center"/>
        <w:rPr>
          <w:rFonts w:ascii="Times New Roman" w:hAnsi="Times New Roman" w:cs="Times New Roman"/>
          <w:sz w:val="24"/>
          <w:szCs w:val="24"/>
        </w:rPr>
      </w:pPr>
    </w:p>
    <w:p w:rsidR="00F91DCC" w:rsidRPr="007647A8" w:rsidRDefault="00F91DC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supervisors of the home Member State inform the supervisors of the host Member State as soon as possible, and in any case within 3 months from receipt of the notification for the exercise of cross-border activities by the obliged entity, about the activities that this entity intends to carry out in the territory of the host Member State, in accordance with what is provided for in Article 90, paragraph 1 of this law.</w:t>
      </w:r>
    </w:p>
    <w:p w:rsidR="00B53822" w:rsidRPr="007647A8" w:rsidRDefault="00F91DC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Any subsequent change notified by the obliged entity in accordance with Article 90, point 2 of the law, relating to these activities, must be notified to the supervisor of the host Member State as soon as possible and in any case within 1 month from receipt of the notification. </w:t>
      </w:r>
    </w:p>
    <w:p w:rsidR="00C4546C" w:rsidRPr="007647A8" w:rsidRDefault="00F91DC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supervisors of the home Member State shall share with the supervisors of the host Member State information on the activities that the obliged entity effectively carries out in the territory of the host Member State, obtained within the framework of their supervisory activity, including information provided by the obliged entities in response to supervisory questionnaires or requests, as well as any other relevant information related to the activities carried out in the host Member State.</w:t>
      </w:r>
    </w:p>
    <w:p w:rsidR="00C4546C" w:rsidRPr="007647A8" w:rsidRDefault="00F91DC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information provided for in point 2 of this Article shall be exchanged at least once a year. Where this information is provided in summary form, the supervisor of the home Member State shall respond immediately and without delay to any request for supplementary information submitted by the supervisor of the host Member State.</w:t>
      </w:r>
    </w:p>
    <w:p w:rsidR="00F91DCC" w:rsidRPr="007647A8" w:rsidRDefault="00F91DC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By way of exception to what is provided for in point 3 of this Article, the supervisor of the home Member State must immediately inform the supervisor of the host Member State as soon as it receives notification from the obliged entities, in accordance with Article 90, point 1 of this law, that the activities in the host Member State have commenced.</w:t>
      </w:r>
    </w:p>
    <w:p w:rsidR="00D01074" w:rsidRPr="007647A8" w:rsidRDefault="00AA646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This article shall apply in the same way when the supervisory authorities exercise the powers of the supervisor of the home State or of the supervisor of the host State, within the framework of cooperation with Member States or with third countries, in accordance with the provisions permitted by this law.</w:t>
      </w:r>
    </w:p>
    <w:p w:rsidR="001E12BB" w:rsidRPr="007647A8" w:rsidRDefault="001E12BB" w:rsidP="002A39C9">
      <w:pPr>
        <w:widowControl w:val="0"/>
        <w:spacing w:after="0"/>
        <w:ind w:left="0" w:firstLine="567"/>
        <w:jc w:val="center"/>
        <w:rPr>
          <w:rFonts w:ascii="Times New Roman" w:hAnsi="Times New Roman" w:cs="Times New Roman"/>
          <w:b/>
          <w:sz w:val="24"/>
          <w:szCs w:val="24"/>
        </w:rPr>
      </w:pPr>
    </w:p>
    <w:p w:rsidR="00F91DCC" w:rsidRPr="007647A8" w:rsidRDefault="00CE2425" w:rsidP="002A39C9">
      <w:pPr>
        <w:widowControl w:val="0"/>
        <w:spacing w:after="0"/>
        <w:ind w:left="0" w:firstLine="567"/>
        <w:jc w:val="center"/>
        <w:rPr>
          <w:rFonts w:ascii="Times New Roman" w:hAnsi="Times New Roman" w:cs="Times New Roman"/>
          <w:b/>
          <w:sz w:val="24"/>
          <w:szCs w:val="24"/>
        </w:rPr>
      </w:pPr>
      <w:r>
        <w:rPr>
          <w:rFonts w:ascii="Times New Roman" w:hAnsi="Times New Roman" w:cs="Times New Roman"/>
          <w:sz w:val="24"/>
          <w:szCs w:val="24"/>
        </w:rPr>
        <w:t>Article 54</w:t>
      </w:r>
    </w:p>
    <w:p w:rsidR="00FF2BE3" w:rsidRPr="007647A8" w:rsidRDefault="00FF2BE3" w:rsidP="002A39C9">
      <w:pPr>
        <w:widowControl w:val="0"/>
        <w:spacing w:after="0"/>
        <w:ind w:left="0" w:firstLine="567"/>
        <w:jc w:val="center"/>
        <w:rPr>
          <w:rFonts w:ascii="Times New Roman" w:hAnsi="Times New Roman" w:cs="Times New Roman"/>
          <w:b/>
          <w:sz w:val="24"/>
          <w:szCs w:val="24"/>
        </w:rPr>
      </w:pPr>
      <w:r>
        <w:rPr>
          <w:rFonts w:ascii="Times New Roman" w:hAnsi="Times New Roman" w:cs="Times New Roman"/>
          <w:b/>
          <w:sz w:val="24"/>
          <w:szCs w:val="24"/>
        </w:rPr>
        <w:t>Cooperation within the framework of supervision at group level</w:t>
      </w:r>
    </w:p>
    <w:p w:rsidR="00FF2BE3" w:rsidRPr="007647A8" w:rsidRDefault="00FF2BE3" w:rsidP="002A39C9">
      <w:pPr>
        <w:widowControl w:val="0"/>
        <w:spacing w:after="0"/>
        <w:ind w:left="0" w:firstLine="0"/>
        <w:rPr>
          <w:rFonts w:ascii="Times New Roman" w:hAnsi="Times New Roman" w:cs="Times New Roman"/>
          <w:sz w:val="24"/>
          <w:szCs w:val="24"/>
        </w:rPr>
      </w:pPr>
    </w:p>
    <w:p w:rsidR="006B3C36" w:rsidRPr="007647A8" w:rsidRDefault="00FE0CA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In the case of credit institutions and financial institutions that are part of a group, for the purpose of implementing Articles 40 and 42 of this law, the supervisors of the home Member State shall cooperate with the supervisors of the host Member State to the widest extent possible, irrespective of their nature or institutional status. Financial supervisors shall also cooperate with AMLA, where the latter acts in the capacity of the supervisory authority.</w:t>
      </w:r>
    </w:p>
    <w:p w:rsidR="00320B4A" w:rsidRPr="007647A8" w:rsidRDefault="00320B4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With the exception of cases where AMLA acts as the supervisory authority, the supervisors of the home Member State supervise the effective implementation of the policies, procedures and internal controls throughout the group, set out in Chapter II, Section 2 of Part II of this law.</w:t>
      </w:r>
    </w:p>
    <w:p w:rsidR="00723223" w:rsidRPr="007647A8" w:rsidRDefault="003F615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financial supervisor of the host Member State supervises the compliance of institutions established in the territory of its State with Part II and Part III of this law. </w:t>
      </w:r>
    </w:p>
    <w:p w:rsidR="003D077F" w:rsidRPr="007647A8" w:rsidRDefault="00320B4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For the purposes of the implementation of this article, and with the exception of cases where PPP/FT supervisory colleges are established in implementation of Article 57 of this law, the financial supervisors cooperate and provide each other with any information necessary for the exercise of their supervisory functions, whether upon request or on their own initiative. </w:t>
      </w:r>
    </w:p>
    <w:p w:rsidR="00FC7D2E" w:rsidRPr="007647A8" w:rsidRDefault="003D077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In particular, financial supervisors shall exchange any information that may significantly affect the assessment of the exposure to the identified risk or the residual risk of a credit institution or financial institution including: </w:t>
      </w:r>
    </w:p>
    <w:p w:rsidR="00FC7D2E" w:rsidRPr="007647A8" w:rsidRDefault="00320B4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identification of the legal, management and organisational structure of the group, including all its subsidiaries and branches;</w:t>
      </w:r>
    </w:p>
    <w:p w:rsidR="00FC7D2E" w:rsidRPr="007647A8" w:rsidRDefault="00320B4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relevant information on beneficial owners and senior management, including the results of the assessments of suitability and integrity, carried out pursuant to this law or pursuant to the sectoral legislation in force;</w:t>
      </w:r>
    </w:p>
    <w:p w:rsidR="00FC7D2E" w:rsidRPr="007647A8" w:rsidRDefault="00320B4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policies, procedures and controls established at group level;</w:t>
      </w:r>
    </w:p>
    <w:p w:rsidR="00FC7D2E" w:rsidRPr="007647A8" w:rsidRDefault="00FC765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information on customer due diligence measures, including customer files and data and documentation on the carrying out of transactions;</w:t>
      </w:r>
    </w:p>
    <w:p w:rsidR="00FC7D2E" w:rsidRPr="007647A8" w:rsidRDefault="00FC765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negative developments or circumstances related to the parent undertaking, subsidiaries or branches, which may significantly affect other parts of the group;</w:t>
      </w:r>
    </w:p>
    <w:p w:rsidR="00FC7D2E" w:rsidRPr="007647A8" w:rsidRDefault="00FC765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fines and administrative measures that the financial supervisors intend to impose in accordance with the provisions of Section 4 of this Chapter of Part I of the law.</w:t>
      </w:r>
    </w:p>
    <w:p w:rsidR="00FC7D2E" w:rsidRPr="007647A8" w:rsidRDefault="00D2325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Financial supervisors are authorised, within the limits of their legal competences, to carry out verifications or inspections on behalf of a requesting supervisory authority, as well as to share the information obtained through these actions, or to facilitate their carrying out by the requesting supervisory authority.</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Financial supervisors may address AMLA for any of the following situations:</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when a financial supervisor has not communicated the information provided for in point 3 of this article;</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when a request for cooperation has been refused or has not been dealt with within a reasonable period;</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when there is a dispute, based on objective reasons, regarding the identified violations or the fines that will be imposed, or the administrative measures that will be applied to an entity or group to correct these violations.</w:t>
      </w:r>
    </w:p>
    <w:p w:rsidR="00A2454F"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the cases provided for in this point, AMLA may act in accordance with its powers under the relevant legislation of the European Union and the determinations given in this law, and gives an opinion on the matter that is the subject of the referral within 1 month from receipt of the request.</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provisions of this article shall also apply to the supervision of:</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groups of obliged entities in the non-financial sector;</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obliged entities that operate under the freedom to provide services, without another form of presence or establishment in a Member State other than the one in which they are established, where the supervision of the activity in that Member State is exercised by the supervisory authorities of that State, in accordance with Article 45 of this law.</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When the situations provided for in point 5 of this Article arise in relation to the supervisory authorities of the non-financial sector, AMLA may act in accordance with its powers under the relevant legislation of the European Union and according to the definitions given in this law.</w:t>
      </w:r>
    </w:p>
    <w:p w:rsidR="00FC7D2E" w:rsidRPr="007647A8" w:rsidRDefault="00886F5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cases where obliged entities in the non-financial sector are part of structures that share common ownership, common management or common compliance control including networks or partnerships, the supervisors of the non-financial sector cooperate and exchange information among themselves.</w:t>
      </w:r>
    </w:p>
    <w:p w:rsidR="00732A3E" w:rsidRPr="007647A8" w:rsidRDefault="00732A3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8. For the purposes of implementing this Article, the Council of Ministers, within six months from the issuance of the acts by the Commission, approves the regulatory technical standards that detail the respective duties of the supervisors of the home country and the host country, as well as the modalities of cooperation between them.</w:t>
      </w:r>
    </w:p>
    <w:p w:rsidR="007A691A" w:rsidRPr="007647A8" w:rsidRDefault="00732A3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9. This Article shall apply in the same manner when the supervisory authorities exercise the powers of the supervisor of the home State or of the supervisor of the host State, within the framework of cooperation with Member States or with third countries, in accordance with the provisions permitted by this law.</w:t>
      </w:r>
    </w:p>
    <w:p w:rsidR="00454AAA" w:rsidRPr="007647A8" w:rsidRDefault="00454AAA" w:rsidP="002A39C9">
      <w:pPr>
        <w:widowControl w:val="0"/>
        <w:spacing w:after="0"/>
        <w:ind w:left="0" w:firstLine="567"/>
        <w:rPr>
          <w:rFonts w:ascii="Times New Roman" w:hAnsi="Times New Roman" w:cs="Times New Roman"/>
          <w:sz w:val="24"/>
          <w:szCs w:val="24"/>
        </w:rPr>
      </w:pPr>
    </w:p>
    <w:p w:rsidR="007D1C92" w:rsidRPr="007647A8" w:rsidRDefault="00CE2425" w:rsidP="002A39C9">
      <w:pPr>
        <w:widowControl w:val="0"/>
        <w:spacing w:after="0"/>
        <w:ind w:left="0" w:firstLine="567"/>
        <w:jc w:val="center"/>
        <w:rPr>
          <w:rFonts w:ascii="Times New Roman" w:hAnsi="Times New Roman" w:cs="Times New Roman"/>
          <w:sz w:val="24"/>
          <w:szCs w:val="24"/>
        </w:rPr>
      </w:pPr>
      <w:r>
        <w:rPr>
          <w:rFonts w:ascii="Times New Roman" w:hAnsi="Times New Roman" w:cs="Times New Roman"/>
          <w:sz w:val="24"/>
          <w:szCs w:val="24"/>
        </w:rPr>
        <w:t>Article 55</w:t>
      </w:r>
    </w:p>
    <w:p w:rsidR="00F139F6" w:rsidRPr="007647A8" w:rsidRDefault="00D6133C" w:rsidP="002A39C9">
      <w:pPr>
        <w:widowControl w:val="0"/>
        <w:spacing w:after="0"/>
        <w:ind w:left="0" w:firstLine="567"/>
        <w:jc w:val="center"/>
        <w:rPr>
          <w:rFonts w:ascii="Times New Roman" w:hAnsi="Times New Roman" w:cs="Times New Roman"/>
          <w:b/>
          <w:sz w:val="24"/>
          <w:szCs w:val="24"/>
        </w:rPr>
      </w:pPr>
      <w:r>
        <w:rPr>
          <w:rFonts w:ascii="Times New Roman" w:hAnsi="Times New Roman" w:cs="Times New Roman"/>
          <w:b/>
          <w:sz w:val="24"/>
          <w:szCs w:val="24"/>
        </w:rPr>
        <w:t>Supervisory cooperation regarding obliged entities carrying out cross-border activities</w:t>
      </w:r>
    </w:p>
    <w:p w:rsidR="00454AAA" w:rsidRPr="007647A8" w:rsidRDefault="00454AAA" w:rsidP="002A39C9">
      <w:pPr>
        <w:widowControl w:val="0"/>
        <w:spacing w:after="0"/>
        <w:rPr>
          <w:rFonts w:ascii="Times New Roman" w:hAnsi="Times New Roman" w:cs="Times New Roman"/>
          <w:sz w:val="24"/>
          <w:szCs w:val="24"/>
        </w:rPr>
      </w:pPr>
    </w:p>
    <w:p w:rsidR="00FC7D2E"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When obliged entities that are not part of a group carry out cross-border activities, as provided for in Article 64, point 1 of this law, and supervision is shared between the supervisors of the home Member States and those of the host Member States in accordance with Articles 44 and 45 of this law, the Member States shall ensure that these supervisors cooperate with each other to the greatest extent possible and assist each other in carrying out supervision in accordance with these Articles.</w:t>
      </w:r>
    </w:p>
    <w:p w:rsidR="00FC7D2E" w:rsidRPr="007647A8" w:rsidRDefault="006D29B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In implementation of point 1 of this article, and except where PPP/FT supervisory colleges are established in accordance with Article 57 of this law, Member States ensure that  supervisors:</w:t>
      </w:r>
    </w:p>
    <w:p w:rsidR="00FC7D2E" w:rsidRPr="007647A8" w:rsidRDefault="006774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make available to each other any information that they need for the exercise of their supervisory functions, whether upon request or on their own initiative, including the information provided for in Article 54 point 3, letters “a”, “b” and “d” of this law, when this information is necessary for the performance of supervisory duties;</w:t>
      </w:r>
    </w:p>
    <w:p w:rsidR="00FC7D2E"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inform each other of any development or circumstance with a negative impact related to the obliged entity, as well as its forms of presence, which may significantly affect the entity's compliance with the applicable requirements, as well as the fines and administrative measures they intend to impose, in accordance with the provisions of Section 4 of this Chapter, of Part I of the law;</w:t>
      </w:r>
    </w:p>
    <w:p w:rsidR="00FC7D2E"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are authorised to, within the limits of their legal competences, carry out verifications or inspections on behalf of a requesting supervisory authority, as well as to share the information obtained from these actions or to facilitate their carrying out by the requesting authority.</w:t>
      </w:r>
    </w:p>
    <w:p w:rsidR="008A354C"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This point also applies to obliged entities that are established in a single Member State and operate within the framework of the freedom to provide services in another Member State without any other form of presence, where supervision of the activity in the other Member State is exercised by the supervisors of that Member State, in accordance with Article 44 of this law.</w:t>
      </w:r>
    </w:p>
    <w:p w:rsidR="00F06DCF" w:rsidRPr="007647A8" w:rsidRDefault="00BF118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When the supervision of the obliged entity and any form of its presence in other Member States is entrusted to the supervisors of the home Member State in accordance with Article 45 of this law, the Member States shall ensure that the supervisors of the home Member State regularly inform the supervisors of the host Member State of the measures implemented within the obliged entity and that entity's compliance with the relevant requirements, including those implemented in the host Member State.</w:t>
      </w:r>
    </w:p>
    <w:p w:rsidR="00F06DCF" w:rsidRPr="007647A8" w:rsidRDefault="003B129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supervisors of the host Member State provide assistance to the supervisors of the home Member State to ensure the verification of compliance by the obliged entity with the legal requirements. In particular, Member States must ensure that the supervisors of the host Member State inform the supervisors of the home Member State of any serious suspicion that they have regarding the compliance of the obliged entity with the relevant requirements, and that they share any information that they have in this regard with the supervisors of the home Member State.</w:t>
      </w:r>
    </w:p>
    <w:p w:rsidR="0090767B" w:rsidRPr="007647A8" w:rsidRDefault="0090767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above paragraph shall also apply in the case of obliged entities that have been established in a single Member State and operate under the freedom to provide services in another Member State without any form of presence, except where the supervision of activities in that other Member State is carried out by the supervisors of that other Member State in accordance with Article 44 of this law.</w:t>
      </w:r>
    </w:p>
    <w:p w:rsidR="00FC7D2E" w:rsidRPr="007647A8" w:rsidRDefault="00BF118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Supervisors have the competence to refer to AMLA any of the following situations:</w:t>
      </w:r>
    </w:p>
    <w:p w:rsidR="00FC7D2E" w:rsidRPr="007647A8" w:rsidRDefault="0070525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when a supervisor has not communicated the information provided for in point 2, letters “a” and “b”, or in point 3, first and second paragraph of this Article;</w:t>
      </w:r>
    </w:p>
    <w:p w:rsidR="00FC7D2E"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when a request for cooperation has been refused or has not been dealt with within a reasonable period;</w:t>
      </w:r>
    </w:p>
    <w:p w:rsidR="00FC7D2E"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when there is a dispute, based on objective reasons, concerning the identified violations or the fines or administrative measures that will be imposed on the entity for the correction of these violations.</w:t>
      </w:r>
    </w:p>
    <w:p w:rsidR="00454AAA" w:rsidRPr="007647A8" w:rsidRDefault="00454AA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these cases, AMLA acts in accordance with its powers under the relevant legislation of the European Union and the provisions in this law and gives its opinion on the matter subject to referral within 1 month from receipt of the request.</w:t>
      </w:r>
    </w:p>
    <w:p w:rsidR="007A691A" w:rsidRPr="007647A8" w:rsidRDefault="00BF118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This Article applies in the same way when the supervisory authorities exercise the powers of the supervisor of the home state or of the supervisor of the host state, within the framework of cooperation with Member States or with third countries, in accordance with the determinations permitted by this law.</w:t>
      </w:r>
    </w:p>
    <w:p w:rsidR="00454AAA" w:rsidRPr="007647A8" w:rsidRDefault="00454AAA" w:rsidP="002A39C9">
      <w:pPr>
        <w:widowControl w:val="0"/>
        <w:spacing w:after="0"/>
        <w:ind w:left="0" w:firstLine="720"/>
        <w:rPr>
          <w:rFonts w:ascii="Times New Roman" w:hAnsi="Times New Roman" w:cs="Times New Roman"/>
          <w:sz w:val="24"/>
          <w:szCs w:val="24"/>
        </w:rPr>
      </w:pPr>
    </w:p>
    <w:p w:rsidR="00776844"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56</w:t>
      </w:r>
    </w:p>
    <w:p w:rsidR="00776844" w:rsidRPr="007647A8" w:rsidRDefault="00776844"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Exchange of information for the implementation of policies at group level in third countries</w:t>
      </w:r>
    </w:p>
    <w:p w:rsidR="00776844" w:rsidRPr="007647A8" w:rsidRDefault="00776844" w:rsidP="002A39C9">
      <w:pPr>
        <w:widowControl w:val="0"/>
        <w:spacing w:after="0"/>
        <w:jc w:val="center"/>
        <w:rPr>
          <w:rFonts w:ascii="Times New Roman" w:hAnsi="Times New Roman" w:cs="Times New Roman"/>
          <w:sz w:val="24"/>
          <w:szCs w:val="24"/>
        </w:rPr>
      </w:pPr>
    </w:p>
    <w:p w:rsidR="00FC7D2E" w:rsidRPr="007647A8" w:rsidRDefault="00551ED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Supervisors, including AMLA, inform each other of cases where the legislation of a third country does not allow the implementation of the policies, procedures and controls required under Article 98 of this law. </w:t>
      </w:r>
    </w:p>
    <w:p w:rsidR="00D707B3" w:rsidRPr="007647A8" w:rsidRDefault="0077684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In these cases, supervisors may undertake coordinated actions to find an appropriate solution. </w:t>
      </w:r>
    </w:p>
    <w:p w:rsidR="00776844" w:rsidRPr="007647A8" w:rsidRDefault="00551ED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In the assessment of third countries that do not allow the implementation of the policies, procedures and controls required under Article 98 of this law, supervisors must take into consideration any legal restriction that may hinder the proper implementation of these policies, procedures and controls, including professional secrecy, the insufficient level of data protection and other restrictions that undermine the exchange of information that may be relevant for that purpose.</w:t>
      </w:r>
    </w:p>
    <w:p w:rsidR="00680E04" w:rsidRPr="007647A8" w:rsidRDefault="00680E04" w:rsidP="002A39C9">
      <w:pPr>
        <w:widowControl w:val="0"/>
        <w:spacing w:after="0"/>
        <w:ind w:left="0" w:firstLine="720"/>
        <w:rPr>
          <w:rFonts w:ascii="Times New Roman" w:hAnsi="Times New Roman" w:cs="Times New Roman"/>
          <w:sz w:val="24"/>
          <w:szCs w:val="24"/>
        </w:rPr>
      </w:pPr>
    </w:p>
    <w:p w:rsidR="00776844" w:rsidRPr="007647A8" w:rsidRDefault="00776844" w:rsidP="002A39C9">
      <w:pPr>
        <w:widowControl w:val="0"/>
        <w:spacing w:after="0"/>
        <w:rPr>
          <w:rFonts w:ascii="Times New Roman" w:hAnsi="Times New Roman" w:cs="Times New Roman"/>
          <w:sz w:val="24"/>
          <w:szCs w:val="24"/>
        </w:rPr>
      </w:pPr>
    </w:p>
    <w:p w:rsidR="0002622D" w:rsidRPr="007647A8" w:rsidRDefault="0063131D"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Section 2</w:t>
      </w:r>
    </w:p>
    <w:p w:rsidR="0002622D" w:rsidRPr="007647A8" w:rsidRDefault="0002622D" w:rsidP="002A39C9">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Cooperation within the framework of AML/CFT supervisory colleges and with the counterpart authorities of third countries</w:t>
      </w:r>
    </w:p>
    <w:p w:rsidR="00E0581D" w:rsidRPr="007647A8" w:rsidRDefault="00E0581D" w:rsidP="002A39C9">
      <w:pPr>
        <w:widowControl w:val="0"/>
        <w:spacing w:after="0"/>
        <w:jc w:val="center"/>
        <w:rPr>
          <w:rFonts w:ascii="Times New Roman" w:hAnsi="Times New Roman" w:cs="Times New Roman"/>
          <w:b/>
          <w:sz w:val="24"/>
          <w:szCs w:val="24"/>
        </w:rPr>
      </w:pPr>
    </w:p>
    <w:p w:rsidR="00CB5BE7" w:rsidRPr="007647A8" w:rsidRDefault="00CE2425"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Article 57</w:t>
      </w:r>
    </w:p>
    <w:p w:rsidR="00E0581D" w:rsidRPr="007647A8" w:rsidRDefault="00E0581D" w:rsidP="002A39C9">
      <w:pPr>
        <w:widowControl w:val="0"/>
        <w:spacing w:after="0"/>
        <w:jc w:val="center"/>
        <w:rPr>
          <w:rFonts w:ascii="Times New Roman" w:hAnsi="Times New Roman" w:cs="Times New Roman"/>
          <w:b/>
          <w:sz w:val="24"/>
          <w:szCs w:val="24"/>
          <w:lang w:bidi="en-US"/>
        </w:rPr>
      </w:pPr>
      <w:r>
        <w:rPr>
          <w:rFonts w:ascii="Times New Roman" w:hAnsi="Times New Roman" w:cs="Times New Roman"/>
          <w:b/>
          <w:sz w:val="24"/>
          <w:szCs w:val="24"/>
          <w:lang w:bidi="en-US"/>
        </w:rPr>
        <w:t>Supervisory colleges for PPP/FT in the financial sector</w:t>
      </w:r>
    </w:p>
    <w:p w:rsidR="005A7327" w:rsidRPr="007647A8" w:rsidRDefault="005A7327" w:rsidP="002A39C9">
      <w:pPr>
        <w:widowControl w:val="0"/>
        <w:spacing w:after="0"/>
        <w:ind w:left="0" w:firstLine="0"/>
        <w:rPr>
          <w:rFonts w:ascii="Times New Roman" w:hAnsi="Times New Roman" w:cs="Times New Roman"/>
          <w:sz w:val="24"/>
          <w:szCs w:val="24"/>
          <w:lang w:bidi="en-US"/>
        </w:rPr>
      </w:pP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supervisor responsible for the parent undertaking of a group of credit institutions or financial institutions, or for the head office of a credit institution or financial institution, establishes special supervisory colleges for AML/CFT, in any of the following situations: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when a credit institution or financial institution, including their groups, has established forms of activity in at least two different Member States in addition to the Member State where the head office is located;</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when a credit institution or financial institution of a third country has established forms of activity in at least three Member States.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2. Permanent members of the college shall be the financial supervisors responsible for the parent undertaking or for the head office, the financial supervisors responsible for the form of establishment of the activity in the host Member States, as well as the financial supervisor responsible for the form of establishment of the activity in the host Member States in accordance with Article 45 of this law. </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provisions of this Article shall not apply in cases where AMLA exercises a supervisory function.</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activities of the AML/CFT supervisory colleges are carried out in proportion to the level of the risks of money laundering, terrorist financing and financing of the proliferation of weapons of mass destruction to which the credit institution, financial institution or group is exposed, as well as to the extent of its cross-border activity.</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For the purposes of point 1 of this Article, financial supervisors shall identify:</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all credit institutions or financial institutions licensed or authorised in their territory and that have forms of establishment of activity in other Member States or in third countries;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all forms of establishment of activity set up by credit institutions or financial institutions in other Member States or in third countries;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forms of establishment of the activity in their territory by credit institutions or financial institutions from other Member States or in third countries.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In cases other than those provided for in Article 45 of this law, when credit institutions or financial institutions carry out activities in other Member States under the freedom to provide services, the financial supervisor of the home Member State may invite the financial supervisors of those Member States to participate in the college as observers.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When a group of credit institutions or financial institutions includes obliged entities in the non-financial sector, the financial supervisor that establishes the college shall invite the supervisors of these obliged entities to participate in the college.</w:t>
      </w:r>
    </w:p>
    <w:p w:rsidR="001F36DD"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8. Supervisory colleges for AML/CFT may be established when a credit institution or financial institution established in the European Union has set up forms of activity in at least two third countries. </w:t>
      </w:r>
    </w:p>
    <w:p w:rsidR="00FC7D2E" w:rsidRPr="007647A8" w:rsidRDefault="000F672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Financial supervisors may invite counterpart authorities in those third countries to take part in creating such a form of college.</w:t>
      </w:r>
    </w:p>
    <w:p w:rsidR="00FC7D2E" w:rsidRPr="007647A8" w:rsidRDefault="0001599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Financial supervisors participating in the college shall conclude a written agreement, which sets out the conditions and procedures for cooperation and for the exchange of information.</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9. Supervisory colleges are used, among other things, for the exchange of information, the provision of mutual legal assistance within the framework of relations between jurisdictions or the coordination of supervision over the group or institution, including, where necessary, the taking of appropriate and proportionate measures to address serious breaches of the provisions of Part II and Part III of the law, which are made known at group level or at the level of the credit institution or financial institution, or in all forms of establishment of activity set up by the group or institution in the jurisdiction of a supervisor participating in the college.</w:t>
      </w:r>
    </w:p>
    <w:p w:rsidR="00FC7D2E" w:rsidRPr="007647A8" w:rsidRDefault="004353B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10. AMLA may participate in the meetings of the AML/CFT supervisory colleges and facilitate their activity, in accordance with its function. In the event that AMLA decides to participate in the meetings of a supervisory college, it shall participate with observer status.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11. Financial supervisors may allow counterpart authorities of third countries to participate as observers in the AML/CFT supervisory colleges, in the case provided for in point “b” of point 1 of this Article or when European Union groups or credit institutions and financial institutions operate through branches or subsidiaries in those third countries, provided that:</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competent authorities of third countries submit a request for participation and the members of the supervisory college agree to their participation, or the members of the college agree to invite these competent authorities of third countries;</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data protection rules concerning their transfer are complied with in accordance with the legislation which guarantees a level of protection equivalent to the standards of the European Union in this field;</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equivalent authorities of third countries sign the written agreement provided for in point 8 of this Article and exchange within the supervisory college the relevant information they possess for the purposes of supervising credit institutions or financial institutions or the group;</w:t>
      </w:r>
    </w:p>
    <w:p w:rsidR="00FC7D2E" w:rsidRPr="007647A8" w:rsidRDefault="00E058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the information exchanged is subject to the requirements for preserving professional secrecy, at least equivalent to those provided for in Article 80, point 1 of this law, and is used only for the purposes of exercising the supervisory duties of the participating financial supervisors or of the counterpart authorities of third countries.</w:t>
      </w:r>
    </w:p>
    <w:p w:rsidR="00F728DE" w:rsidRPr="007647A8" w:rsidRDefault="00EF77D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12. Financial supervisors that establish colleges shall carry out an assessment of whether the conditions provided for in point 11 of this article are fulfilled and shall submit this assessment to the permanent members of the college. This assessment shall be carried out before the equivalent authority of the third country is allowed to participate in the college and may be repeated thereafter as needed. The financial supervisor of the home Member State may request support from AMLA for carrying out this assessment. </w:t>
      </w:r>
    </w:p>
    <w:p w:rsidR="00FC7D2E" w:rsidRPr="007647A8" w:rsidRDefault="00F728D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13. When deemed necessary by the permanent members of the college of supervisors, additional observers may be invited, provided that the confidentiality requirements are complied with. The observers may include prudential supervisors, including the European Central Bank (ECB), when acting in accordance with the relevant legislation of the European Union, as well as European supervisory authorities and financial intelligence units.</w:t>
      </w:r>
    </w:p>
    <w:p w:rsidR="00E0581D" w:rsidRPr="007647A8" w:rsidRDefault="0035102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14. When the members of a supervisory college do not agree on the measures that should be taken in relation to an obliged entity, they may refer the matter to AMLA  and request its assistance in accordance with the applicable European Union legislation in this field.</w:t>
      </w:r>
    </w:p>
    <w:p w:rsidR="002F1EE9" w:rsidRPr="007647A8" w:rsidRDefault="0049427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15. For the purposes of the implementation of this article, the Council of Ministers, within six months from the issuance of the acts by the Commission, approves the regulatory technical standards that include:</w:t>
      </w:r>
    </w:p>
    <w:p w:rsidR="002F1EE9" w:rsidRPr="007647A8" w:rsidRDefault="002F1E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general conditions for functioning, on the risk-based approach of AML/CFT supervisory colleges in the financial sector, including the conditions of cooperation between permanent members and with observers, and the operational functioning of such colleges;</w:t>
      </w:r>
    </w:p>
    <w:p w:rsidR="002F1EE9" w:rsidRPr="007647A8" w:rsidRDefault="002F1E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model for the written agreement to be signed by the financial supervisors in accordance with point 8 of this Article;</w:t>
      </w:r>
    </w:p>
    <w:p w:rsidR="002F1EE9" w:rsidRPr="007647A8" w:rsidRDefault="002F1E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any additional measure that will be applied by the colleges when the groups include obliged entities of the non-financial sector;</w:t>
      </w:r>
    </w:p>
    <w:p w:rsidR="00494277" w:rsidRPr="007647A8" w:rsidRDefault="002F1EE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conditions for the participation of financial supervisors in third countries.</w:t>
      </w:r>
    </w:p>
    <w:p w:rsidR="00D11C3F" w:rsidRPr="007647A8" w:rsidRDefault="0049427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16. This Article shall apply in the same way when the supervisory authorities exercise the powers of the supervisor of the home State or of the supervisor of the host State, within the framework of cooperation with Member States or with third countries, in accordance with the determinations permitted by this law.</w:t>
      </w:r>
    </w:p>
    <w:p w:rsidR="00E96A7D" w:rsidRPr="007647A8" w:rsidRDefault="00E96A7D" w:rsidP="002A39C9">
      <w:pPr>
        <w:widowControl w:val="0"/>
        <w:spacing w:after="0"/>
        <w:ind w:left="0" w:firstLine="567"/>
        <w:rPr>
          <w:rFonts w:ascii="Times New Roman" w:hAnsi="Times New Roman" w:cs="Times New Roman"/>
          <w:sz w:val="24"/>
          <w:szCs w:val="24"/>
        </w:rPr>
      </w:pPr>
    </w:p>
    <w:p w:rsidR="00AD3D45" w:rsidRPr="007647A8" w:rsidRDefault="00AD3D45" w:rsidP="002A39C9">
      <w:pPr>
        <w:widowControl w:val="0"/>
        <w:spacing w:after="0"/>
        <w:ind w:left="0" w:firstLine="567"/>
        <w:rPr>
          <w:rFonts w:ascii="Times New Roman" w:hAnsi="Times New Roman" w:cs="Times New Roman"/>
          <w:sz w:val="24"/>
          <w:szCs w:val="24"/>
        </w:rPr>
      </w:pPr>
    </w:p>
    <w:p w:rsidR="00AD3D45" w:rsidRPr="007647A8" w:rsidRDefault="002376C9"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 xml:space="preserve">Article 58 </w:t>
      </w:r>
    </w:p>
    <w:p w:rsidR="00E96A7D" w:rsidRPr="007647A8" w:rsidRDefault="001D6BFF" w:rsidP="002A39C9">
      <w:pPr>
        <w:widowControl w:val="0"/>
        <w:spacing w:after="0"/>
        <w:ind w:left="0" w:firstLine="567"/>
        <w:jc w:val="center"/>
        <w:rPr>
          <w:rFonts w:ascii="Times New Roman" w:hAnsi="Times New Roman" w:cs="Times New Roman"/>
          <w:b/>
          <w:sz w:val="24"/>
          <w:szCs w:val="24"/>
        </w:rPr>
      </w:pPr>
      <w:r>
        <w:rPr>
          <w:rFonts w:ascii="Times New Roman" w:hAnsi="Times New Roman" w:cs="Times New Roman"/>
          <w:b/>
          <w:sz w:val="24"/>
          <w:szCs w:val="24"/>
        </w:rPr>
        <w:t xml:space="preserve">Supervisory colleges for PPP/ FT in the non-financial sector </w:t>
      </w:r>
    </w:p>
    <w:p w:rsidR="009A2AE0" w:rsidRPr="007647A8" w:rsidRDefault="009A2AE0" w:rsidP="002A39C9">
      <w:pPr>
        <w:widowControl w:val="0"/>
        <w:spacing w:after="0"/>
        <w:ind w:left="0" w:firstLine="0"/>
        <w:rPr>
          <w:rFonts w:ascii="Times New Roman" w:hAnsi="Times New Roman" w:cs="Times New Roman"/>
          <w:sz w:val="24"/>
          <w:szCs w:val="24"/>
        </w:rPr>
      </w:pPr>
    </w:p>
    <w:p w:rsidR="00E87CA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non-financial supervisor responsible for the supervision of the parent undertaking of a group of obliged entities in the non-financial sector, or of the head office of an obliged entity in the non-financial sector, establishes special supervisory colleges for AML/CFT in any of the following situations: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when an obliged entity in the non-financial sector, including their groups, has established forms of activity in at least two different Member States other than the Member State where the head office is located;</w:t>
      </w:r>
    </w:p>
    <w:p w:rsidR="00405C52" w:rsidRPr="007647A8" w:rsidRDefault="00405C5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when an entity of a third country, which is subject to legal obligations for AML/CFT, which is not a credit institution or financial institution, has established forms of activity in at least three Member States.</w:t>
      </w:r>
    </w:p>
    <w:p w:rsidR="00FC7D2E" w:rsidRPr="007647A8" w:rsidRDefault="00656C8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above paragraph also applies to structures that have common ownership, common administration or common conformity assessment control, including networks or partnerships for which the requirements at group level apply, in accordance with what is provided for in Article 98 of this law.</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Permanent members of the college shall be the supervisors in the non-financial sector responsible for the supervision of the parent undertaking or of the head office, as well as the non-financial supervisors responsible for the supervision of the forms of establishment of the activity in the host Member States or for the supervision of that obliged entity in other Member States, in the cases provided for in Article 37 point 1, subparagraph 2 of this law.</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responsible non-financial supervisor, for the supervision of the parent undertaking of a group or of the head office of an obliged entity, in cases where they do not establish a supervisory college, the non-financial supervisors referred to in point 1, letter “b” of this article, may submit a reasoned opinion that, taking into account the risks of money laundering and terrorist financing to which the obliged entity or the group is exposed, as well as the extent of its cross-border activity, a college should be established. This opinion must be submitted by at least two non-financial supervisors and is addressed to:</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non-financial supervisor responsible for the supervision of the parent undertaking of a group or of the head office of an obliged entity;</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SOUL;</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all other non-financial supervisors.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When the non-financial supervisor, referred to in letter “a” of this point, is a self-regulatory body, the reasoned opinion shall also be submitted to the public authority responsible for the supervision of that self-regulatory body, in accordance with Article 60 of this law.</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When, after the submission of a reasoned opinion in accordance with point 2 of this article, the non-financial supervisor responsible for the supervision of the parent undertaking of a group or of the head office of an obliged entity continues to assess that the establishment of a supervisory college is not necessary, the other non-financial supervisors establish the college, provided that it consists of at least two members. In these cases, these non-financial supervisors decide among themselves which one will be the supervisor responsible for the college. The non-financial supervisor responsible for the supervision of the parent undertaking of the group or of the head office of the obliged entity must be informed of the activity of the college and has the right to join the college at any time.</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In implementation of point 1 of this article, non-financial supervisors shall identify:</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all obliged entities in the non-financial sector that have their head office in their territory and that have forms of establishment of activity in other Member States or in third countries;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all forms of establishment of activity set up by these obliged entities in other Member States or in third countries;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forms of establishment of the activity in their territory by obliged entities in the non-financial sector with head offices in other Member States or in third countries.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When obliged entities in the non-financial sector carry out activities in other Member States within the framework of the freedom to provide services, the non-financial supervisor of the Member State of origin may invite the non-financial supervisors of those Member States to participate in the college as observers.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Where a group in the non-financial sector includes any credit institution or financial institution, but their presence in the group does not meet the threshold for the establishment of a college according to the definitions in Article 57 of this law, the supervisor establishing the college shall invite the financial supervisors of those credit institutions or financial institutions to participate in the college.</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PPP/FT supervisory colleges may be established when an obliged entity in the non-financial sector, established in the European Union, has established its activity in at least two third countries. Non-financial supervisors may invite the counterpart authorities of those third countries to establish such a college. The non-financial supervisors participating in the college shall conclude a written agreement, setting out the conditions and procedures for cooperation and the exchange of information.</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When the college is established in relation to the obliged entities referred to in Article 86, point 3, letters "a" and "b", or their groups, the written agreement referred to in this point shall also include procedures ensuring that no information collected in accordance with Article 103 point 2 is shared, except where the second subparagraph of point 2 of this article applies. </w:t>
      </w:r>
    </w:p>
    <w:p w:rsidR="00D208FD"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8. Supervisory colleges are used, among other things, for the exchange of information, the provision of mutual legal assistance within the framework of relations between jurisdictions or the coordination of supervision over the group or obliged entity, including, where necessary, the taking of appropriate and proportionate measures to address serious breaches of the provisions of Part II and Part III of the law, which become known at the group or obliged entity level, or in all forms of establishment of activity set up by the group or obliged entity in the jurisdiction of a supervisor participating in the college.</w:t>
      </w:r>
    </w:p>
    <w:p w:rsidR="00151C75"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9. AMLA may participate in the meetings of AML/CFT supervisory colleges and facilitate their activity, in accordance with its function. In the event that AMLA decides to participate in the meetings of a supervisory college, it shall participate with observer status.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10. Non-financial supervisors may allow the counterpart authorities of third countries to participate as observers in the AML/CFT supervision colleges, in the case provided for in point 1, letter “b” of this article, or when obligated entities of the European Union in the non-financial sector or their groups carry out activities through branches or subsidiaries in those third countries, provided that:</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corresponding authorities of third countries submit a request for participation and the members of the supervisory college agree to invite these corresponding authorities of third countries;</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data protection rules be respected in relation to their transfer in accordance with the legislation which guarantees a level of protection equivalent to the standards of the European Union in this field;</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equivalent authorities of third countries sign the agreement in writing, according to the provisions in point 7 of this article, and exchange within the college the relevant information they possess for the purposes of supervision of the obliged entity or the group.</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the information exchanged is subject to requirements for the preservation of professional secrecy, at least equivalent to those provided for in Article 80 of this law, and is used exclusively only for the purposes of carrying out the supervisory duties of the participating non-financial supervisors or of the counterpart authorities of third countries.</w:t>
      </w:r>
    </w:p>
    <w:p w:rsidR="004F1C6C" w:rsidRPr="007647A8" w:rsidRDefault="0005513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non-financial supervisors responsible for the supervision of the parent undertaking of a group or of the head office of an obliged entity or, in the cases provided for in point 3 of this Article, for the college, shall carry out an assessment to determine whether the conditions set out in the first paragraph of this point are met and shall submit it to the permanent members of the college. This assessment shall be carried out before the competent authority of the third country is allowed to join the college and may be repeated as necessary. The non-financial supervisor responsible for carrying out the assessment may request the support of AMLA for carrying out this assessment.</w:t>
      </w:r>
    </w:p>
    <w:p w:rsidR="00FC7D2E"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11. When it is deemed necessary by the permanent members of the college, additional observers may be invited, provided that confidentiality requirements are respected. The observers may also include financial intelligence units.</w:t>
      </w:r>
    </w:p>
    <w:p w:rsidR="009A2AE0" w:rsidRPr="007647A8" w:rsidRDefault="009A2AE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12. When the members of a college do not agree on the measures that should be taken in relation to an obliged entity, they may refer the matter to ALMA and request its assistance in accordance with the applicable legislation of the European Union. AMLA gives its opinion on the dispute within two months.</w:t>
      </w:r>
    </w:p>
    <w:p w:rsidR="00261B68" w:rsidRPr="007647A8" w:rsidRDefault="008F00C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13. For the purposes of the implementation of this Article, the Council of Ministers, within six months from the issuance of the acts by the Commission, approves the regulatory technical standards that detail:</w:t>
      </w:r>
    </w:p>
    <w:p w:rsidR="00261B68" w:rsidRPr="007647A8" w:rsidRDefault="00261B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general conditions for the functioning of the AML/CFT supervisory colleges in the non-financial sector, including the conditions of cooperation between permanent members and with observers, and the operational functioning of these colleges;</w:t>
      </w:r>
    </w:p>
    <w:p w:rsidR="00261B68" w:rsidRPr="007647A8" w:rsidRDefault="00261B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model for the written agreement that must be signed by the non-financial supervisors in accordance with point 7 of this article;</w:t>
      </w:r>
    </w:p>
    <w:p w:rsidR="008F00C3" w:rsidRPr="007647A8" w:rsidRDefault="00261B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conditions for the participation of non-financial supervisors in third countries;</w:t>
      </w:r>
    </w:p>
    <w:p w:rsidR="00261B68" w:rsidRPr="007647A8" w:rsidRDefault="00261B6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any additional measure that must be implemented by the colleges when the groups include credit institutions or financial institutions.</w:t>
      </w:r>
    </w:p>
    <w:p w:rsidR="004927D2" w:rsidRPr="007647A8" w:rsidRDefault="008F00C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14. This Article shall apply in the same way when the supervisory authorities exercise the powers of the supervisor of the home State or of the supervisor of the host State, within the framework of cooperation with Member States or with third countries, in accordance with the definitions permitted by this law.</w:t>
      </w:r>
    </w:p>
    <w:p w:rsidR="007A3720" w:rsidRPr="007647A8" w:rsidRDefault="007A3720" w:rsidP="002A39C9">
      <w:pPr>
        <w:widowControl w:val="0"/>
        <w:spacing w:after="0"/>
        <w:ind w:left="0" w:firstLine="567"/>
        <w:rPr>
          <w:rFonts w:ascii="Times New Roman" w:hAnsi="Times New Roman" w:cs="Times New Roman"/>
          <w:sz w:val="24"/>
          <w:szCs w:val="24"/>
        </w:rPr>
      </w:pPr>
    </w:p>
    <w:p w:rsidR="007A3720"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59</w:t>
      </w:r>
    </w:p>
    <w:p w:rsidR="007A3720" w:rsidRPr="007647A8" w:rsidRDefault="007A3720"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Cooperation with supervisors of third countries</w:t>
      </w:r>
    </w:p>
    <w:p w:rsidR="009A2AE0" w:rsidRPr="007647A8" w:rsidRDefault="009A2AE0" w:rsidP="002A39C9">
      <w:pPr>
        <w:widowControl w:val="0"/>
        <w:spacing w:after="0"/>
        <w:ind w:left="0" w:firstLine="0"/>
        <w:jc w:val="center"/>
        <w:rPr>
          <w:rFonts w:ascii="Times New Roman" w:hAnsi="Times New Roman" w:cs="Times New Roman"/>
          <w:sz w:val="24"/>
          <w:szCs w:val="24"/>
        </w:rPr>
      </w:pPr>
    </w:p>
    <w:p w:rsidR="001D7450" w:rsidRPr="007647A8" w:rsidRDefault="007A37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Supervisors have the power to conclude cooperation agreements that provide for cooperation and exchange of confidential information with counterpart authorities in third countries. These cooperation agreements must comply with the applicable rules on the protection of data and be concluded on the basis of reciprocity and guarantee requirements for the preservation of professional secrecy at least equivalent to those provided for in Article 80, point 1 of this law. Confidential information exchanged in accordance with these agreements shall be used only for the purpose of carrying out the supervisory duties of these authorities. </w:t>
      </w:r>
    </w:p>
    <w:p w:rsidR="00FC7D2E" w:rsidRPr="007647A8" w:rsidRDefault="007A37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Where the information exchanged originates from another Member State, it shall be disseminated only with the express consent of the supervisor that has shared it and, where appropriate, only for the purposes for which that supervisor has given its consent.</w:t>
      </w:r>
    </w:p>
    <w:p w:rsidR="00181D97" w:rsidRPr="007647A8" w:rsidRDefault="007A37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For the purposes of point 1 of this Article, AMLA shall provide the necessary assistance to assess the equivalence of the professional secrecy requirements applicable to the competent authority of the third country.</w:t>
      </w:r>
    </w:p>
    <w:p w:rsidR="00477DE8" w:rsidRPr="007647A8" w:rsidRDefault="007A37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Supervisors notify AMLA of any cooperation agreement signed in accordance with this Article, within one month from its signing.</w:t>
      </w:r>
    </w:p>
    <w:p w:rsidR="00FB0476" w:rsidRPr="007647A8" w:rsidRDefault="00FB047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For the purposes of the implementation of this article, the Council of Ministers, within six months from the issuance of the acts by the Commission, approves the implementing technical standards that detail the model that will be used for the conclusion of the cooperation agreements referred to in point 1 of this article.</w:t>
      </w:r>
    </w:p>
    <w:p w:rsidR="007A3720" w:rsidRPr="007647A8" w:rsidRDefault="007A3720" w:rsidP="002A39C9">
      <w:pPr>
        <w:widowControl w:val="0"/>
        <w:spacing w:after="0"/>
        <w:rPr>
          <w:rFonts w:ascii="Times New Roman" w:hAnsi="Times New Roman" w:cs="Times New Roman"/>
          <w:sz w:val="24"/>
          <w:szCs w:val="24"/>
        </w:rPr>
      </w:pPr>
    </w:p>
    <w:p w:rsidR="00C11A17" w:rsidRPr="007647A8" w:rsidRDefault="0063131D"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Section 3</w:t>
      </w:r>
    </w:p>
    <w:p w:rsidR="00C11A17" w:rsidRPr="007647A8" w:rsidRDefault="00C11A17"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Special provisions for self-regulatory bodies</w:t>
      </w:r>
    </w:p>
    <w:p w:rsidR="00C11A17" w:rsidRPr="007647A8" w:rsidRDefault="00C11A17" w:rsidP="002A39C9">
      <w:pPr>
        <w:widowControl w:val="0"/>
        <w:spacing w:after="0"/>
        <w:ind w:left="0" w:firstLine="0"/>
        <w:jc w:val="center"/>
        <w:rPr>
          <w:rFonts w:ascii="Times New Roman" w:hAnsi="Times New Roman" w:cs="Times New Roman"/>
          <w:sz w:val="24"/>
          <w:szCs w:val="24"/>
        </w:rPr>
      </w:pPr>
    </w:p>
    <w:p w:rsidR="00060921"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60</w:t>
      </w:r>
    </w:p>
    <w:p w:rsidR="00C11A17" w:rsidRPr="007647A8" w:rsidRDefault="00C11A17"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Supervision of self-regulatory bodies</w:t>
      </w:r>
    </w:p>
    <w:p w:rsidR="0072466E" w:rsidRPr="007647A8" w:rsidRDefault="0072466E" w:rsidP="002A39C9">
      <w:pPr>
        <w:widowControl w:val="0"/>
        <w:spacing w:after="0"/>
        <w:ind w:left="0" w:firstLine="567"/>
        <w:jc w:val="center"/>
        <w:rPr>
          <w:rFonts w:ascii="Times New Roman" w:hAnsi="Times New Roman" w:cs="Times New Roman"/>
          <w:b/>
          <w:sz w:val="24"/>
          <w:szCs w:val="24"/>
        </w:rPr>
      </w:pP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In cases where self-regulatory bodies exercise supervisory functions over obliged entities specified in Article 86, point 3, letters “a” and “b”, their activity in the exercise of these functions shall be subject to supervision by a competent public authority, in accordance with the applicable sectoral legislation.</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public authority that supervises the self-regulatory bodies is responsible for ensuring an appropriate and effective system of supervision over the obliged entities defined in Article 86, point 3, letters “a” and “b”, including:</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verifying that every self-regulatory body that performs, or intends to perform, the functions provided for in Article 43 of this law, meets the requirements set out in point 3 of that article;</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issuance of bylaws related to the exercise of the functions provided for in Article 44 of this law;</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ensuring that self-regulatory bodies perform their functions, in accordance with Section 1 of this Chapter, in an appropriate and effective manner.</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the review of exemptions granted by self-regulatory bodies from the obligation to draw up an individual documented risk assessment, in accordance with Article 42, point 1 of this law;</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the regular informing of self-regulatory bodies about any planned activity or task carried out by AMLA related to the performance of their supervisory function, including, in particular, the planning of mutual assessments between supervisory authorities, in accordance with the applicable European Union legislation.</w:t>
      </w:r>
    </w:p>
    <w:p w:rsidR="00C94E5D" w:rsidRPr="007647A8" w:rsidRDefault="00D5071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public authority that supervises the self-regulatory bodies has full powers to fulfill its responsibilities under point 2 of this article. At a minimum, the public authority has the competence to:</w:t>
      </w:r>
    </w:p>
    <w:p w:rsidR="00C94E5D" w:rsidRPr="007647A8" w:rsidRDefault="00C94E5D" w:rsidP="002A39C9">
      <w:pPr>
        <w:widowControl w:val="0"/>
        <w:spacing w:after="0"/>
        <w:ind w:left="0" w:firstLine="630"/>
        <w:rPr>
          <w:rFonts w:ascii="Times New Roman" w:hAnsi="Times New Roman" w:cs="Times New Roman"/>
          <w:sz w:val="24"/>
          <w:szCs w:val="24"/>
        </w:rPr>
      </w:pPr>
      <w:r>
        <w:rPr>
          <w:rFonts w:ascii="Times New Roman" w:hAnsi="Times New Roman" w:cs="Times New Roman"/>
          <w:sz w:val="24"/>
          <w:szCs w:val="24"/>
        </w:rPr>
        <w:t>a) request and compel the provision of any information that is relevant for monitoring compliance and for carrying out controls, with the exception of information collected by the obliged entities defined in Article 86, point 3, letters “a” and “b”, during the determination of the legal position of their client, in accordance with the definitions in Article 103 point 2 of this law or for carrying out the duty of defending or representing the client in, or in connection with, judicial proceedings, including the giving of advice on the initiation or avoidance of such proceedings; regardless of whether the information is collected before, during or after these proceedings;</w:t>
      </w:r>
    </w:p>
    <w:p w:rsidR="00C94E5D"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to issue binding instructions to the self-regulatory body to correct the failure to exercise the functions provided for in Article 44 of this law, or to fulfill the requirements of point 6 of that Article, or to prevent any such case of non-fulfillment.</w:t>
      </w:r>
    </w:p>
    <w:p w:rsidR="00C94E5D" w:rsidRPr="007647A8" w:rsidRDefault="00AE3717" w:rsidP="002A39C9">
      <w:pPr>
        <w:widowControl w:val="0"/>
        <w:spacing w:after="0"/>
        <w:ind w:left="0" w:firstLine="567"/>
        <w:rPr>
          <w:rFonts w:ascii="Times New Roman" w:hAnsi="Times New Roman" w:cs="Times New Roman"/>
          <w:sz w:val="24"/>
          <w:szCs w:val="24"/>
        </w:rPr>
      </w:pPr>
      <w:r>
        <w:rPr>
          <w:rFonts w:ascii="Times New Roman" w:hAnsi="Times New Roman" w:cs="Times New Roman"/>
          <w:sz w:val="24"/>
          <w:szCs w:val="24"/>
        </w:rPr>
        <w:t>The public authority, when issuing guidelines for a self-regulatory body, in accordance with letter “b” of this article, shall take into consideration any relevant guideline issued by it, or that has been issued by AMLA.</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The public authority that supervises the self-regulatory bodies performs its functions independently and under conditions that guarantee the objectivity and impartiality of its decision-making.</w:t>
      </w:r>
    </w:p>
    <w:p w:rsidR="00EF37C7" w:rsidRPr="007647A8" w:rsidRDefault="002C174C"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employees of the public authority that supervises the self-regulatory bodies are subject to requirements for maintaining professional secrecy equivalent to those provided for in Article 80 of this law. These employees must maintain high professional standards, including confidentiality and data protection, and be of high integrity. </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public authority that supervises self-regulatory bodies must approve and implement procedures for the prevention and management of conflicts of interest.</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In the event of non-compliance by self-regulatory bodies with the requirements, instructions or measures taken by the public authority in accordance with points 2 and 3 of this article, the relevant sectoral legislation shall provide for effective, proportionate and dissuasive administrative measures or fines.</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public authority supervising self-regulatory bodies immediately informs the competent authorities for the investigation and prosecutions of offences of criminal activities, directly or through the responsible authority, of any violations that constitute a criminal offence and that are established during the exercise of its duties.</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The public authority that supervises self-regulatory bodies shall publish an annual report containing information relating to:</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number and nature of the violations identified by each self-regulatory body, as well as the fines imposed or administrative measures applied to obliged entities;</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number of suspicious transaction reports, reported to the responsible authority by the obliged entities supervised by each self-regulatory body, regardless of whether they were reported directly in accordance with Article 132 point 1, or were reported by each self-regulatory body to the responsible authority, in accordance with Article 133 point 1 of this law;</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c) the number and description of fines, periodic penalty payments and administrative measures imposed pursuant to Section 4 of this Chapter by each self-regulatory body to ensure the compliance of obliged entities with the provisions of Part II of this law and provided for in Article 65, point 1 of this law; </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the number and description of the measures taken by the public authority that supervises the self-regulatory bodies in implementation of this Article, as well as the number of instructions issued to the self-regulatory bodies.</w:t>
      </w:r>
    </w:p>
    <w:p w:rsidR="00C4546C" w:rsidRPr="007647A8" w:rsidRDefault="00C94E5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report provided for in this point shall be published on the official website of the public authority that supervises self-regulatory bodies.</w:t>
      </w:r>
    </w:p>
    <w:p w:rsidR="005A6E96" w:rsidRPr="007647A8" w:rsidRDefault="005A6E96" w:rsidP="002A39C9">
      <w:pPr>
        <w:widowControl w:val="0"/>
        <w:spacing w:after="0"/>
        <w:ind w:left="0" w:firstLine="567"/>
        <w:rPr>
          <w:rFonts w:ascii="Times New Roman" w:hAnsi="Times New Roman" w:cs="Times New Roman"/>
          <w:sz w:val="24"/>
          <w:szCs w:val="24"/>
        </w:rPr>
      </w:pPr>
    </w:p>
    <w:p w:rsidR="00A3544B" w:rsidRPr="007647A8" w:rsidRDefault="00A3544B" w:rsidP="002A39C9">
      <w:pPr>
        <w:widowControl w:val="0"/>
        <w:spacing w:after="0"/>
        <w:ind w:left="0" w:firstLine="567"/>
        <w:rPr>
          <w:rFonts w:ascii="Times New Roman" w:hAnsi="Times New Roman" w:cs="Times New Roman"/>
          <w:sz w:val="24"/>
          <w:szCs w:val="24"/>
        </w:rPr>
      </w:pPr>
    </w:p>
    <w:p w:rsidR="00A3544B" w:rsidRPr="007647A8" w:rsidRDefault="0063131D"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Section 4</w:t>
      </w:r>
    </w:p>
    <w:p w:rsidR="00A3544B" w:rsidRPr="007647A8" w:rsidRDefault="00645270"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Administrative misdemeanours</w:t>
      </w:r>
    </w:p>
    <w:p w:rsidR="00A3544B" w:rsidRPr="007647A8" w:rsidRDefault="00A3544B" w:rsidP="002A39C9">
      <w:pPr>
        <w:widowControl w:val="0"/>
        <w:spacing w:after="0"/>
        <w:ind w:left="0" w:firstLine="567"/>
        <w:jc w:val="center"/>
        <w:rPr>
          <w:rFonts w:ascii="Times New Roman" w:hAnsi="Times New Roman" w:cs="Times New Roman"/>
          <w:sz w:val="24"/>
          <w:szCs w:val="24"/>
        </w:rPr>
      </w:pPr>
    </w:p>
    <w:p w:rsidR="00A3544B" w:rsidRPr="007647A8" w:rsidRDefault="00CE2425"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61</w:t>
      </w:r>
    </w:p>
    <w:p w:rsidR="00A3544B" w:rsidRPr="007647A8" w:rsidRDefault="00A3544B"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General provisions</w:t>
      </w:r>
    </w:p>
    <w:p w:rsidR="00A431CE" w:rsidRPr="007647A8" w:rsidRDefault="00A431CE" w:rsidP="002A39C9">
      <w:pPr>
        <w:widowControl w:val="0"/>
        <w:spacing w:after="0"/>
        <w:ind w:left="0" w:firstLine="567"/>
        <w:rPr>
          <w:rFonts w:ascii="Times New Roman" w:hAnsi="Times New Roman" w:cs="Times New Roman"/>
          <w:sz w:val="24"/>
          <w:szCs w:val="24"/>
        </w:rPr>
      </w:pP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Obliged entities are liable for violations of the provisions of Part II and Part III of this law.</w:t>
      </w:r>
    </w:p>
    <w:p w:rsidR="00EB54F9"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In cases where violations of the provisions of Part II and Part III of this law do not constitute a criminal offence, they constitute administrative contraventions and the supervisory authorities impose one or several administrative measures or fines on the obliged entities and ensure their enforcement.</w:t>
      </w:r>
    </w:p>
    <w:p w:rsidR="00EB54F9" w:rsidRPr="007647A8" w:rsidRDefault="00EB54F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fines and administrative measures imposed under this Article shall be effective, proportionate and have a deterrent effect.</w:t>
      </w:r>
    </w:p>
    <w:p w:rsidR="00FC7D2E" w:rsidRPr="007647A8" w:rsidRDefault="00AE682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In the event of violations of the provisions provided for in Part II and in Part III of this law, when the obligations apply to obliged entities that have the form of a legal person, fines and administrative measures may be imposed not only on the legal person, but also on senior management, as well as on other natural persons who, according to the legislation in force, bear responsibility for the violation.</w:t>
      </w:r>
    </w:p>
    <w:p w:rsidR="00FC7D2E" w:rsidRPr="007647A8" w:rsidRDefault="00076A8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Supervisory authorities, when they ascertain violations that constitute a criminal offence under the legislation in force, shall inform without delay the competent authorities for investigation and prosecutions of offences.</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In accordance with Part I of this law and with the sectoral legislation in force, fines and administrative measures are imposed according to one or more of the following methods:</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directly by the supervisory authorities;</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in cooperation between supervisory authorities and other authorities;</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under the responsibility of the supervisory authorities, through the delegation of the exercise of powers to other authorities;</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at the request of the supervisory authority addressed to the competent court for the imposition of the fine or administrative measures, where this is provided for by the relevant legislation in force.</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The supervisory authorities, when determining the type and level of the fines or administrative measures, take into consideration all relevant circumstances, including, where applicable:</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the seriousness and duration of the infringement;</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number of cases of repetition of the violation;</w:t>
      </w:r>
    </w:p>
    <w:p w:rsidR="00FC7D2E" w:rsidRPr="007647A8" w:rsidRDefault="00C3760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degree of responsibility of the natural or legal person responsible for the infringement;</w:t>
      </w:r>
    </w:p>
    <w:p w:rsidR="00FC7D2E" w:rsidRPr="007647A8" w:rsidRDefault="009E4A4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the financial situation of the natural or legal person responsible for the infringement, including its total turnover or annual income;</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the proceeds realised by the natural or legal person as a result of the infringement, to the extent that they can be determined;</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the damage caused to third parties by the infringement, to the extent that it can be determined;</w:t>
      </w:r>
    </w:p>
    <w:p w:rsidR="00FC7D2E"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the level of cooperation, of the natural or legal person responsible for the infringement, with the supervisory authority;</w:t>
      </w:r>
    </w:p>
    <w:p w:rsidR="007227E5" w:rsidRPr="007647A8" w:rsidRDefault="00A3544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previous violations committed by the natural or legal person responsible for the violation.</w:t>
      </w:r>
    </w:p>
    <w:p w:rsidR="007227E5" w:rsidRPr="007647A8" w:rsidRDefault="00B3381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In the exercise of the powers for imposing fines and administrative measures, the supervisory authorities cooperate closely and, when necessary, coordinate their actions with other authorities as appropriate, with the aim of ensuring that the imposition of fines and administrative measures produces the desired results and coordinate their actions also in cross-border cases.</w:t>
      </w:r>
    </w:p>
    <w:p w:rsidR="00E91605" w:rsidRPr="007647A8" w:rsidRDefault="00B3381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8. The Council of Ministers, upon the proposal of the minister responsible for finance, based on the acts drafted by AMLA and approved by the European Commission, shall issue by decision, within six months from the entry into force of this law, the regulatory technical standards, which determine:</w:t>
      </w:r>
    </w:p>
    <w:p w:rsidR="00E91605" w:rsidRPr="007647A8" w:rsidRDefault="00E9160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indicators for the classification of the level of seriousness of violations;</w:t>
      </w:r>
    </w:p>
    <w:p w:rsidR="00E91605" w:rsidRPr="007647A8" w:rsidRDefault="00E9160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the criteria that must be taken into consideration during the determination of the level of fines or the application of administrative measures in accordance with this Section;</w:t>
      </w:r>
    </w:p>
    <w:p w:rsidR="00E91605" w:rsidRPr="007647A8" w:rsidRDefault="00E91605"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methodology for imposing periodic fines in accordance with Article 68 of this law, including their frequency.</w:t>
      </w:r>
    </w:p>
    <w:p w:rsidR="00E91605" w:rsidRPr="007647A8" w:rsidRDefault="00B3381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9. The Minister of Finance, upon the proposal of the responsible authority, based on the acts adopted by AMLA, issues within six months from the entry into force of this law, an instruction for determining the basic amounts for the imposition of fines, in relation to the annual taxable turnover, divided according to the type of violation and the category of obliged entities.</w:t>
      </w:r>
    </w:p>
    <w:p w:rsidR="00E91605" w:rsidRPr="007647A8" w:rsidRDefault="00E91605" w:rsidP="002A39C9">
      <w:pPr>
        <w:widowControl w:val="0"/>
        <w:spacing w:after="0"/>
        <w:rPr>
          <w:rFonts w:ascii="Times New Roman" w:hAnsi="Times New Roman" w:cs="Times New Roman"/>
          <w:sz w:val="24"/>
          <w:szCs w:val="24"/>
        </w:rPr>
      </w:pPr>
    </w:p>
    <w:p w:rsidR="00A311EF" w:rsidRPr="007647A8" w:rsidRDefault="00CE2425" w:rsidP="002A39C9">
      <w:pPr>
        <w:spacing w:after="0"/>
        <w:ind w:left="0" w:firstLine="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Article 62</w:t>
      </w:r>
    </w:p>
    <w:p w:rsidR="00A311EF" w:rsidRPr="007647A8" w:rsidRDefault="00A311EF" w:rsidP="002A39C9">
      <w:pPr>
        <w:spacing w:after="0"/>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Liability of the legal person</w:t>
      </w:r>
    </w:p>
    <w:p w:rsidR="00A311EF" w:rsidRPr="007647A8" w:rsidRDefault="00A311EF" w:rsidP="002A39C9">
      <w:pPr>
        <w:spacing w:after="0"/>
        <w:ind w:left="0" w:firstLine="0"/>
        <w:jc w:val="left"/>
        <w:rPr>
          <w:rFonts w:ascii="Times New Roman" w:eastAsia="Times New Roman" w:hAnsi="Times New Roman" w:cs="Times New Roman"/>
          <w:sz w:val="24"/>
          <w:szCs w:val="24"/>
        </w:rPr>
      </w:pPr>
    </w:p>
    <w:p w:rsidR="009E2901" w:rsidRPr="007647A8" w:rsidRDefault="00A311EF" w:rsidP="002A39C9">
      <w:pPr>
        <w:spacing w:after="0"/>
        <w:ind w:left="0" w:firstLine="720"/>
        <w:rPr>
          <w:rFonts w:ascii="Times New Roman" w:hAnsi="Times New Roman" w:cs="Times New Roman"/>
          <w:sz w:val="24"/>
          <w:szCs w:val="24"/>
        </w:rPr>
      </w:pPr>
      <w:r>
        <w:rPr>
          <w:rFonts w:ascii="Times New Roman" w:eastAsia="Times New Roman" w:hAnsi="Times New Roman" w:cs="Times New Roman"/>
          <w:sz w:val="24"/>
          <w:szCs w:val="24"/>
        </w:rPr>
        <w:t>1. The legal person bears administrative liability for violations of the provisions of Part II and Part III of this law, when these violations are committed in its name or for its benefit by any person, who acts individually or as part of a body of the legal person and exercises managerial functions in this legal person, based on one of the following criteria:</w:t>
      </w:r>
    </w:p>
    <w:p w:rsidR="009E2901" w:rsidRPr="007647A8" w:rsidRDefault="009E290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has the authority to represent the legal person;</w:t>
      </w:r>
    </w:p>
    <w:p w:rsidR="009E2901" w:rsidRPr="007647A8" w:rsidRDefault="009E2901"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has the authority to make decisions on behalf of the legal person;</w:t>
      </w:r>
    </w:p>
    <w:p w:rsidR="009E2901" w:rsidRPr="007647A8" w:rsidRDefault="009E2901" w:rsidP="002A39C9">
      <w:pPr>
        <w:spacing w:after="0"/>
        <w:ind w:left="0" w:firstLine="720"/>
        <w:rPr>
          <w:rFonts w:ascii="Times New Roman" w:eastAsia="Times New Roman" w:hAnsi="Times New Roman" w:cs="Times New Roman"/>
          <w:sz w:val="24"/>
          <w:szCs w:val="24"/>
        </w:rPr>
      </w:pPr>
      <w:r>
        <w:rPr>
          <w:rFonts w:ascii="Times New Roman" w:hAnsi="Times New Roman" w:cs="Times New Roman"/>
          <w:sz w:val="24"/>
          <w:szCs w:val="24"/>
        </w:rPr>
        <w:t>c) has the competence to exercise control within the legal person;</w:t>
      </w:r>
    </w:p>
    <w:p w:rsidR="00A311EF" w:rsidRPr="007647A8" w:rsidRDefault="00A311EF"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The legal person shall also be liable when the lack of supervision or control by a person, according to point 1 of this article, has led to the commission of violations of the provisions of Part II and Part III of this law, by a person under its authority in the name or for the benefit of the legal person.</w:t>
      </w:r>
    </w:p>
    <w:p w:rsidR="00A311EF" w:rsidRPr="007647A8" w:rsidRDefault="00A311EF"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 The administrative liability of the legal person under this law does not exclude the individual liability of natural persons and is exercised without prejudice to the application of the criminal legislation in force on the liability of legal persons.</w:t>
      </w:r>
    </w:p>
    <w:p w:rsidR="00A02F96" w:rsidRPr="007647A8" w:rsidRDefault="00A02F96" w:rsidP="002A39C9">
      <w:pPr>
        <w:spacing w:after="0"/>
        <w:ind w:left="0" w:firstLine="720"/>
        <w:rPr>
          <w:rFonts w:ascii="Times New Roman" w:eastAsia="Times New Roman" w:hAnsi="Times New Roman" w:cs="Times New Roman"/>
          <w:sz w:val="24"/>
          <w:szCs w:val="24"/>
        </w:rPr>
      </w:pPr>
    </w:p>
    <w:p w:rsidR="00A311EF" w:rsidRPr="007647A8" w:rsidRDefault="00A311EF" w:rsidP="002A39C9">
      <w:pPr>
        <w:pStyle w:val="NormalWeb"/>
        <w:spacing w:before="0" w:beforeAutospacing="0" w:after="0" w:afterAutospacing="0" w:line="276" w:lineRule="auto"/>
        <w:jc w:val="center"/>
        <w:rPr>
          <w:rFonts w:hAnsi="Symbol"/>
        </w:rPr>
      </w:pPr>
      <w:r>
        <w:rPr>
          <w:rStyle w:val="Strong"/>
          <w:b w:val="0"/>
        </w:rPr>
        <w:t>Article 63</w:t>
      </w:r>
      <w:r w:rsidRPr="007647A8">
        <w:br/>
      </w:r>
      <w:r>
        <w:rPr>
          <w:rStyle w:val="Strong"/>
        </w:rPr>
        <w:t>Interinstitutional coordination</w:t>
      </w:r>
    </w:p>
    <w:p w:rsidR="00A311EF" w:rsidRPr="007647A8" w:rsidRDefault="00A311EF" w:rsidP="002A39C9">
      <w:pPr>
        <w:pStyle w:val="NormalWeb"/>
        <w:spacing w:before="0" w:beforeAutospacing="0" w:after="0" w:afterAutospacing="0" w:line="276" w:lineRule="auto"/>
      </w:pPr>
    </w:p>
    <w:p w:rsidR="00A311EF" w:rsidRPr="007647A8" w:rsidRDefault="00A311EF" w:rsidP="002A39C9">
      <w:pPr>
        <w:pStyle w:val="NormalWeb"/>
        <w:spacing w:before="0" w:beforeAutospacing="0" w:after="0" w:afterAutospacing="0" w:line="276" w:lineRule="auto"/>
        <w:ind w:firstLine="720"/>
        <w:jc w:val="both"/>
      </w:pPr>
      <w:r>
        <w:t>1. In the exercise of the powers to impose fines and administrative measures, supervisors cooperate closely and, where necessary, coordinate their actions with other competent authorities, as appropriate, in order to ensure that those fines or administrative measures produce the proper and effective results.</w:t>
      </w:r>
    </w:p>
    <w:p w:rsidR="00A311EF" w:rsidRPr="007647A8" w:rsidRDefault="00A311EF" w:rsidP="002A39C9">
      <w:pPr>
        <w:pStyle w:val="NormalWeb"/>
        <w:spacing w:before="0" w:beforeAutospacing="0" w:after="0" w:afterAutospacing="0" w:line="276" w:lineRule="auto"/>
        <w:ind w:firstLine="720"/>
        <w:jc w:val="both"/>
      </w:pPr>
      <w:r>
        <w:t>2. When fines and administrative measures include cross-border elements, the supervisors coordinate actions with the counterpart authorities, in accordance with the provisions of this law.</w:t>
      </w:r>
    </w:p>
    <w:p w:rsidR="00A311EF" w:rsidRPr="007647A8" w:rsidRDefault="00A311EF" w:rsidP="002A39C9">
      <w:pPr>
        <w:widowControl w:val="0"/>
        <w:spacing w:after="0"/>
        <w:rPr>
          <w:rFonts w:ascii="Times New Roman" w:hAnsi="Times New Roman" w:cs="Times New Roman"/>
          <w:sz w:val="24"/>
          <w:szCs w:val="24"/>
        </w:rPr>
      </w:pPr>
    </w:p>
    <w:p w:rsidR="00AD47BD" w:rsidRPr="007647A8" w:rsidRDefault="00CE2425"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Article 64</w:t>
      </w:r>
    </w:p>
    <w:p w:rsidR="00060921" w:rsidRPr="007647A8" w:rsidRDefault="00A1564E" w:rsidP="002A39C9">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Supervisory measures against branches of obliged entities and against certain activities exercised on the basis of the freedom to provide services</w:t>
      </w:r>
    </w:p>
    <w:p w:rsidR="00AD47BD" w:rsidRPr="007647A8" w:rsidRDefault="00AD47BD" w:rsidP="002A39C9">
      <w:pPr>
        <w:widowControl w:val="0"/>
        <w:spacing w:after="0"/>
        <w:jc w:val="center"/>
        <w:rPr>
          <w:rFonts w:ascii="Times New Roman" w:hAnsi="Times New Roman" w:cs="Times New Roman"/>
          <w:sz w:val="24"/>
          <w:szCs w:val="24"/>
        </w:rPr>
      </w:pP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In the case of branches or other forms of presence of obliged entities, which do not qualify as credit institutions or financial institutions, as well as certain types of exercise of the activity of obliged entities over which the supervisory authority of the host Member State exercises supervision in accordance with Article 45 of this law, points 2 to 5 of this Article shall apply.</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When the supervisory authority of the host Member State finds breaches of legal obligations by an obliged entity that carries out activity in the territory of the Republic of Albania through a branch, another form of presence referred to in point 1 of this article, it requires the obliged entity to take the necessary measures for the fulfilment of legal obligations and informs the supervisory authority of the home Member State of the breaches found in relation to the obliged entity, as well as of the request addressed to it for the fulfilment of legal obligations.</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If the obliged entity does not take the necessary measures to fulfil the legal obligations, the supervisory authority of the host Member State informs the supervisory authority of the home Member State of this fact.</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supervisory authority of the home Member State acts without delay and takes all appropriate measures to ensure that the obliged entity remedies the breaches identified in its branch, other form of presence or infrastructure in the host Member State.</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supervisory authority of the home Member State shall inform the supervisory authority of the host Member State of the measures taken in implementation of this point.</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By way of exception from point 3 of this Article, in cases of serious, repeated or systematic breaches by obliged entities that carry out activity through other forms of presence referred to in point 1 of this Article, which require immediate corrective measures, the supervisory authority of the host Member State may, on its own initiative, take appropriate and proportionate measures to address these breaches.</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These measures are temporary in nature and are discontinued as soon as the identified violations have been corrected, including cases where the correction is carried out with the assistance or in cooperation with the supervisory authority of the Member State of origin of the obliged entity.</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supervisory authority of the host Member State shall immediately inform the supervisory authority of the Member State of origin of the obliged entity as soon as it identifies serious, repeated or systematic breaches, as well as of any measure taken in accordance with the paragraph above, except where the measures are taken in cooperation with the supervisory authority of the State of origin.</w:t>
      </w:r>
    </w:p>
    <w:p w:rsidR="007227E5" w:rsidRPr="007647A8" w:rsidRDefault="00AD47B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In the event that the supervisory authority of the home Member State and the supervisory authority of the host Member State do not agree on the measures that should be taken against an obliged entity, they may refer the matter to AMLA in accordance with the relevant European Union sectoral legislation.</w:t>
      </w:r>
    </w:p>
    <w:p w:rsidR="001547FE" w:rsidRPr="007647A8" w:rsidRDefault="001547F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This Article applies in the same way when the supervisory authorities exercise the powers of the home State supervisor or of the host State supervisor, within the framework of cooperation with Member States or with third countries, in accordance with the provisions permitted by this law.</w:t>
      </w:r>
    </w:p>
    <w:p w:rsidR="003E264D" w:rsidRPr="007647A8" w:rsidRDefault="003E264D" w:rsidP="002A39C9">
      <w:pPr>
        <w:widowControl w:val="0"/>
        <w:spacing w:after="0"/>
        <w:jc w:val="center"/>
        <w:rPr>
          <w:rFonts w:ascii="Times New Roman" w:hAnsi="Times New Roman" w:cs="Times New Roman"/>
          <w:sz w:val="24"/>
          <w:szCs w:val="24"/>
        </w:rPr>
      </w:pPr>
    </w:p>
    <w:p w:rsidR="00602E47" w:rsidRPr="007647A8" w:rsidRDefault="00CE2425"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Article 65</w:t>
      </w:r>
    </w:p>
    <w:p w:rsidR="00602E47" w:rsidRPr="007647A8" w:rsidRDefault="000F78CF" w:rsidP="002A39C9">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Fines</w:t>
      </w:r>
    </w:p>
    <w:p w:rsidR="00602E47" w:rsidRPr="007647A8" w:rsidRDefault="00602E47" w:rsidP="002A39C9">
      <w:pPr>
        <w:widowControl w:val="0"/>
        <w:spacing w:after="0"/>
        <w:jc w:val="center"/>
        <w:rPr>
          <w:rFonts w:ascii="Times New Roman" w:hAnsi="Times New Roman" w:cs="Times New Roman"/>
          <w:b/>
          <w:sz w:val="24"/>
          <w:szCs w:val="24"/>
        </w:rPr>
      </w:pPr>
    </w:p>
    <w:p w:rsidR="007227E5" w:rsidRPr="007647A8" w:rsidRDefault="00602E47"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Supervisory authorities impose fines on obliged entities for serious, repeated or systematic breaches, committed intentionally or through negligence, of the obligations laid down in the provisions of Part II of the law, as follows:</w:t>
      </w:r>
    </w:p>
    <w:p w:rsidR="00D64054" w:rsidRPr="007647A8" w:rsidRDefault="00D6405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for cases where the obligations relating to measures for policies, procedures and internal controls, laid down in Chapter II, Articles 91 to 100 of this law, are not complied with, the entities shall be fined from 100 000 (one hundred thousand) lek to 6 000 000 (six million) lek;</w:t>
      </w:r>
    </w:p>
    <w:p w:rsidR="00D64054" w:rsidRPr="007647A8" w:rsidRDefault="00D6405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for cases when the obligations in relation to the measures for customer due diligence, set out in Chapter III, Articles 101 to Article 131 of this law, are not complied with, the entities are fined from 200 000 (two hundred thousand) lek to 10 000 000 (ten million) lek;</w:t>
      </w:r>
    </w:p>
    <w:p w:rsidR="00D76802" w:rsidRPr="007647A8" w:rsidRDefault="00D76802"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for cases where the obligations in relation to the reporting obligation, laid down in Chapter IV, Articles 132 to 137 of this law, are not complied with, the entities shall be fined from 300 000 (three hundred thousand) lek to 10 000 000 (ten million) lek;</w:t>
      </w:r>
    </w:p>
    <w:p w:rsidR="00507358" w:rsidRPr="007647A8" w:rsidRDefault="00EB66C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for cases when the obligations in relation to the implementation of the measures for the retention of data, defined in Article 140 of this law, are not applied, the entities are fined from 100 000 (one hundred thousand) lek to 8 000 000 (eight million) lek;</w:t>
      </w:r>
    </w:p>
    <w:p w:rsidR="0096705E" w:rsidRPr="007647A8" w:rsidRDefault="0096705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for cases when the obligations in relation to the reporting obligation, set out in Article 143, point 4 of this law, are not implemented, the entities are fined from 300 000 (three hundred thousand) lek to 10 000 000 (ten million) lek</w:t>
      </w:r>
    </w:p>
    <w:p w:rsidR="003E264D" w:rsidRPr="007647A8" w:rsidRDefault="0093177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f) in cases where the orders, requests and deadlines notified by the responsible authority pursuant to Articles 18, 26 and 27 of this law and the supervisory authorities in implementation of the provisions of this law are not complied with, the responsible persons and/or the obliged entities shall be fined from 100 000 (one hundred thousand) lek to 20 000 000 (twenty million) lek;</w:t>
      </w:r>
    </w:p>
    <w:p w:rsidR="003E264D" w:rsidRPr="007647A8" w:rsidRDefault="0093177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g) for cases where the administrative measures imposed by the supervisors in accordance with Article 67 have not been implemented, as well as for violations that are not qualified as serious, repeated or systematic, the entities are fined from 100 000 (one hundred thousand) lek to 6 000 000 (six million) lek;</w:t>
      </w:r>
    </w:p>
    <w:p w:rsidR="003E264D" w:rsidRPr="007647A8" w:rsidRDefault="003E264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j) for cases when obliged entities do not register in the electronic reporting system administered by the authority responsible in order to fulfill the obligations set out in this law, the entities are fined from 100 000 (one hundred thousand) lek up to 1 000 000 (one million) lek.</w:t>
      </w:r>
    </w:p>
    <w:p w:rsidR="003E264D" w:rsidRPr="007647A8" w:rsidRDefault="0093177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except as provided in the points above, when the subject is a legal person and the administrative contravention has been committed:</w:t>
      </w:r>
    </w:p>
    <w:p w:rsidR="003E264D" w:rsidRPr="007647A8" w:rsidRDefault="003E264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 by an employee not at senior level and/or administration, or agent, the person or agent who has committed the violation is fined from 20 000 (twenty thousand) lek up to 300 000 (three hundred thousand) lek;</w:t>
      </w:r>
    </w:p>
    <w:p w:rsidR="003E264D" w:rsidRPr="007647A8" w:rsidRDefault="003E264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ii. by an administrator or manager of the entity, the person who committed the violation is fined from 40 000 (forty thousand) lek to 4 000 000 (four million) lek.</w:t>
      </w:r>
    </w:p>
    <w:p w:rsidR="00937219" w:rsidRPr="007647A8" w:rsidRDefault="00937219"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supervisory authorities impose fines on obliged entities for serious, repeated or systematic breaches, committed intentionally or through negligence, of the obligations laid down in Part III of the law, as follows:</w:t>
      </w:r>
    </w:p>
    <w:p w:rsidR="00D43251" w:rsidRPr="007647A8" w:rsidRDefault="00D43251"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a) repeated or systematic failure, by a payment service provider to accompany transfers of funds with the required information on the payer or payee, in violation of Article 151, 152 or 153 of this part, or by a crypto-asset service provider to accompany transfers of crypto-assets with the required information on the originator and beneficiary, in violation of Article 161 or 162, from 200 000 (two hundred thousand) lekë up to 10 000 000 (ten million) lekë;</w:t>
      </w:r>
    </w:p>
    <w:p w:rsidR="00D43251" w:rsidRPr="007647A8" w:rsidRDefault="00D43251"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b) repeated, systematic or serious failure by a payment service provider or crypto-asset service provider to retain data, in violation of Article 176, from 200 000 (two hundred thousand) lek to 10 000 000 (ten million) lek;</w:t>
      </w:r>
    </w:p>
    <w:p w:rsidR="00D43251" w:rsidRPr="007647A8" w:rsidRDefault="00D43251"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c) failure by a payment service provider to implement effective risk-based procedures, in violation of Article 155 or 158, or by a crypto-asset service provider to implement effective risk-based procedures, in violation of Article 165, from 200 000 (two hundred thousand) lek to 10 000 000 (ten million) lek;</w:t>
      </w:r>
    </w:p>
    <w:p w:rsidR="00D43251" w:rsidRPr="007647A8" w:rsidRDefault="00D43251" w:rsidP="002A39C9">
      <w:pPr>
        <w:spacing w:after="0"/>
        <w:ind w:left="0" w:firstLine="720"/>
        <w:rPr>
          <w:rFonts w:ascii="Times New Roman" w:eastAsia="Calibri" w:hAnsi="Times New Roman" w:cs="Times New Roman"/>
          <w:i/>
          <w:iCs/>
          <w:sz w:val="24"/>
          <w:szCs w:val="24"/>
        </w:rPr>
      </w:pPr>
      <w:r>
        <w:rPr>
          <w:rFonts w:ascii="Times New Roman" w:eastAsia="Calibri" w:hAnsi="Times New Roman" w:cs="Times New Roman"/>
          <w:sz w:val="24"/>
          <w:szCs w:val="24"/>
        </w:rPr>
        <w:t>d) serious failure by an intermediary payment service provider to implement Article 158 or 159 or by an intermediary crypto-asset service provider to implement Article 166, 167 or 168, from 200 000 (two hundred thousand) lekë up to 10 000 000 (ten million) lekë.</w:t>
      </w:r>
    </w:p>
    <w:p w:rsidR="00FD7E5B" w:rsidRPr="007647A8" w:rsidRDefault="00EA7F8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For the cases provided for in points 1 and 2 of this Article, the supervisory authorities may impose a maximum fine of at least twice the amount of the benefit obtained from the infringement, where that benefit can be determined, or not less than 100 000 000 (one hundred million) lek, whichever is higher.</w:t>
      </w:r>
    </w:p>
    <w:p w:rsidR="00784B33" w:rsidRPr="007647A8" w:rsidRDefault="00B1009F" w:rsidP="002A39C9">
      <w:pPr>
        <w:widowControl w:val="0"/>
        <w:spacing w:after="0"/>
        <w:ind w:left="0" w:firstLine="720"/>
        <w:rPr>
          <w:rFonts w:ascii="Times New Roman" w:hAnsi="Times New Roman" w:cs="Times New Roman"/>
          <w:sz w:val="24"/>
          <w:szCs w:val="24"/>
        </w:rPr>
      </w:pPr>
      <w:r>
        <w:rPr>
          <w:rFonts w:ascii="Times New Roman" w:eastAsia="MS Mincho" w:hAnsi="Times New Roman" w:cs="Times New Roman"/>
          <w:sz w:val="24"/>
          <w:szCs w:val="24"/>
        </w:rPr>
        <w:t>4. By way of exception to what is provided for in point 3 of this Article, when the obliged entity is a credit institution or financial institution, the following fines may also be imposed:</w:t>
      </w:r>
    </w:p>
    <w:p w:rsidR="00641B0D" w:rsidRPr="007647A8" w:rsidRDefault="003E264D" w:rsidP="002A39C9">
      <w:pPr>
        <w:widowControl w:val="0"/>
        <w:spacing w:after="0"/>
        <w:ind w:left="0" w:firstLine="720"/>
        <w:rPr>
          <w:rFonts w:ascii="Times New Roman" w:hAnsi="Times New Roman" w:cs="Times New Roman"/>
          <w:sz w:val="24"/>
          <w:szCs w:val="24"/>
        </w:rPr>
      </w:pPr>
      <w:r>
        <w:rPr>
          <w:rFonts w:ascii="Times New Roman" w:eastAsia="Times New Roman" w:hAnsi="Times New Roman" w:cs="Times New Roman"/>
          <w:sz w:val="24"/>
          <w:szCs w:val="24"/>
        </w:rPr>
        <w:t xml:space="preserve">i. in the case of a legal person, a maximum fine in an amount not less than 1 000 000 000 (one billion) lek, or 10 % of the total annual turnover according to the latest financial statements approved by the governing body, whichever is higher; </w:t>
      </w:r>
    </w:p>
    <w:p w:rsidR="00784B33" w:rsidRPr="007647A8" w:rsidRDefault="00641B0D" w:rsidP="002A39C9">
      <w:pPr>
        <w:widowControl w:val="0"/>
        <w:spacing w:after="0"/>
        <w:ind w:left="0" w:firstLine="720"/>
        <w:rPr>
          <w:rFonts w:ascii="Times New Roman" w:hAnsi="Times New Roman" w:cs="Times New Roman"/>
          <w:sz w:val="24"/>
          <w:szCs w:val="24"/>
        </w:rPr>
      </w:pPr>
      <w:r>
        <w:rPr>
          <w:rFonts w:ascii="Times New Roman" w:eastAsia="Times New Roman" w:hAnsi="Times New Roman" w:cs="Times New Roman"/>
          <w:sz w:val="24"/>
          <w:szCs w:val="24"/>
        </w:rPr>
        <w:t>when the obliged entity is a parent undertaking or a branch of a parent undertaking that is required to prepare consolidated financial statements in accordance with the legislation in force on accounting and financial reporting, the relevant total annual turnover is the total annual turnover or the relevant type of income in accordance with the applicable accounting regime based on the latest available consolidated financial statements, approved by the management body of the ultimate parent undertaking.</w:t>
      </w:r>
    </w:p>
    <w:p w:rsidR="00784B33" w:rsidRPr="007647A8" w:rsidRDefault="00784B3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ii. in the case of a natural person, a maximum fine in an amount not less than 500 000 000 (five hundred million) lek.</w:t>
      </w:r>
    </w:p>
    <w:p w:rsidR="00784B33" w:rsidRPr="007647A8" w:rsidRDefault="00B1009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Supervisory authorities may impose fines exceeding the amounts referred to in points 3 and 4 of this Article.</w:t>
      </w:r>
    </w:p>
    <w:p w:rsidR="005C48CD" w:rsidRPr="007647A8" w:rsidRDefault="00B1009F"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6. In determining the fine, the supervisory authority takes into consideration the paying capacity of the obliged entity and where the fine may affect compliance with the prudential supervision rules, the supervisors consult the competent authorities before imposing it.</w:t>
      </w:r>
    </w:p>
    <w:p w:rsidR="002C66DF" w:rsidRPr="007647A8" w:rsidRDefault="002C66DF" w:rsidP="002A39C9">
      <w:pPr>
        <w:widowControl w:val="0"/>
        <w:spacing w:after="0"/>
        <w:ind w:left="0" w:firstLine="720"/>
        <w:rPr>
          <w:rFonts w:ascii="Times New Roman" w:hAnsi="Times New Roman" w:cs="Times New Roman"/>
          <w:sz w:val="24"/>
          <w:szCs w:val="24"/>
        </w:rPr>
      </w:pPr>
    </w:p>
    <w:p w:rsidR="00480A48" w:rsidRPr="007647A8" w:rsidRDefault="00DD6B6B"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66</w:t>
      </w:r>
    </w:p>
    <w:p w:rsidR="00480A48" w:rsidRPr="007647A8" w:rsidRDefault="00480A48"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Measures for denial of access or obstruction of the functions of the Financial Intelligence Agency</w:t>
      </w:r>
    </w:p>
    <w:p w:rsidR="00480A48" w:rsidRPr="007647A8" w:rsidRDefault="00480A48" w:rsidP="002A39C9">
      <w:pPr>
        <w:widowControl w:val="0"/>
        <w:spacing w:after="0"/>
        <w:ind w:left="0" w:firstLine="0"/>
        <w:jc w:val="center"/>
        <w:rPr>
          <w:rFonts w:ascii="Times New Roman" w:hAnsi="Times New Roman" w:cs="Times New Roman"/>
          <w:b/>
          <w:sz w:val="24"/>
          <w:szCs w:val="24"/>
        </w:rPr>
      </w:pPr>
    </w:p>
    <w:p w:rsidR="00480A48" w:rsidRPr="007647A8" w:rsidRDefault="00480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Violations by obliged entities related to failure to report, failure to provide information, failure to comply with the deadlines required by the Financial Intelligence Agency or failure to implement its orders shall be dealt with in accordance with Article 65 and Article 67 of this law.</w:t>
      </w:r>
    </w:p>
    <w:p w:rsidR="00480A48" w:rsidRPr="007647A8" w:rsidRDefault="00480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When a public authority, public or private legal person, or any other entity that is not an obliged entity, but administers information necessary for the Financial Intelligence Agency, without a reason expressly provided by law, does not provide access, provides partial, delayed, inaccurate or filtered access, does not send the requested documentation, or does not comply with the deadlines set by the Agency without reasonable grounds, it shall be punished with a fine from 500 000 (five hundred thousand) lek to 20 000 000  (twenty million) lek.</w:t>
      </w:r>
    </w:p>
    <w:p w:rsidR="00480A48" w:rsidRPr="007647A8" w:rsidRDefault="00480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When the refusal, delay, filtering, restriction or denial of access is intentional, repeated, systematic, or has impaired the financial analysis, freezing of funds, refusal to give consent for the transaction, international exchange of information or identification of an unfulfilled reporting, the fine is imposed from 5 000 000 (five million) lek to 50 000 000 (fifty million) lek.</w:t>
      </w:r>
    </w:p>
    <w:p w:rsidR="00480A48" w:rsidRPr="007647A8" w:rsidRDefault="00480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 In addition to the fine, the Financial Intelligence Agency may issue an order for the immediate granting of access, documentation or information, an order for the preservation and non-alteration of data, a written warning, as well as notify the supervisory, licensing or disciplinary authority for the taking of measures within its competences.</w:t>
      </w:r>
    </w:p>
    <w:p w:rsidR="00480A48" w:rsidRPr="007647A8" w:rsidRDefault="00480A4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imposition of administrative measures under this article does not exclude criminal, civil or disciplinary liability, when the violation constitutes a criminal offence or another violation under the legislation in force.</w:t>
      </w:r>
    </w:p>
    <w:p w:rsidR="008A54A8" w:rsidRPr="007647A8" w:rsidRDefault="008A54A8" w:rsidP="002A39C9">
      <w:pPr>
        <w:widowControl w:val="0"/>
        <w:spacing w:after="0"/>
        <w:rPr>
          <w:rFonts w:ascii="Times New Roman" w:hAnsi="Times New Roman" w:cs="Times New Roman"/>
          <w:sz w:val="24"/>
          <w:szCs w:val="24"/>
        </w:rPr>
      </w:pPr>
    </w:p>
    <w:p w:rsidR="00EF5B6A" w:rsidRPr="007647A8" w:rsidRDefault="00DD6B6B" w:rsidP="002A39C9">
      <w:pPr>
        <w:widowControl w:val="0"/>
        <w:spacing w:after="0"/>
        <w:jc w:val="center"/>
        <w:rPr>
          <w:rFonts w:ascii="Times New Roman" w:hAnsi="Times New Roman" w:cs="Times New Roman"/>
          <w:sz w:val="24"/>
          <w:szCs w:val="24"/>
        </w:rPr>
      </w:pPr>
      <w:r>
        <w:rPr>
          <w:rFonts w:ascii="Times New Roman" w:hAnsi="Times New Roman" w:cs="Times New Roman"/>
          <w:sz w:val="24"/>
          <w:szCs w:val="24"/>
        </w:rPr>
        <w:t>Article 67</w:t>
      </w:r>
    </w:p>
    <w:p w:rsidR="00EF5B6A" w:rsidRPr="007647A8" w:rsidRDefault="00EF5B6A" w:rsidP="002A39C9">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Administrative measures</w:t>
      </w:r>
    </w:p>
    <w:p w:rsidR="00EF5B6A" w:rsidRPr="007647A8" w:rsidRDefault="00EF5B6A" w:rsidP="002A39C9">
      <w:pPr>
        <w:widowControl w:val="0"/>
        <w:spacing w:after="0"/>
        <w:rPr>
          <w:rFonts w:ascii="Times New Roman" w:hAnsi="Times New Roman" w:cs="Times New Roman"/>
          <w:sz w:val="24"/>
          <w:szCs w:val="24"/>
        </w:rPr>
      </w:pP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1. The supervisory authorities impose administrative measures on an obliged entity when they establish:</w:t>
      </w:r>
    </w:p>
    <w:p w:rsidR="007227E5" w:rsidRPr="007647A8" w:rsidRDefault="00C27C2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infringement of the provisions of Part II or Part III of this law, in combination with a fine for serious, repeated or systematic infringements, or as independent measures;</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deficiencies in the policies, procedures and internal controls of the obliged entity, which may result in violations of the requirements referred to in point “a” and administrative measures may prevent the commission of these violations or reduce their risk;</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the policies, procedures and internal controls of the obliged entity are not commensurate with the risks of money laundering and criminal offences related thereto, terrorist financing or financing of the proliferation of weapons of mass destruction to which the entity is exposed.</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The supervisory authorities have, at least, the following powers to:</w:t>
      </w:r>
    </w:p>
    <w:p w:rsidR="007227E5" w:rsidRPr="007647A8" w:rsidRDefault="00CD3B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give recommendations;</w:t>
      </w:r>
    </w:p>
    <w:p w:rsidR="007227E5" w:rsidRPr="007647A8" w:rsidRDefault="00CD3B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issue warnings;</w:t>
      </w:r>
    </w:p>
    <w:p w:rsidR="007227E5" w:rsidRPr="007647A8" w:rsidRDefault="00B91556"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order the obliged entity to fulfil the obligations, including the implementation of special corrective measures;</w:t>
      </w:r>
    </w:p>
    <w:p w:rsidR="007227E5" w:rsidRPr="007647A8" w:rsidRDefault="00CD3B1D"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d) issue public announcements identifying the natural or legal person and the nature of the infringement; </w:t>
      </w:r>
    </w:p>
    <w:p w:rsidR="007227E5" w:rsidRPr="007647A8" w:rsidRDefault="001E5100" w:rsidP="002A39C9">
      <w:pPr>
        <w:widowControl w:val="0"/>
        <w:spacing w:after="0"/>
        <w:ind w:left="0" w:firstLine="720"/>
        <w:rPr>
          <w:rFonts w:ascii="Times New Roman" w:hAnsi="Times New Roman" w:cs="Times New Roman"/>
          <w:b/>
          <w:sz w:val="24"/>
          <w:szCs w:val="24"/>
        </w:rPr>
      </w:pPr>
      <w:r>
        <w:rPr>
          <w:rFonts w:ascii="Times New Roman" w:hAnsi="Times New Roman" w:cs="Times New Roman"/>
          <w:sz w:val="24"/>
          <w:szCs w:val="24"/>
        </w:rPr>
        <w:t>e) order the natural or legal person to cease the conduct and to refrain from repeating that conduct</w:t>
      </w:r>
      <w:r>
        <w:rPr>
          <w:rFonts w:ascii="Times New Roman" w:hAnsi="Times New Roman" w:cs="Times New Roman"/>
          <w:b/>
          <w:sz w:val="24"/>
          <w:szCs w:val="24"/>
        </w:rPr>
        <w:t>;</w:t>
      </w:r>
    </w:p>
    <w:p w:rsidR="007227E5" w:rsidRPr="007647A8" w:rsidRDefault="001E510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f) restrict the exercise of the activity, the operations or </w:t>
      </w:r>
      <w:r>
        <w:rPr>
          <w:rStyle w:val="Strong"/>
          <w:rFonts w:ascii="Times New Roman" w:hAnsi="Times New Roman" w:cs="Times New Roman"/>
          <w:b w:val="0"/>
          <w:sz w:val="24"/>
          <w:szCs w:val="24"/>
        </w:rPr>
        <w:t>of the network of institutions that constitute the obliged entity</w:t>
      </w:r>
      <w:r>
        <w:rPr>
          <w:rFonts w:ascii="Times New Roman" w:hAnsi="Times New Roman" w:cs="Times New Roman"/>
          <w:b/>
          <w:sz w:val="24"/>
          <w:szCs w:val="24"/>
        </w:rPr>
        <w:t>,</w:t>
      </w:r>
      <w:r>
        <w:rPr>
          <w:rFonts w:ascii="Times New Roman" w:hAnsi="Times New Roman" w:cs="Times New Roman"/>
          <w:sz w:val="24"/>
          <w:szCs w:val="24"/>
        </w:rPr>
        <w:t xml:space="preserve"> or require the relinquishment of the exercise of certain activities or the withdrawal of the licence;</w:t>
      </w:r>
    </w:p>
    <w:p w:rsidR="005D5D1E" w:rsidRPr="007647A8" w:rsidRDefault="001E510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g) when an obliged entity is subject to an authorisation, withdraws or suspends the authorisation; </w:t>
      </w:r>
    </w:p>
    <w:p w:rsidR="007227E5" w:rsidRPr="007647A8" w:rsidRDefault="001E510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h) require changes in the governance structure of the obliged entity.</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3. The supervisory authorities, through the administrative measures provided for in point 2 of this article, have the competence, in particular, to:</w:t>
      </w:r>
    </w:p>
    <w:p w:rsidR="007227E5" w:rsidRPr="007647A8" w:rsidRDefault="00E04DF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a) request, without undue delay, the making available of any data or information necessary for the performance of their duties in accordance with this Chapter, request the submission of any document, or impose additional or more frequent reporting requirements;</w:t>
      </w:r>
    </w:p>
    <w:p w:rsidR="007227E5" w:rsidRPr="007647A8" w:rsidRDefault="00E04DF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b) require the strengthening of internal policies, procedures and controls;</w:t>
      </w:r>
    </w:p>
    <w:p w:rsidR="007227E5" w:rsidRPr="007647A8" w:rsidRDefault="00E04DF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c) require the obliged entity to apply a specific policy or requirements in relation to categories of clients or individual clients, transactions, activities or service delivery channels or individual clients that present high risk;</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d) require the implementation of measures for the reduction of the identified risks of money laundering, terrorist financing or financing of the proliferation of weapons of mass destruction related to the activities and products of the obliged entity;</w:t>
      </w:r>
    </w:p>
    <w:p w:rsidR="007227E5" w:rsidRPr="007647A8" w:rsidRDefault="00E04DF8"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e) impose a temporary prohibition on any person who performs senior management functions in an obliged entity, or on any other natural person who has been found responsible for the violation from exercising managerial functions in obliged entities.</w:t>
      </w:r>
    </w:p>
    <w:p w:rsidR="00B91765" w:rsidRPr="007647A8" w:rsidRDefault="00EA106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4. The administrative measures provided for in point 2 of this article, shall be accompanied, where necessary, by mandatory deadlines for their implementation. </w:t>
      </w:r>
    </w:p>
    <w:p w:rsidR="007227E5" w:rsidRPr="007647A8" w:rsidRDefault="00EA106E"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Obliged entities are required to implement the administrative measures within the prescribed deadlines.</w:t>
      </w:r>
    </w:p>
    <w:p w:rsidR="007227E5"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The supervisory authorities monitor and assess the implementation by the obliged entity of the required administrative measures and actions.</w:t>
      </w:r>
    </w:p>
    <w:p w:rsidR="00EF5B6A" w:rsidRPr="007647A8" w:rsidRDefault="00EF5B6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 The supervisory authorities may also impose other types of administrative measures, in addition to those provided for in point 2 of this article, in accordance with the legislation in force.</w:t>
      </w:r>
    </w:p>
    <w:p w:rsidR="00052A63" w:rsidRPr="007647A8" w:rsidRDefault="00052A63" w:rsidP="002A39C9">
      <w:pPr>
        <w:widowControl w:val="0"/>
        <w:spacing w:after="0"/>
        <w:rPr>
          <w:rFonts w:ascii="Times New Roman" w:hAnsi="Times New Roman" w:cs="Times New Roman"/>
          <w:sz w:val="24"/>
          <w:szCs w:val="24"/>
        </w:rPr>
      </w:pPr>
    </w:p>
    <w:p w:rsidR="00601933" w:rsidRPr="007647A8" w:rsidRDefault="00DD6B6B" w:rsidP="002A39C9">
      <w:pPr>
        <w:widowControl w:val="0"/>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68</w:t>
      </w:r>
    </w:p>
    <w:p w:rsidR="00601933" w:rsidRPr="007647A8" w:rsidRDefault="001033EB" w:rsidP="002A39C9">
      <w:pPr>
        <w:widowControl w:val="0"/>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Periodic fine </w:t>
      </w:r>
    </w:p>
    <w:p w:rsidR="009A16EB" w:rsidRPr="007647A8" w:rsidRDefault="009A16EB" w:rsidP="002A39C9">
      <w:pPr>
        <w:widowControl w:val="0"/>
        <w:spacing w:after="0"/>
        <w:ind w:left="0" w:firstLine="567"/>
        <w:rPr>
          <w:rFonts w:ascii="Times New Roman" w:hAnsi="Times New Roman" w:cs="Times New Roman"/>
          <w:sz w:val="24"/>
          <w:szCs w:val="24"/>
        </w:rPr>
      </w:pPr>
    </w:p>
    <w:p w:rsidR="007227E5" w:rsidRPr="007647A8" w:rsidRDefault="00601933"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1. When the obliged entity does not fulfill, within the prescribed time limits, the administrative measures imposed by the supervisory authority in accordance with Article 67, point 2, letters “b”, “d”, “e” and “g”, the supervisory authority has the competence to impose periodic fines with the purpose of obliging the entity to implement these measures.</w:t>
      </w:r>
    </w:p>
    <w:p w:rsidR="00FF7571"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 xml:space="preserve">2. Periodic fines must be effective and proportionate. </w:t>
      </w:r>
    </w:p>
    <w:p w:rsidR="007227E5" w:rsidRPr="007647A8" w:rsidRDefault="00FF7571"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Periodic fines are imposed for each day of delay after the expiry of the specified deadline and continue to be applied until the moment of fulfilment of the relevant obligation.</w:t>
      </w:r>
    </w:p>
    <w:p w:rsidR="007227E5"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3. Regardless of point 2 of this article, in the case of legal persons, the amount of the periodic fine may not exceed 3 % of the average daily turnover achieved during the previous financial year.</w:t>
      </w:r>
    </w:p>
    <w:p w:rsidR="007227E5"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In the case of natural persons, the amount of the periodic fine may not exceed 2 % of the average daily income earned during the previous calendar year.</w:t>
      </w:r>
    </w:p>
    <w:p w:rsidR="007227E5"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4. Periodic fines are imposed for a period no longer than 6 months from the date of the decision of the supervisory authority.</w:t>
      </w:r>
    </w:p>
    <w:p w:rsidR="007227E5"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If, by the end of this period, the obliged entity has still not complied with the respective administrative measure, the supervisory authority has the power to impose periodic fines for an additional period not longer than 6 months.</w:t>
      </w:r>
    </w:p>
    <w:p w:rsidR="007227E5" w:rsidRPr="007647A8" w:rsidRDefault="00EA5A64" w:rsidP="002A39C9">
      <w:pPr>
        <w:widowControl w:val="0"/>
        <w:spacing w:after="0"/>
        <w:ind w:left="0" w:firstLine="720"/>
        <w:rPr>
          <w:rFonts w:ascii="Times New Roman" w:hAnsi="Times New Roman" w:cs="Times New Roman"/>
          <w:sz w:val="24"/>
          <w:szCs w:val="24"/>
          <w:lang w:bidi="en-US"/>
        </w:rPr>
      </w:pPr>
      <w:r>
        <w:rPr>
          <w:rFonts w:ascii="Times New Roman" w:hAnsi="Times New Roman" w:cs="Times New Roman"/>
          <w:sz w:val="24"/>
          <w:szCs w:val="24"/>
          <w:lang w:bidi="en-US"/>
        </w:rPr>
        <w:t>5. The decision on the imposition of the periodic fine may be taken simultaneously with the decision on the application of the respective administrative measure.</w:t>
      </w:r>
    </w:p>
    <w:p w:rsidR="009A16EB" w:rsidRPr="007647A8" w:rsidRDefault="00EA5A64"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lang w:bidi="en-US"/>
        </w:rPr>
        <w:t>Periodic fines begin to be applied from the date of receipt of the decision and not earlier than the expiry of the deadline set for the implementation of the administrative measure.</w:t>
      </w:r>
    </w:p>
    <w:p w:rsidR="00AA04B4" w:rsidRPr="007647A8" w:rsidRDefault="00AA04B4" w:rsidP="002A39C9">
      <w:pPr>
        <w:widowControl w:val="0"/>
        <w:spacing w:after="0"/>
        <w:ind w:left="0" w:firstLine="0"/>
        <w:jc w:val="center"/>
        <w:rPr>
          <w:rFonts w:ascii="Times New Roman" w:eastAsia="Arial Unicode MS" w:hAnsi="Times New Roman" w:cs="Times New Roman"/>
          <w:b/>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69</w:t>
      </w:r>
    </w:p>
    <w:p w:rsidR="00AA04B4" w:rsidRPr="007647A8" w:rsidRDefault="00672ED4"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Publication of fines, administrative measures and periodic penalty payments</w:t>
      </w:r>
    </w:p>
    <w:p w:rsidR="00E725D8" w:rsidRPr="007647A8" w:rsidRDefault="00E725D8" w:rsidP="002A39C9">
      <w:pPr>
        <w:widowControl w:val="0"/>
        <w:spacing w:after="0"/>
        <w:ind w:left="0" w:firstLine="0"/>
        <w:jc w:val="center"/>
        <w:rPr>
          <w:rFonts w:ascii="Times New Roman" w:eastAsia="Arial Unicode MS" w:hAnsi="Times New Roman" w:cs="Times New Roman"/>
          <w:b/>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Supervisors publish on their official website, in a format accessible to the public, the decisions taken to impose the fines and administrative measures provided for in Article 67, paragraph 2, letters “c” to “g”, as well as the decisions to impose periodic fines, taken in accordance with Article 67, paragraph 1, letter “a”.</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decisions provided for in point 1 of this Article are published by the supervisor immediately after the persons responsible for the infringement have been notified of them.</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By way of exception to the first paragraph, where the publication concerns administrative measures against which an appeal is permitted and which do not seek the correction of serious, repeated or systematic breaches, publication may be postponed until the expiry of the time limit for lodging the appeal.</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When the publication refers to decisions against which an appeal has been lodged, the supervisor shall immediately publish on its official website information on the appeal and any subsequent information related to it, as well as its final outcome. </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Also part of the publication is any decision that repeals a previous decision on the imposition of the administrative fine, the application of the administrative measure or the imposition of the periodic fine.</w:t>
      </w:r>
    </w:p>
    <w:p w:rsidR="00E56101"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publication of decisions shall include, at least:</w:t>
      </w:r>
    </w:p>
    <w:p w:rsidR="00E56101"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information on the type and nature of the violation; </w:t>
      </w:r>
    </w:p>
    <w:p w:rsidR="00E56101"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identity of the responsible persons; </w:t>
      </w:r>
    </w:p>
    <w:p w:rsidR="00E725D8"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 the case of fines and periodic penalty payments, their amount shall be included.</w:t>
      </w:r>
    </w:p>
    <w:p w:rsidR="00E725D8" w:rsidRPr="007647A8" w:rsidRDefault="00BF697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Supervisors are not obliged to apply the first paragraph to decisions providing for administrative measures that have the character of obtaining analytical information or of an investigative nature within the framework of supervisory procedures or to decisions taken in accordance with Article 67, paragraph 2, letters “a” and “c”.</w:t>
      </w:r>
    </w:p>
    <w:p w:rsidR="00E725D8" w:rsidRPr="007647A8" w:rsidRDefault="00D60D5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Where the publication of the identity of the persons responsible or of their personal data is assessed by the supervisor, after a case-by-case assessment, as disproportionate, or where publication jeopardises the stability of financial markets or an ongoing investigation, the supervisory authority:</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postpones the publication of the decision until the moment when the reasons that justify its non-publication cease to exist;</w:t>
      </w:r>
    </w:p>
    <w:p w:rsidR="00E725D8" w:rsidRPr="007647A8" w:rsidRDefault="00672ED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publishes the decision anonymously, in accordance with the applicable sector law, if such publication ensures the effective protection of the relevant personal data; in this case, the publication of the relevant data may be postponed for a reasonable period, if it is foreseen that within this period the reasons justifying anonymous publication will cease to exist;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does not publish the decision, when it is assessed that the measures provided for in letters “a” and “b” are not sufficient to guarantee one of the following conditions:</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that the stability of the financial markets is not put at risk;</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proportionality of the publication of the decision shall be ensured in relation to the fines or administrative measures imposed for breaches assessed as being of a minor nature.</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assessment of proportionality is carried out on a case-by-case basis and is reasoned in the respective decision.</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Publications made in accordance with this Article remain on the official website of the supervisor for a period of 5 years from the date of publication.</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personal data included in the publication are kept on the official website only for as long as is necessary in accordance with the legislation in force on the protection of personal data and, in any case, no more than 5 years.</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70</w:t>
      </w:r>
    </w:p>
    <w:p w:rsidR="00E725D8" w:rsidRPr="007647A8" w:rsidRDefault="00CA29AB"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Powers of supervisors for the imposition and enforcement of administrative measures and fines</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imposition and enforcement of fines, administrative measures and periodic penalty payments under this law shall be carried out by the supervisors, within the scope of their jurisdiction.</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Supervisors exercise these powers in accordance with this law, the relevant sectoral legislation and the legislation in force on administrative contraventions.</w:t>
      </w:r>
    </w:p>
    <w:p w:rsidR="00E725D8" w:rsidRPr="007647A8" w:rsidRDefault="00DF4AF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Decisions of the supervisors on the imposition of fines, administrative measures and periodic penalty payments may be appealed to the competent court, in accordance with the legislation in force.</w:t>
      </w:r>
    </w:p>
    <w:p w:rsidR="00C46553" w:rsidRPr="007647A8" w:rsidRDefault="00C46553" w:rsidP="002A39C9">
      <w:pPr>
        <w:widowControl w:val="0"/>
        <w:spacing w:after="0"/>
        <w:ind w:left="0"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4. The procedures for ascertainment, proposal, review, the imposition of fines and administrative measures by the supervisors shall be determined by bylaw. </w:t>
      </w:r>
    </w:p>
    <w:p w:rsidR="0003383C" w:rsidRPr="007647A8" w:rsidRDefault="00CC750F" w:rsidP="002A39C9">
      <w:pPr>
        <w:widowControl w:val="0"/>
        <w:spacing w:after="0"/>
        <w:ind w:left="0" w:firstLine="720"/>
        <w:rPr>
          <w:rFonts w:ascii="Times New Roman" w:eastAsia="MS Mincho" w:hAnsi="Times New Roman" w:cs="Times New Roman"/>
          <w:sz w:val="24"/>
          <w:szCs w:val="24"/>
        </w:rPr>
      </w:pPr>
      <w:r>
        <w:rPr>
          <w:rFonts w:ascii="Times New Roman" w:eastAsia="MS Mincho" w:hAnsi="Times New Roman" w:cs="Times New Roman"/>
          <w:sz w:val="24"/>
          <w:szCs w:val="24"/>
        </w:rPr>
        <w:t xml:space="preserve">5. The procedures for appeal and for the enforcement of fines, imposed by the supervisors, are carried out in accordance with the law on administrative offences. </w:t>
      </w:r>
    </w:p>
    <w:p w:rsidR="00C46553" w:rsidRPr="007647A8" w:rsidRDefault="00322E5B" w:rsidP="002A39C9">
      <w:pPr>
        <w:widowControl w:val="0"/>
        <w:spacing w:after="0"/>
        <w:ind w:left="0" w:firstLine="720"/>
        <w:rPr>
          <w:rFonts w:ascii="Times New Roman" w:hAnsi="Times New Roman" w:cs="Times New Roman"/>
          <w:bCs/>
          <w:sz w:val="24"/>
          <w:szCs w:val="24"/>
        </w:rPr>
      </w:pPr>
      <w:r>
        <w:rPr>
          <w:rFonts w:ascii="Times New Roman" w:hAnsi="Times New Roman" w:cs="Times New Roman"/>
          <w:bCs/>
          <w:sz w:val="24"/>
          <w:szCs w:val="24"/>
        </w:rPr>
        <w:t>6. Default interest on the imposed fine may not exceed the amount of the fine.</w:t>
      </w:r>
    </w:p>
    <w:p w:rsidR="00C46553" w:rsidRPr="007647A8" w:rsidRDefault="00C46553" w:rsidP="002A39C9">
      <w:pPr>
        <w:widowControl w:val="0"/>
        <w:spacing w:after="0"/>
        <w:ind w:left="0" w:firstLine="720"/>
        <w:rPr>
          <w:rFonts w:ascii="Times New Roman" w:eastAsia="Arial Unicode MS" w:hAnsi="Times New Roman" w:cs="Times New Roman"/>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71</w:t>
      </w:r>
    </w:p>
    <w:p w:rsidR="00E725D8" w:rsidRPr="007647A8" w:rsidRDefault="00E725D8"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Prescription of administrative proceedings</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right of supervisors to ascertain administrative violations and to impose fines and administrative measures under this law shall become time-barred within 5 years from the date of commission of the administrative violation.</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limitation period is interrupted from the date of notification of the obliged entity by any formal act of the supervisor related to the finding or administrative prosecution of the infringement.</w:t>
      </w:r>
    </w:p>
    <w:p w:rsidR="00561A50" w:rsidRPr="007647A8" w:rsidRDefault="00561A50" w:rsidP="002A39C9">
      <w:pPr>
        <w:widowControl w:val="0"/>
        <w:spacing w:after="0"/>
        <w:ind w:left="0" w:firstLine="567"/>
        <w:rPr>
          <w:rFonts w:ascii="Times New Roman" w:eastAsia="MS Mincho" w:hAnsi="Times New Roman" w:cs="Times New Roman"/>
          <w:sz w:val="24"/>
          <w:szCs w:val="24"/>
        </w:rPr>
      </w:pPr>
    </w:p>
    <w:p w:rsidR="00940DF7" w:rsidRPr="007647A8" w:rsidRDefault="00CE2425"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72</w:t>
      </w:r>
    </w:p>
    <w:p w:rsidR="00601933" w:rsidRPr="007647A8" w:rsidRDefault="00940DF7"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Exchange of information on fines and administrative measures</w:t>
      </w:r>
    </w:p>
    <w:p w:rsidR="00940DF7" w:rsidRPr="007647A8" w:rsidRDefault="00940DF7" w:rsidP="002A39C9">
      <w:pPr>
        <w:widowControl w:val="0"/>
        <w:spacing w:after="0"/>
        <w:ind w:left="0" w:firstLine="0"/>
        <w:rPr>
          <w:rFonts w:ascii="Times New Roman" w:eastAsia="Arial Unicode MS" w:hAnsi="Times New Roman" w:cs="Times New Roman"/>
          <w:sz w:val="24"/>
          <w:szCs w:val="24"/>
          <w:lang w:bidi="en-US"/>
        </w:rPr>
      </w:pPr>
    </w:p>
    <w:p w:rsidR="00940DF7" w:rsidRPr="007647A8" w:rsidRDefault="005A3BD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Supervisors and, where necessary, the public authority supervising self-regulatory bodies in the exercise of their supervisory functions, shall notify AMLA of all administrative measures and fines imposed in accordance with this Section, including any appeals lodged in relation to them and their final outcome.</w:t>
      </w:r>
    </w:p>
    <w:p w:rsidR="00940DF7" w:rsidRPr="007647A8" w:rsidRDefault="00940DF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information provided for in point 1 of this Article shall also be exchanged with other supervisors, when the administrative measure or the fine imposed concerns an entity that carries out activity in two or more Member States.</w:t>
      </w:r>
    </w:p>
    <w:p w:rsidR="00940DF7" w:rsidRPr="007647A8" w:rsidRDefault="00940DF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AMLA maintains on its official website the electronic links to the publications of each supervisor on the administrative measures and fines imposed in accordance with Article 69 of this law, and also reflects the period for which each Member State publishes the fines and administrative measures.</w:t>
      </w:r>
    </w:p>
    <w:p w:rsidR="0052687D" w:rsidRPr="007647A8" w:rsidRDefault="0052687D" w:rsidP="002A39C9">
      <w:pPr>
        <w:widowControl w:val="0"/>
        <w:spacing w:after="0"/>
        <w:ind w:left="0" w:firstLine="720"/>
        <w:rPr>
          <w:rFonts w:ascii="Times New Roman" w:eastAsia="Arial Unicode MS" w:hAnsi="Times New Roman" w:cs="Times New Roman"/>
          <w:sz w:val="24"/>
          <w:szCs w:val="24"/>
          <w:lang w:bidi="en-US"/>
        </w:rPr>
      </w:pPr>
    </w:p>
    <w:p w:rsidR="00371BD6" w:rsidRPr="007647A8" w:rsidRDefault="00371BD6" w:rsidP="002A39C9">
      <w:pPr>
        <w:widowControl w:val="0"/>
        <w:spacing w:after="0"/>
        <w:ind w:left="0" w:firstLine="0"/>
        <w:jc w:val="center"/>
        <w:rPr>
          <w:rFonts w:ascii="Times New Roman" w:eastAsia="Arial Unicode MS" w:hAnsi="Times New Roman" w:cs="Times New Roman"/>
          <w:sz w:val="24"/>
          <w:szCs w:val="24"/>
          <w:lang w:bidi="en-US"/>
        </w:rPr>
      </w:pPr>
    </w:p>
    <w:p w:rsidR="00D4258C"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sz w:val="24"/>
          <w:szCs w:val="24"/>
          <w:lang w:bidi="en-US"/>
        </w:rPr>
        <w:t xml:space="preserve"> 5</w:t>
      </w:r>
    </w:p>
    <w:p w:rsidR="00D4258C" w:rsidRPr="007647A8" w:rsidRDefault="00D4258C"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Reporting of violations</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p>
    <w:p w:rsidR="00D4258C"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73</w:t>
      </w:r>
    </w:p>
    <w:p w:rsidR="00940DF7" w:rsidRPr="007647A8" w:rsidRDefault="00D4258C"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Mechanisms for reporting violations and the protection of reporting persons</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provisions of the law on the protection of whistleblowers apply to the reporting of violations of this law, of the bylaws issued for its implementation, as well as of any other normative act that regulates the prevention of money laundering, the financing of terrorism, and the financing of the proliferation of weapons of mass destruction.</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Protection under the law on the protection of whistleblowers applies to:</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persons who report violations according to point 1 of this article;</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persons in respect of whom the reports are made, in accordance with the principles of confidentiality, proportionality and the presumption of innocence.</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For the purposes of this Article, “reporting of violations” means any act or omission that constitutes non-fulfilment of the obligations provided for in this law and in the bylaws issued for its implementation.</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Supervisory authorities, according to the competences defined in this law, are the competent authorities for the establishment and administration of external channels for the reporting of breaches related to the applicable requirements for the obliged entities that they supervise.</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supervisory authorities carry out the review and administrative follow-up of the reports submitted, in accordance with the legislation in force on the protection of whistleblowers.</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Public authorities that supervise self-regulatory bodies, under this law, are the competent authorities for the establishment and administration of external reporting channels for violations related to the obligations of self-regulatory bodies in the exercise of their supervisory functions in the field of the prevention of money laundering and terrorist financing.</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These authorities carry out the examination and administrative follow-up of the reports submitted, in accordance with the legislation in force on the protection of whistleblowers.</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The competent supervisory authorities according to the definitions of the above points of this article approve internal acts for the organisation and functioning of reporting channels, the procedures for the receipt, registration and review of reports, as well as for guaranteeing confidentiality, the protection of reporting persons and the avoidance of conflict of interest in their handling, in accordance with the legislation in force on the protection of whistleblowers.</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The supervisory authorities in the non-financial sector prepare and submit to the responsible authority and AMLA, on an annual basis, information that includes:</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number of reports received, as well as information on the portion of reports that have been followed up or are in the process of being followed up, including closed cases, open cases and reports that have been rejected;</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types of reported irregularities or violations;</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for the reports that have been followed up, a description of the actions taken by the supervisory authority, as well as, for the reports that are still open, the actions that the supervisory authority intends to take;</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for the reports for which rejection or termination of the review has been decided, the respective reasons for this decision.</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annual report under this point does not contain data on the identity, profession or any other information that may lead to the identification of reporting persons.</w:t>
      </w:r>
    </w:p>
    <w:p w:rsidR="00940DF7" w:rsidRPr="007647A8" w:rsidRDefault="00940DF7" w:rsidP="002A39C9">
      <w:pPr>
        <w:widowControl w:val="0"/>
        <w:spacing w:after="0"/>
        <w:ind w:left="0" w:firstLine="0"/>
        <w:rPr>
          <w:rFonts w:ascii="Times New Roman" w:eastAsia="Arial Unicode MS" w:hAnsi="Times New Roman" w:cs="Times New Roman"/>
          <w:sz w:val="24"/>
          <w:szCs w:val="24"/>
          <w:lang w:bidi="en-US"/>
        </w:rPr>
      </w:pPr>
    </w:p>
    <w:p w:rsidR="007414CA" w:rsidRPr="007647A8" w:rsidRDefault="00371BD6"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IV</w:t>
      </w:r>
    </w:p>
    <w:p w:rsidR="007414CA"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 xml:space="preserve">COOPERATION </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p>
    <w:p w:rsidR="006B1577"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sz w:val="24"/>
          <w:szCs w:val="24"/>
          <w:lang w:bidi="en-US"/>
        </w:rPr>
        <w:t xml:space="preserve"> 1</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Inter-institutional cooperation and coordination in the field of prevention of money laundering and terrorist financing</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p>
    <w:p w:rsidR="007414CA" w:rsidRPr="007647A8" w:rsidRDefault="007414CA" w:rsidP="002A39C9">
      <w:pPr>
        <w:widowControl w:val="0"/>
        <w:spacing w:after="0"/>
        <w:ind w:left="0" w:firstLine="0"/>
        <w:rPr>
          <w:rFonts w:ascii="Times New Roman" w:eastAsia="Arial Unicode MS" w:hAnsi="Times New Roman" w:cs="Times New Roman"/>
          <w:sz w:val="24"/>
          <w:szCs w:val="24"/>
          <w:lang w:bidi="en-US"/>
        </w:rPr>
      </w:pPr>
    </w:p>
    <w:p w:rsidR="00142179" w:rsidRPr="007647A8" w:rsidRDefault="005540B0"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74</w:t>
      </w:r>
    </w:p>
    <w:p w:rsidR="0031539A" w:rsidRPr="007647A8" w:rsidRDefault="0031539A"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General provisions</w:t>
      </w:r>
    </w:p>
    <w:p w:rsidR="0031539A" w:rsidRPr="007647A8" w:rsidRDefault="0031539A" w:rsidP="002A39C9">
      <w:pPr>
        <w:widowControl w:val="0"/>
        <w:spacing w:after="0"/>
        <w:ind w:left="0" w:firstLine="720"/>
        <w:rPr>
          <w:rFonts w:ascii="Times New Roman" w:eastAsia="Arial Unicode MS" w:hAnsi="Times New Roman" w:cs="Times New Roman"/>
          <w:sz w:val="24"/>
          <w:szCs w:val="24"/>
          <w:lang w:bidi="en-US"/>
        </w:rPr>
      </w:pPr>
    </w:p>
    <w:p w:rsidR="0067060D" w:rsidRPr="007647A8" w:rsidRDefault="003153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The institutions responsible for policy drafting, the Financial Intelligence Agency, supervisory authorities, including AMLA, and other competent authorities, as well as the tax administration, ensure the effective functioning of the mechanisms established for cooperation and coordination at national level, in accordance with the provisions of Article 9 of this law, for the drafting and implementation of policies and measures for the prevention and fight against money laundering, terrorist financing and the financing of the proliferation of weapons of mass destruction, as well as for the prevention of non-implementation and circumvention of financial restrictive measures, including the fulfilment of the obligations laid down in Article 10 of this law. </w:t>
      </w:r>
    </w:p>
    <w:p w:rsidR="008550AE" w:rsidRPr="007647A8" w:rsidRDefault="00B702A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The competent authorities that have access to or hold information on beneficial ownership, according to the definitions of the law in force on the register of beneficial owners, make this information available to the competent counterpart authorities of the Member States or third countries in a timely manner and free of charge, in accordance with the definitions in this law. </w:t>
      </w:r>
    </w:p>
    <w:p w:rsidR="00BF549A" w:rsidRPr="007647A8" w:rsidRDefault="0082306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competent authorities shall not prohibit or impose unreasonable or excessively restrictive conditions on the exchange of information or the provision of assistance between the competent authorities and their counterparts for the purposes of the implementation of this law. The competent authorities shall not refuse a request for assistance on the grounds that:</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request is considered to also include tax matters;</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national legislation requires the maintenance of secrecy or confidentiality by reporting entities, except in cases where the requested information is protected by professional secrecy, under the conditions set out in Article 133, point 2 of this law;</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an investigation, proceeding, procedure or analysis of the responsible authority is ongoing, except where the provision of assistance would directly impede that investigation, proceeding, procedure or analysis of the responsible authority;</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nature or status of the requesting homologous competent authority is different from that of the competent authority to which the request has been made.</w:t>
      </w:r>
    </w:p>
    <w:p w:rsidR="00BE0352" w:rsidRPr="007647A8" w:rsidRDefault="00BE0352" w:rsidP="002A39C9">
      <w:pPr>
        <w:widowControl w:val="0"/>
        <w:spacing w:after="0"/>
        <w:ind w:left="0" w:firstLine="720"/>
        <w:rPr>
          <w:rFonts w:ascii="Times New Roman" w:eastAsia="Arial Unicode MS" w:hAnsi="Times New Roman" w:cs="Times New Roman"/>
          <w:sz w:val="24"/>
          <w:szCs w:val="24"/>
          <w:lang w:bidi="en-US"/>
        </w:rPr>
      </w:pPr>
    </w:p>
    <w:p w:rsidR="0016591E" w:rsidRPr="007647A8" w:rsidRDefault="0016591E" w:rsidP="002A39C9">
      <w:pPr>
        <w:widowControl w:val="0"/>
        <w:spacing w:after="0"/>
        <w:ind w:left="0" w:firstLine="0"/>
        <w:rPr>
          <w:rFonts w:ascii="Times New Roman" w:eastAsia="Arial Unicode MS" w:hAnsi="Times New Roman" w:cs="Times New Roman"/>
          <w:sz w:val="24"/>
          <w:szCs w:val="24"/>
          <w:lang w:bidi="en-US"/>
        </w:rPr>
      </w:pPr>
    </w:p>
    <w:p w:rsidR="0016591E" w:rsidRPr="007647A8" w:rsidRDefault="003857B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75</w:t>
      </w:r>
    </w:p>
    <w:p w:rsidR="0016591E" w:rsidRPr="007647A8" w:rsidRDefault="0016591E"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Communication of the list of competent authorities</w:t>
      </w:r>
    </w:p>
    <w:p w:rsidR="0016591E" w:rsidRPr="007647A8" w:rsidRDefault="0016591E" w:rsidP="002A39C9">
      <w:pPr>
        <w:widowControl w:val="0"/>
        <w:spacing w:after="0"/>
        <w:ind w:left="0" w:firstLine="0"/>
        <w:rPr>
          <w:rFonts w:ascii="Times New Roman" w:eastAsia="Arial Unicode MS" w:hAnsi="Times New Roman" w:cs="Times New Roman"/>
          <w:sz w:val="24"/>
          <w:szCs w:val="24"/>
          <w:lang w:bidi="en-US"/>
        </w:rPr>
      </w:pP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Financial Intelligence Agency, for the purposes of facilitating and promoting effective cooperation and the exchange of information, communicates to the European Commission and AMLA:</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list of supervisors responsible for supervising the compliance of obliged entities with Part II of this law, as well as, where necessary, the name of the public authority that supervises the self-regulatory bodies in the performance of their supervisory functions in accordance with this law, together with the relevant contact details;</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contact details of the Financial Intelligence Agency, in its capacity as a financial intelligence unit;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list of other competent national authorities.</w:t>
      </w:r>
    </w:p>
    <w:p w:rsidR="0016591E" w:rsidRPr="007647A8" w:rsidRDefault="0033538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For the purposes of point 1 of this Article, contact details include:</w:t>
      </w:r>
    </w:p>
    <w:p w:rsidR="004A4E6B"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a contact point or, in the absence of this, the name and function of the contact person; </w:t>
      </w:r>
    </w:p>
    <w:p w:rsidR="0016591E" w:rsidRPr="007647A8" w:rsidRDefault="00666E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electronic address (email) and the telephone number of the contact point or, in the absence thereof, the professional electronic address (email) and the telephone number of the contact person.</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Financial Intelligence Agency shall ensure that the information communicated under point 1 of this Article is updated without delay, as soon as a change occurs in the relevant data.</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competent authorities included in the communication list pursuant to this Article, within their competences, serve as a point of contact for the counterpart authorities of the Member States.</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Financial Intelligence Agency and the supervisory authorities, within their competences, serve as a contact point for AMLA.</w:t>
      </w:r>
    </w:p>
    <w:p w:rsidR="00142179" w:rsidRPr="007647A8" w:rsidRDefault="00142179" w:rsidP="002A39C9">
      <w:pPr>
        <w:widowControl w:val="0"/>
        <w:spacing w:after="0"/>
        <w:ind w:left="0" w:firstLine="0"/>
        <w:rPr>
          <w:rFonts w:ascii="Times New Roman" w:eastAsia="Arial Unicode MS" w:hAnsi="Times New Roman" w:cs="Times New Roman"/>
          <w:sz w:val="24"/>
          <w:szCs w:val="24"/>
          <w:lang w:bidi="en-US"/>
        </w:rPr>
      </w:pPr>
    </w:p>
    <w:p w:rsidR="007414CA" w:rsidRPr="007647A8" w:rsidRDefault="007414CA" w:rsidP="002A39C9">
      <w:pPr>
        <w:framePr w:hSpace="180" w:wrap="around" w:vAnchor="text" w:hAnchor="text" w:x="-899" w:y="1"/>
        <w:widowControl w:val="0"/>
        <w:snapToGrid w:val="0"/>
        <w:spacing w:after="0"/>
        <w:rPr>
          <w:rFonts w:ascii="Times New Roman" w:eastAsia="Calibri" w:hAnsi="Times New Roman"/>
          <w:sz w:val="16"/>
          <w:szCs w:val="16"/>
          <w:lang w:bidi="en-US"/>
        </w:rPr>
      </w:pPr>
    </w:p>
    <w:p w:rsidR="007D5BEB" w:rsidRPr="007647A8" w:rsidRDefault="003857B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76</w:t>
      </w:r>
    </w:p>
    <w:p w:rsidR="007414CA" w:rsidRPr="007647A8" w:rsidRDefault="006211A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Cooperation with AMLA</w:t>
      </w:r>
    </w:p>
    <w:p w:rsidR="007D5BEB" w:rsidRPr="007647A8" w:rsidRDefault="007D5BEB" w:rsidP="002A39C9">
      <w:pPr>
        <w:widowControl w:val="0"/>
        <w:spacing w:after="0"/>
        <w:ind w:left="0" w:firstLine="0"/>
        <w:rPr>
          <w:rFonts w:ascii="Times New Roman" w:eastAsia="Arial Unicode MS" w:hAnsi="Times New Roman" w:cs="Times New Roman"/>
          <w:sz w:val="24"/>
          <w:szCs w:val="24"/>
          <w:lang w:bidi="en-US"/>
        </w:rPr>
      </w:pPr>
    </w:p>
    <w:p w:rsidR="00842194" w:rsidRPr="007647A8" w:rsidRDefault="007D5BEB" w:rsidP="002A39C9">
      <w:pPr>
        <w:widowControl w:val="0"/>
        <w:spacing w:after="0"/>
        <w:ind w:left="0" w:firstLine="720"/>
        <w:rPr>
          <w:rFonts w:ascii="Times New Roman" w:eastAsia="Times New Roman" w:hAnsi="Times New Roman" w:cs="Times New Roman"/>
          <w:sz w:val="24"/>
          <w:szCs w:val="24"/>
        </w:rPr>
      </w:pPr>
      <w:r>
        <w:rPr>
          <w:rFonts w:ascii="Times New Roman" w:eastAsia="Arial Unicode MS" w:hAnsi="Times New Roman" w:cs="Times New Roman"/>
          <w:sz w:val="24"/>
          <w:szCs w:val="24"/>
          <w:lang w:bidi="en-US"/>
        </w:rPr>
        <w:t xml:space="preserve">The Financial Intelligence Agency and the supervisory authorities cooperate with AMLA and make available to it any information necessary for the fulfilment of its functions and competences, in accordance with this law. </w:t>
      </w:r>
    </w:p>
    <w:p w:rsidR="007D5BEB" w:rsidRPr="007647A8" w:rsidRDefault="007D5BEB" w:rsidP="002A39C9">
      <w:pPr>
        <w:widowControl w:val="0"/>
        <w:spacing w:after="0"/>
        <w:ind w:left="0" w:firstLine="0"/>
        <w:rPr>
          <w:rFonts w:ascii="Times New Roman" w:eastAsia="Arial Unicode MS" w:hAnsi="Times New Roman" w:cs="Times New Roman"/>
          <w:sz w:val="24"/>
          <w:szCs w:val="24"/>
          <w:lang w:bidi="en-US"/>
        </w:rPr>
      </w:pPr>
    </w:p>
    <w:p w:rsidR="00F402A3" w:rsidRPr="007647A8" w:rsidRDefault="00F402A3"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sz w:val="24"/>
          <w:szCs w:val="24"/>
          <w:lang w:bidi="en-US"/>
        </w:rPr>
        <w:t xml:space="preserve"> 2</w:t>
      </w:r>
    </w:p>
    <w:p w:rsidR="007D5BEB" w:rsidRPr="007647A8" w:rsidRDefault="007D5BEB"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Cooperation with other authorities and the exchange of confidential information</w:t>
      </w:r>
    </w:p>
    <w:p w:rsidR="007D5BEB" w:rsidRPr="007647A8" w:rsidRDefault="007D5BEB"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77</w:t>
      </w:r>
    </w:p>
    <w:p w:rsidR="007D5BEB" w:rsidRPr="007647A8" w:rsidRDefault="007D5BEB"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Cooperation in relation to credit institutions or financial institutions</w:t>
      </w:r>
    </w:p>
    <w:p w:rsidR="007D5BEB" w:rsidRPr="007647A8" w:rsidRDefault="007D5BEB"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6B0DF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Financial supervisors, the Financial Intelligence Agency and the competent authorities for the supervision of credit institutions or financial institutions under the legislation in force, cooperate closely among themselves and with the homologous authorities in the Member States, within their competences, and make available to each other the information necessary for the performance of their respective duties.</w:t>
      </w:r>
    </w:p>
    <w:p w:rsidR="007D5BEB" w:rsidRPr="007647A8" w:rsidRDefault="007D5BE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Cooperation and exchange of information, according to point 1 of this article, must not prejudice any prior verification or review procedure, analysis of the financial intelligence units, investigation or criminal proceedings, in accordance with the criminal or administrative legislation in force of the state where the financial supervisor or the authority entrusted with competencies for the supervision of credit institutions or financial institutions is located, and must not affect the obligation to preserve professional secrecy, as provided for in Article 80, point 1 of this law.</w:t>
      </w:r>
    </w:p>
    <w:p w:rsidR="007D5BEB" w:rsidRPr="007647A8" w:rsidRDefault="00D22C5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In cases where the financial supervisor identifies deficiencies in the internal control system for AML/CFT and the implementation of the requirements of Part II of this law by a credit institution, which significantly increase the risk to which the institution is or may be exposed, the financial supervisor immediately notifies the European Banking Authority (EBA) and the competent authority for the supervision of the credit institution under Directive 2013/36/EU, including the European Central Bank (ECB) acting in accordance with Regulation (EU) No. 1024/2013.</w:t>
      </w:r>
    </w:p>
    <w:p w:rsidR="007D5BEB" w:rsidRPr="007647A8" w:rsidRDefault="007D5BE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cases of a potentially increasing risk, financial supervisors must cooperate and exchange information with the competent authorities supervising the institution in accordance with Directive 2013/36/EU and draw up a joint assessment which must be notified to the EBA by the supervisor that sent the first notification. AMLA must be kept informed of any such notification.</w:t>
      </w:r>
    </w:p>
    <w:p w:rsidR="007D5BEB" w:rsidRPr="007647A8" w:rsidRDefault="000D444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In cases where the financial supervisor finds that a credit institution has refused to establish or has decided to terminate a business relationship, but the documentation of customer due diligence measures, in accordance with Article 103, point 1 of this law, does not justify this refusal or termination, it shall notify the authority responsible for ensuring that institution credit's compliance with Directive 2014/92/EU or Directive 2015/2366/EU.</w:t>
      </w:r>
    </w:p>
    <w:p w:rsidR="005C7327" w:rsidRPr="007647A8" w:rsidRDefault="00D30C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 Financial supervisors shall cooperate with the extraordinary intervention authorities, as defined in Article 2(1), point (18), of Directive 2014/59/EU or with the designated authorities, as defined in Article 2(1), point (18), of Directive 2014/49/EU. </w:t>
      </w:r>
    </w:p>
    <w:p w:rsidR="004C37F4" w:rsidRPr="007647A8" w:rsidRDefault="00297FA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Financial supervisors shall inform the authorities referred to in this point when, in the course of exercising their supervisory activities, they identify, for matters related to AML/CFT, one of the following situations:</w:t>
      </w:r>
    </w:p>
    <w:p w:rsidR="004C37F4" w:rsidRPr="007647A8" w:rsidRDefault="004C37F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increased probability that deposits become unavailable;</w:t>
      </w:r>
    </w:p>
    <w:p w:rsidR="00F51066" w:rsidRPr="007647A8" w:rsidRDefault="004C37F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there is a risk that a credit institution or financial institution is considered to be or may be under the conditions of extraordinary intervention pursuant to Article 32(4) of Directive 2014/59/EU.</w:t>
      </w:r>
    </w:p>
    <w:p w:rsidR="006842C4" w:rsidRPr="007647A8" w:rsidRDefault="006842C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At the request of the authorities referred to in the above paragraph, where there is an increased probability that deposits may become unavailable or the risk that a credit institution or financial institution may be considered to meet the conditions for extraordinary intervention under Article 32(4) of Directive 2014/59/EU, financial supervisors shall inform these authorities of any transaction, account or business relationship administered by that credit institution or financial institution that has been frozen or for which consent has not been given for the carrying out of transactions by the financial intelligence unit in accordance with Article 26 of this law. </w:t>
      </w:r>
    </w:p>
    <w:p w:rsidR="006474DC" w:rsidRPr="007647A8" w:rsidRDefault="006E627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Financial supervisors shall report every year to AMLA on their cooperation with other authorities in accordance with this Article, including the role of the Financial Intelligence Agency in this cooperation.</w:t>
      </w:r>
    </w:p>
    <w:p w:rsidR="00E36242" w:rsidRPr="007647A8" w:rsidRDefault="006E627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The minister responsible for finance, upon the proposal of the responsible authority, issues by instruction within six months from the acts issued by AMLA, instructions on cooperation between financial supervisors and the authorities referred to in points 3, 4 and 5, including the level of involvement of the financial intelligence units in this cooperation.</w:t>
      </w:r>
    </w:p>
    <w:p w:rsidR="00601073" w:rsidRPr="007647A8" w:rsidRDefault="00601073" w:rsidP="002A39C9">
      <w:pPr>
        <w:widowControl w:val="0"/>
        <w:spacing w:after="0"/>
        <w:ind w:left="0" w:firstLine="0"/>
        <w:jc w:val="center"/>
        <w:rPr>
          <w:rFonts w:ascii="Times New Roman" w:eastAsia="Arial Unicode MS" w:hAnsi="Times New Roman" w:cs="Times New Roman"/>
          <w:sz w:val="24"/>
          <w:szCs w:val="24"/>
          <w:lang w:bidi="en-US"/>
        </w:rPr>
      </w:pPr>
    </w:p>
    <w:p w:rsidR="00601073" w:rsidRPr="007647A8" w:rsidRDefault="005540B0"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78</w:t>
      </w:r>
    </w:p>
    <w:p w:rsidR="00601933" w:rsidRPr="007647A8" w:rsidRDefault="00601073"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Cooperation regarding statutory auditors and audit firms</w:t>
      </w:r>
    </w:p>
    <w:p w:rsidR="00601073" w:rsidRPr="007647A8" w:rsidRDefault="00601073" w:rsidP="002A39C9">
      <w:pPr>
        <w:widowControl w:val="0"/>
        <w:spacing w:after="0"/>
        <w:ind w:left="0" w:firstLine="0"/>
        <w:jc w:val="center"/>
        <w:rPr>
          <w:rFonts w:ascii="Times New Roman" w:eastAsia="Arial Unicode MS" w:hAnsi="Times New Roman" w:cs="Times New Roman"/>
          <w:sz w:val="24"/>
          <w:szCs w:val="24"/>
          <w:lang w:bidi="en-US"/>
        </w:rPr>
      </w:pPr>
    </w:p>
    <w:p w:rsidR="00601073" w:rsidRPr="007647A8" w:rsidRDefault="008025C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supervisory authorities for statutory auditors, as well as where applicable the public authorities supervising self-regulatory bodies under the provisions of this law, the Financial Intelligence Agency, as well as the competent public authority for the supervision of statutory auditors and audit firms, cooperate closely among themselves within the scope of their respective competences and exchange the information necessary for the performance of their respective duties.</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confidential information exchanged in accordance with this Article shall be used by the authorities referred to in point 1 only for the exercise of their functions under this law and the bylaws in force, the sectoral laws governing the field of supervision of statutory audit, as well as within the framework of administrative or judicial proceedings specifically related to the exercise of these functions.</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Cooperation and exchange of information between the authorities referred to in point 1 of this article may be restricted or prohibited in cases where such cooperation would prejudice an ongoing preliminary verification procedure, the analyses carried out by the Financial Intelligence Agency, investigative or criminal proceedings, or administrative proceedings, in accordance with the criminal or administrative legislation in force.</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601073"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79</w:t>
      </w:r>
    </w:p>
    <w:p w:rsidR="00601933" w:rsidRPr="007647A8" w:rsidRDefault="00601073"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Cooperation with the authorities responsible for the implementation of financial restrictive measures</w:t>
      </w:r>
    </w:p>
    <w:p w:rsidR="00601073" w:rsidRPr="007647A8" w:rsidRDefault="00601073" w:rsidP="002A39C9">
      <w:pPr>
        <w:widowControl w:val="0"/>
        <w:spacing w:after="0"/>
        <w:ind w:left="0" w:firstLine="0"/>
        <w:rPr>
          <w:rFonts w:ascii="Times New Roman" w:eastAsia="Arial Unicode MS" w:hAnsi="Times New Roman" w:cs="Times New Roman"/>
          <w:sz w:val="24"/>
          <w:szCs w:val="24"/>
          <w:lang w:bidi="en-US"/>
        </w:rPr>
      </w:pP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supervisory authorities, the Financial Intelligence Agency and the authorities responsible for the implementation of financial restrictive measures under the law in force, cooperate closely with each other, within their respective competences, and exchange with each other information that is relevant for the exercise of their respective duties.</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Confidential information exchanged in accordance with this article shall be used by the authorities referred to in point 1 only for the exercise of their functions under this law, sectoral laws, as well as within the framework of administrative or judicial proceedings specifically related to the exercise of these functions.</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Cooperation, including the exchange of information, between the authorities referred to in point 1 of this Article may be restricted or prohibited where such cooperation would prejudice an ongoing preliminary verification procedure, an ongoing investigation, or criminal or administrative proceedings, in accordance with the criminal or administrative legislation in force.</w:t>
      </w:r>
    </w:p>
    <w:p w:rsidR="00177B9B" w:rsidRPr="007647A8" w:rsidRDefault="00177B9B" w:rsidP="002A39C9">
      <w:pPr>
        <w:widowControl w:val="0"/>
        <w:spacing w:after="0"/>
        <w:ind w:left="0" w:firstLine="0"/>
        <w:jc w:val="center"/>
        <w:rPr>
          <w:rFonts w:ascii="Times New Roman" w:eastAsia="Arial Unicode MS" w:hAnsi="Times New Roman" w:cs="Times New Roman"/>
          <w:sz w:val="24"/>
          <w:szCs w:val="24"/>
          <w:lang w:bidi="en-US"/>
        </w:rPr>
      </w:pPr>
    </w:p>
    <w:p w:rsidR="000F0BFF"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80</w:t>
      </w:r>
    </w:p>
    <w:p w:rsidR="00601073" w:rsidRPr="007647A8" w:rsidRDefault="000F0BFF"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The obligation to maintain professional secrecy</w:t>
      </w:r>
    </w:p>
    <w:p w:rsidR="000F0BFF" w:rsidRPr="007647A8" w:rsidRDefault="000F0BFF" w:rsidP="002A39C9">
      <w:pPr>
        <w:widowControl w:val="0"/>
        <w:spacing w:after="0"/>
        <w:ind w:left="0" w:firstLine="0"/>
        <w:rPr>
          <w:rFonts w:ascii="Times New Roman" w:eastAsia="Arial Unicode MS" w:hAnsi="Times New Roman" w:cs="Times New Roman"/>
          <w:sz w:val="24"/>
          <w:szCs w:val="24"/>
          <w:lang w:bidi="en-US"/>
        </w:rPr>
      </w:pP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All persons who work or who have worked for the supervisory authorities and the competent authorities mentioned in this law, as well as the auditors or experts acting on behalf of these authorities, are obliged to maintain professional secrecy.</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Without prejudice to cases related to the investigation or prosecutions of offences according to the legislation in force, as well as the information provided to the Financial Intelligence Agency pursuant to Articles 19, 20, 21 and 22 of this law, the confidential information received by the persons referred to in point 1 of this article, during the exercise of duties under this law, may be disclosed only in summarised or aggregated form, in such a way that individual obliged entities cannot be identified.</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obligation to maintain professional secrecy continues even after the termination of the employment relationship or engagement with the relevant authority.</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Point 1 of this Article shall not prevent the exchange of information between:</w:t>
      </w:r>
    </w:p>
    <w:p w:rsidR="000F0BFF" w:rsidRPr="007647A8" w:rsidRDefault="000F0BFF" w:rsidP="002A39C9">
      <w:pPr>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supervisory authorities within the country, counterpart authorities of the Member States, including AMLA, when acting in the capacity of the supervisory authority, as well as the public authorities referred to in Article 60 of this law;</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supervisory authorities, public authorities referred to in Article 60 of this law and the Financial Intelligence Agency;</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supervisory authorities, the public authorities referred to in Article 60 of this law and the competent authorities defined in Article 85, point 1, letters “c” and “d”, or counterpart authorities that exercise the same functions under the applicable legislation;</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financial supervisory authorities and the authorities responsible for the supervision of credit institutions and financial institutions in accordance with the acts of the European Union and regulating the supervision of credit institutions and financial institutions, including the European Central Bank when acting in accordance with the acts of the European Union both within the Republic of Albania and with counterpart authorities of the Member States.</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For the purposes of </w:t>
      </w:r>
      <w:r>
        <w:rPr>
          <w:rFonts w:ascii="Times New Roman" w:hAnsi="Times New Roman" w:cs="Times New Roman"/>
          <w:sz w:val="24"/>
          <w:szCs w:val="24"/>
        </w:rPr>
        <w:t>letter</w:t>
      </w:r>
      <w:r>
        <w:rPr>
          <w:rFonts w:ascii="Times New Roman" w:eastAsia="Arial Unicode MS" w:hAnsi="Times New Roman" w:cs="Times New Roman"/>
          <w:sz w:val="24"/>
          <w:szCs w:val="24"/>
          <w:lang w:bidi="en-US"/>
        </w:rPr>
        <w:t xml:space="preserve"> “d”, the exchange of information shall be subject to the obligation to maintain professional secrecy provided for in point 1 of this article.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Every authority or self-regulatory body that receives confidential information in accordance with point 2 of this Article shall use this information only:</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for the exercise of its duties under this law, or other acts of the European Union in the field of AML/CFT, regulation and prudent supervision of credit institutions and financial institutions, including the imposition of fines or administrative measures;</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within the framework of an appeal made against a decision of the authority or self-regulatory body, including judicial proceedings;</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within the framework of judicial proceedings initiated in accordance with specific provisions provided for in this law, in acts of the European Union in the field of PPP/FT or in the field of regulation and prudent supervision of credit institutions and financial institutions.</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Breach of the obligation to preserve professional secrecy constitutes a disciplinary violation and, as the case may be, an administrative or criminal violation, in accordance with the legislation in force.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detailed rules for the classification, storage, processing and exchange of confidential information, as well as the technical and organisational measures for guaranteeing professional secrecy, shall be approved by decision of the Council of Ministers.</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C475C6"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81</w:t>
      </w:r>
    </w:p>
    <w:p w:rsidR="00601933" w:rsidRPr="007647A8" w:rsidRDefault="00C475C6"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Exchange of information between supervisory authorities and with other authorities</w:t>
      </w:r>
    </w:p>
    <w:p w:rsidR="00C475C6" w:rsidRPr="007647A8" w:rsidRDefault="00C475C6" w:rsidP="002A39C9">
      <w:pPr>
        <w:widowControl w:val="0"/>
        <w:spacing w:after="0"/>
        <w:ind w:left="0" w:firstLine="0"/>
        <w:rPr>
          <w:rFonts w:ascii="Times New Roman" w:eastAsia="Arial Unicode MS" w:hAnsi="Times New Roman" w:cs="Times New Roman"/>
          <w:sz w:val="24"/>
          <w:szCs w:val="24"/>
          <w:lang w:bidi="en-US"/>
        </w:rPr>
      </w:pP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With the exception of the cases provided for in Article 133, point 2 of this law, the competent authorities are authorised to exchange information between:</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supervisory authorities and public authorities that supervise the self-regulatory bodies under Chapter III of this law, both within the country and with the counterpart authorities of the Member States;</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supervisory authorities and authorities which, according to the law, are responsible for the supervision of financial markets, in the exercise of their respective supervisory functions;</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supervisory authorities responsible for statutory auditors and, where applicable, the public authorities that supervise the self-regulatory bodies under Chapter III of this law, as well as the competent public authorities for the supervision of statutory auditors and audit firms, in accordance with the acts regulating statutory audit, including counterpart authorities of the Member States.</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obligations to preserve professional secrecy provided for in Article 80, points 1 and 3, do not prevent the exchange of information according to point 1, </w:t>
      </w:r>
      <w:r>
        <w:rPr>
          <w:rFonts w:ascii="Times New Roman" w:hAnsi="Times New Roman" w:cs="Times New Roman"/>
          <w:sz w:val="24"/>
          <w:szCs w:val="24"/>
        </w:rPr>
        <w:t>letter</w:t>
      </w:r>
      <w:r>
        <w:rPr>
          <w:rFonts w:ascii="Times New Roman" w:eastAsia="Arial Unicode MS" w:hAnsi="Times New Roman" w:cs="Times New Roman"/>
          <w:sz w:val="24"/>
          <w:szCs w:val="24"/>
          <w:lang w:bidi="en-US"/>
        </w:rPr>
        <w:t xml:space="preserve"> “c”, of this article.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confidential information exchanged under this point shall be used only for the performance of the duties of the respective authorities and within the framework of administrative or judicial proceedings specifically related to the exercise of these functions. The information received shall, in any case, be subject to obligations for the preservation of professional secrecy equivalent to those provided for in Article 83, point 1, of this law.</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Supervisory authorities may authorise the disclosure of certain information to other national authorities that, according to the law, are responsible for the supervision of financial markets or that have special competencies in the field of the prevention or investigation of money laundering and </w:t>
      </w:r>
      <w:r>
        <w:rPr>
          <w:rFonts w:ascii="Times New Roman" w:hAnsi="Times New Roman" w:cs="Times New Roman"/>
          <w:sz w:val="24"/>
          <w:szCs w:val="24"/>
        </w:rPr>
        <w:t>criminal offences</w:t>
      </w:r>
      <w:r>
        <w:rPr>
          <w:rFonts w:ascii="Times New Roman" w:eastAsia="Arial Unicode MS" w:hAnsi="Times New Roman" w:cs="Times New Roman"/>
          <w:sz w:val="24"/>
          <w:szCs w:val="24"/>
          <w:lang w:bidi="en-US"/>
        </w:rPr>
        <w:t xml:space="preserve"> related to it or terrorist financing. The obligation to preserve professional secrecy, provided for in Article 83, points 1 and 3, does not constitute an obstacle to the provision of this information.</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However, the confidential information exchanged pursuant to this Article shall be used only for the performance of the legal duties of the relevant authorities. The persons who have access to this information shall be subject to obligations to preserve professional secrecy at least equivalent to those provided for in Article 83, paragraph 1, of this law.</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supervisory authorities may permit the provision of certain information related to the supervision of obliged entities for compliance with Part II of the law, to parliamentary committees of inquiry, the State Supreme Audit and other bodies that, according to the law, have investigative powers in the Republic of Albania, provided that the criteria set out below are met:</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relevant bodies have a clear mandate defined by law to investigate or to exercise control over the activity of the supervisory authorities or of the authorities responsible for the implementation of the legislation in the field of this supervision;</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information is strictly necessary for the fulfilment of the aforementioned mandate</w:t>
      </w:r>
      <w:r>
        <w:rPr>
          <w:rFonts w:ascii="Times New Roman" w:hAnsi="Times New Roman" w:cs="Times New Roman"/>
          <w:sz w:val="24"/>
          <w:szCs w:val="24"/>
        </w:rPr>
        <w:t xml:space="preserve"> in point</w:t>
      </w:r>
      <w:r>
        <w:rPr>
          <w:rFonts w:ascii="Times New Roman" w:eastAsia="Arial Unicode MS" w:hAnsi="Times New Roman" w:cs="Times New Roman"/>
          <w:sz w:val="24"/>
          <w:szCs w:val="24"/>
          <w:lang w:bidi="en-US"/>
        </w:rPr>
        <w:t>in point “a” of this Article;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persons who have access to this information shall be subject to obligations to preserve professional secrecy in accordance with national legislation, at least at the same level as those provided for in point 1 of this Article;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when the information has been received from a counterpart authority of a Member State, this information may not be disclosed without the express consent of the authority that has provided it, and only for the purpose for which this consent has been given.</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supervisory authorities may also permit the disclosure of information under this Article to temporary committees of inquiry established by the European Parliament, in accordance with Article 226 of the Treaty on the Functioning of the European Union and Article 2 of Decision 95/167/EC, Euratom, ECSC of the European Parliament, the Council and the Commission, to the extent and insofar as these acts of the European Union are applicable to the Republic of Albania pursuant to international agreements in force or upon its accession to the European Union, when such disclosure is necessary for the exercise of the activities of these committees.</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exchange of information under this Article shall be carried out to the extent necessary and proportionate to the purpose for which it is requested.</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036036" w:rsidRPr="007647A8" w:rsidRDefault="00036036"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82</w:t>
      </w:r>
    </w:p>
    <w:p w:rsidR="00036036" w:rsidRPr="007647A8" w:rsidRDefault="00036036"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Guidelines for interinstitutional cooperation</w:t>
      </w:r>
    </w:p>
    <w:p w:rsidR="00036036" w:rsidRPr="007647A8" w:rsidRDefault="00036036" w:rsidP="002A39C9">
      <w:pPr>
        <w:widowControl w:val="0"/>
        <w:spacing w:after="0"/>
        <w:ind w:left="0" w:firstLine="0"/>
        <w:rPr>
          <w:rFonts w:ascii="Times New Roman" w:eastAsia="Arial Unicode MS" w:hAnsi="Times New Roman" w:cs="Times New Roman"/>
          <w:sz w:val="24"/>
          <w:szCs w:val="24"/>
          <w:lang w:bidi="en-US"/>
        </w:rPr>
      </w:pPr>
    </w:p>
    <w:p w:rsidR="00036036" w:rsidRPr="007647A8" w:rsidRDefault="00173D5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Council of Ministers, upon the proposal of the minister responsible for finance, within 6 months from the adoption of the AMLA acts, shall issue by decision the manner and form of:</w:t>
      </w:r>
    </w:p>
    <w:p w:rsidR="00036036" w:rsidRPr="007647A8" w:rsidRDefault="0003603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cooperation between competent authorities according to Section 1 of this Chapter, as well as with the authorities referred to in Section 2 of this Chapter and the entities responsible for the central registers, to prevent money laundering and terrorist financing;</w:t>
      </w:r>
    </w:p>
    <w:p w:rsidR="00036036" w:rsidRPr="007647A8" w:rsidRDefault="00572FD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procedures that must be used by the competent authorities that exercise supervision or control over obliged entities under sectoral legislation, for taking into consideration the risks of money laundering and terrorist financing during the exercise of their powers.</w:t>
      </w:r>
    </w:p>
    <w:p w:rsidR="00036036" w:rsidRPr="007647A8" w:rsidRDefault="00036036" w:rsidP="002A39C9">
      <w:pPr>
        <w:widowControl w:val="0"/>
        <w:spacing w:after="0"/>
        <w:ind w:left="0" w:firstLine="0"/>
        <w:rPr>
          <w:rFonts w:ascii="Times New Roman" w:eastAsia="Arial Unicode MS" w:hAnsi="Times New Roman" w:cs="Times New Roman"/>
          <w:sz w:val="24"/>
          <w:szCs w:val="24"/>
          <w:lang w:bidi="en-US"/>
        </w:rPr>
      </w:pPr>
    </w:p>
    <w:p w:rsidR="00A600F2" w:rsidRPr="007647A8" w:rsidRDefault="00177B9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V</w:t>
      </w:r>
    </w:p>
    <w:p w:rsidR="00A600F2" w:rsidRPr="007647A8" w:rsidRDefault="00A600F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PROTECTION OF DATA</w:t>
      </w:r>
    </w:p>
    <w:p w:rsidR="00A600F2" w:rsidRPr="007647A8" w:rsidRDefault="00A600F2" w:rsidP="002A39C9">
      <w:pPr>
        <w:widowControl w:val="0"/>
        <w:spacing w:after="0"/>
        <w:ind w:left="0" w:firstLine="0"/>
        <w:rPr>
          <w:rFonts w:ascii="Times New Roman" w:eastAsia="Arial Unicode MS" w:hAnsi="Times New Roman" w:cs="Times New Roman"/>
          <w:b/>
          <w:sz w:val="24"/>
          <w:szCs w:val="24"/>
          <w:lang w:bidi="en-US"/>
        </w:rPr>
      </w:pPr>
    </w:p>
    <w:p w:rsidR="00A600F2"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83</w:t>
      </w:r>
    </w:p>
    <w:p w:rsidR="00601933" w:rsidRPr="007647A8" w:rsidRDefault="00A600F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Processing of certain categories of personal data</w:t>
      </w:r>
    </w:p>
    <w:p w:rsidR="00A600F2" w:rsidRPr="007647A8" w:rsidRDefault="00A600F2" w:rsidP="002A39C9">
      <w:pPr>
        <w:widowControl w:val="0"/>
        <w:spacing w:after="0"/>
        <w:ind w:left="0" w:firstLine="0"/>
        <w:rPr>
          <w:rFonts w:ascii="Times New Roman" w:eastAsia="Arial Unicode MS" w:hAnsi="Times New Roman" w:cs="Times New Roman"/>
          <w:b/>
          <w:sz w:val="24"/>
          <w:szCs w:val="24"/>
          <w:lang w:bidi="en-US"/>
        </w:rPr>
      </w:pP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The competent authorities, to the extent that it is necessary for the implementation of this law, may process </w:t>
      </w:r>
      <w:r>
        <w:rPr>
          <w:rFonts w:ascii="Times New Roman" w:hAnsi="Times New Roman" w:cs="Times New Roman"/>
          <w:sz w:val="24"/>
          <w:szCs w:val="24"/>
        </w:rPr>
        <w:t>special categories of personal data according to the legislation in force on the protection of personal data</w:t>
      </w:r>
      <w:r>
        <w:rPr>
          <w:rFonts w:ascii="Times New Roman" w:eastAsia="Arial Unicode MS" w:hAnsi="Times New Roman" w:cs="Times New Roman"/>
          <w:sz w:val="24"/>
          <w:szCs w:val="24"/>
          <w:lang w:bidi="en-US"/>
        </w:rPr>
        <w:t>, including data revealing racial or ethnic origin, political, religious or philosophical beliefs, membership in trade union organisations, as well as genetic data, biometric data, data concerning health or a person's sex life or sexual orientation, as well as personal data relating to criminal convictions and criminal offences, while guaranteeing appropriate protection measures for the rights and freedoms of the data subject, in addition to the following protection measures:</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processing of these data is carried out only on a case-by-case basis and only by the personnel of the competent authority who are specifically designated and authorised to carry out these duties;</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personnel of the competent authorities observes high professional standards in terms of confidentiality and protection of data, enjoys high integrity and possesses the necessary professional skills, including the ability for the ethical and secure handling of large groups of data;</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competent authorities put in place technical and organisational measures to ensure the security of the data in accordance with high technological standards;</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every access, processing, alteration or communication of these data is recorded and is traceable;</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data are kept only for as long as is necessary for the fulfilment of the purpose for which they have been processed and are deleted or anonymised after the completion of this purpose, in accordance with the legislation on the protection of personal data.</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competent authorities, through bylaws, ensure internal control and supervision mechanisms for the processing of these data, including periodic audits.</w:t>
      </w:r>
    </w:p>
    <w:p w:rsidR="002B39C9"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Processing of data </w:t>
      </w:r>
      <w:r>
        <w:rPr>
          <w:rFonts w:ascii="Times New Roman" w:hAnsi="Times New Roman" w:cs="Times New Roman"/>
          <w:sz w:val="24"/>
          <w:szCs w:val="24"/>
        </w:rPr>
        <w:t xml:space="preserve">relating to criminal convictions and criminal offences </w:t>
      </w:r>
      <w:r>
        <w:rPr>
          <w:rFonts w:ascii="Times New Roman" w:eastAsia="Arial Unicode MS" w:hAnsi="Times New Roman" w:cs="Times New Roman"/>
          <w:sz w:val="24"/>
          <w:szCs w:val="24"/>
          <w:lang w:bidi="en-US"/>
        </w:rPr>
        <w:t>is carried out in accordance with the legislation in force on the protection of personal data.</w:t>
      </w:r>
    </w:p>
    <w:p w:rsidR="00FF5902" w:rsidRPr="007647A8" w:rsidRDefault="00FF5902" w:rsidP="002A39C9">
      <w:pPr>
        <w:widowControl w:val="0"/>
        <w:spacing w:after="0"/>
        <w:ind w:left="0" w:firstLine="720"/>
        <w:rPr>
          <w:rFonts w:ascii="Times New Roman" w:eastAsia="Arial Unicode MS" w:hAnsi="Times New Roman" w:cs="Times New Roman"/>
          <w:sz w:val="24"/>
          <w:szCs w:val="24"/>
          <w:lang w:bidi="en-US"/>
        </w:rPr>
      </w:pPr>
    </w:p>
    <w:p w:rsidR="00B50333" w:rsidRPr="007647A8" w:rsidRDefault="00B50333" w:rsidP="002A39C9">
      <w:pPr>
        <w:widowControl w:val="0"/>
        <w:spacing w:after="0"/>
        <w:ind w:left="0" w:firstLine="0"/>
        <w:jc w:val="center"/>
        <w:rPr>
          <w:rFonts w:ascii="Times New Roman" w:eastAsia="Arial Unicode MS" w:hAnsi="Times New Roman" w:cs="Times New Roman"/>
          <w:b/>
          <w:sz w:val="24"/>
          <w:szCs w:val="24"/>
          <w:lang w:bidi="en-US"/>
        </w:rPr>
      </w:pPr>
    </w:p>
    <w:p w:rsidR="00B31D0E" w:rsidRPr="007647A8" w:rsidRDefault="003A581E"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PART II</w:t>
      </w:r>
    </w:p>
    <w:p w:rsidR="00B31D0E" w:rsidRPr="007647A8" w:rsidRDefault="00B31D0E" w:rsidP="002A39C9">
      <w:pPr>
        <w:widowControl w:val="0"/>
        <w:spacing w:after="0"/>
        <w:ind w:left="0" w:firstLine="0"/>
        <w:jc w:val="center"/>
        <w:rPr>
          <w:rFonts w:ascii="Times New Roman" w:eastAsia="Arial Unicode MS" w:hAnsi="Times New Roman" w:cs="Times New Roman"/>
          <w:b/>
          <w:sz w:val="24"/>
          <w:szCs w:val="24"/>
          <w:lang w:bidi="en-US"/>
        </w:rPr>
      </w:pPr>
    </w:p>
    <w:p w:rsidR="00B31D0E" w:rsidRPr="007647A8" w:rsidRDefault="00094B32" w:rsidP="002A39C9">
      <w:pPr>
        <w:shd w:val="clear" w:color="auto" w:fill="FFFFFF"/>
        <w:spacing w:after="0"/>
        <w:ind w:left="0"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ON THE MEASURES FOR IMPLEMENTATION BY OBLIGED ENTITIES FOR THE PREVENTION OF THE USE OF THE FINANCIAL SYSTEM FOR MONEY LAUNDERING AND TERRORIST FINANCING PURPOSES</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I</w:t>
      </w:r>
    </w:p>
    <w:p w:rsidR="00B31D0E" w:rsidRPr="007647A8" w:rsidRDefault="00B31D0E"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GENERAL PROVISIONS</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31D0E"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1</w:t>
      </w:r>
    </w:p>
    <w:p w:rsidR="00B31D0E" w:rsidRPr="007647A8" w:rsidRDefault="00B31D0E"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Subject matter and definitions</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A057D" w:rsidRPr="007647A8" w:rsidRDefault="003B43AD"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84</w:t>
      </w:r>
    </w:p>
    <w:p w:rsidR="00B31D0E" w:rsidRPr="007647A8" w:rsidRDefault="00B31D0E"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Subject matter</w:t>
      </w:r>
    </w:p>
    <w:p w:rsidR="00BA057D" w:rsidRPr="007647A8" w:rsidRDefault="00BA057D" w:rsidP="002A39C9">
      <w:pPr>
        <w:widowControl w:val="0"/>
        <w:spacing w:after="0"/>
        <w:ind w:left="0" w:firstLine="0"/>
        <w:jc w:val="center"/>
        <w:rPr>
          <w:rFonts w:ascii="Times New Roman" w:eastAsia="Arial Unicode MS" w:hAnsi="Times New Roman" w:cs="Times New Roman"/>
          <w:sz w:val="24"/>
          <w:szCs w:val="24"/>
          <w:lang w:bidi="en-US"/>
        </w:rPr>
      </w:pP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Part II of this law lays down the rules for:</w:t>
      </w:r>
    </w:p>
    <w:p w:rsidR="0050759E" w:rsidRPr="007647A8" w:rsidRDefault="0050759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measures that obliged entities must implement for the prevention of money laundering and the financing of terrorism;</w:t>
      </w:r>
    </w:p>
    <w:p w:rsidR="00B31D0E" w:rsidRPr="007647A8" w:rsidRDefault="00B31D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measures to restrict the use of financial instruments that enable the anonymity of the user.</w:t>
      </w:r>
    </w:p>
    <w:p w:rsidR="00EA1A09" w:rsidRPr="007647A8" w:rsidRDefault="00EA1A09" w:rsidP="002A39C9">
      <w:pPr>
        <w:widowControl w:val="0"/>
        <w:spacing w:after="0"/>
        <w:ind w:left="0" w:firstLine="720"/>
        <w:rPr>
          <w:rFonts w:ascii="Times New Roman" w:eastAsia="Arial Unicode MS" w:hAnsi="Times New Roman" w:cs="Times New Roman"/>
          <w:sz w:val="24"/>
          <w:szCs w:val="24"/>
          <w:lang w:bidi="en-US"/>
        </w:rPr>
      </w:pPr>
    </w:p>
    <w:p w:rsidR="00EA1A09" w:rsidRPr="007647A8" w:rsidRDefault="00EA1A09"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85</w:t>
      </w:r>
    </w:p>
    <w:p w:rsidR="00EA1A09" w:rsidRPr="007647A8" w:rsidRDefault="00EA1A09"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Definitions</w:t>
      </w:r>
    </w:p>
    <w:p w:rsidR="00EA1A09" w:rsidRPr="007647A8" w:rsidRDefault="00EA1A09" w:rsidP="002A39C9">
      <w:pPr>
        <w:widowControl w:val="0"/>
        <w:spacing w:after="0"/>
        <w:ind w:left="0" w:firstLine="0"/>
        <w:jc w:val="center"/>
        <w:rPr>
          <w:rFonts w:ascii="Times New Roman" w:eastAsia="Arial Unicode MS" w:hAnsi="Times New Roman" w:cs="Times New Roman"/>
          <w:sz w:val="24"/>
          <w:szCs w:val="24"/>
          <w:lang w:bidi="en-US"/>
        </w:rPr>
      </w:pPr>
    </w:p>
    <w:p w:rsidR="00CF5FD7" w:rsidRPr="007647A8" w:rsidRDefault="00EA1A09" w:rsidP="002A39C9">
      <w:pPr>
        <w:tabs>
          <w:tab w:val="left" w:pos="360"/>
        </w:tabs>
        <w:spacing w:after="0"/>
        <w:ind w:left="0" w:firstLine="720"/>
        <w:rPr>
          <w:rFonts w:ascii="Times New Roman" w:hAnsi="Times New Roman" w:cs="Times New Roman"/>
          <w:sz w:val="24"/>
          <w:szCs w:val="24"/>
        </w:rPr>
      </w:pPr>
      <w:r>
        <w:rPr>
          <w:rFonts w:ascii="Times New Roman" w:eastAsia="Arial Unicode MS" w:hAnsi="Times New Roman" w:cs="Times New Roman"/>
          <w:sz w:val="24"/>
          <w:szCs w:val="24"/>
          <w:lang w:bidi="en-US"/>
        </w:rPr>
        <w:t xml:space="preserve">For the purposes of the implementation of Part II of this law, the definitions apply </w:t>
      </w:r>
      <w:r>
        <w:rPr>
          <w:rFonts w:ascii="Times New Roman" w:hAnsi="Times New Roman" w:cs="Times New Roman"/>
          <w:sz w:val="24"/>
          <w:szCs w:val="24"/>
        </w:rPr>
        <w:t>defined in Part I, Part III and Part IV of this law, as well as the following definitions: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“competent authority” means:</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Financial Intelligence Agency (AIF);</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 supervisory authority;</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a public authority that has the function of investigating or prosecutions of offences of money laundering </w:t>
      </w:r>
      <w:r>
        <w:rPr>
          <w:rFonts w:ascii="Times New Roman" w:hAnsi="Times New Roman" w:cs="Times New Roman"/>
          <w:sz w:val="24"/>
          <w:szCs w:val="24"/>
        </w:rPr>
        <w:t xml:space="preserve">and criminal offences related to it, </w:t>
      </w:r>
      <w:r>
        <w:rPr>
          <w:rFonts w:ascii="Times New Roman" w:eastAsia="Arial Unicode MS" w:hAnsi="Times New Roman" w:cs="Times New Roman"/>
          <w:sz w:val="24"/>
          <w:szCs w:val="24"/>
          <w:lang w:bidi="en-US"/>
        </w:rPr>
        <w:t>ose të financimit të terrorizmit, ose të financimit të përhapjes së armëve të dëmtimit në masë, ose që ka funksionin e gjurmimit, ngrirjes, bllokimit, sekuestrimit apo konfiskimit të pasurive kriminale;</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a public authority with specific responsibilities in the fight against money laundering or terrorist financing;</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w:t>
      </w:r>
      <w:r>
        <w:rPr>
          <w:rStyle w:val="Strong"/>
          <w:rFonts w:ascii="Times New Roman" w:hAnsi="Times New Roman" w:cs="Times New Roman"/>
          <w:b w:val="0"/>
          <w:sz w:val="24"/>
          <w:szCs w:val="24"/>
        </w:rPr>
        <w:t>“supervisor”</w:t>
      </w:r>
      <w:r>
        <w:rPr>
          <w:rFonts w:ascii="Times New Roman" w:hAnsi="Times New Roman" w:cs="Times New Roman"/>
          <w:sz w:val="24"/>
          <w:szCs w:val="24"/>
        </w:rPr>
        <w:t xml:space="preserve"> means any body entrusted with responsibility for ensuring the compliance of obliged entities with the requirements of Part II of this law, including AMLA, when it exercises the powers provided for by the acts of the European Union;</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“supervisory authority” </w:t>
      </w:r>
      <w:r>
        <w:rPr>
          <w:rFonts w:ascii="Times New Roman" w:hAnsi="Times New Roman" w:cs="Times New Roman"/>
          <w:sz w:val="24"/>
          <w:szCs w:val="24"/>
        </w:rPr>
        <w:t xml:space="preserve">means a supervisor that is a public authority or public authority that supervises self-regulatory bodies </w:t>
      </w:r>
      <w:r>
        <w:rPr>
          <w:rFonts w:ascii="Times New Roman" w:eastAsia="Arial Unicode MS" w:hAnsi="Times New Roman" w:cs="Times New Roman"/>
          <w:sz w:val="24"/>
          <w:szCs w:val="24"/>
          <w:lang w:bidi="en-US"/>
        </w:rPr>
        <w:t>in the exercise of their supervisory functions under Chapter III of Part I of this law, or AMLA when acting in the capacity of the supervisor in accordance with the acts of the European Union;</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“self-regulatory body” means the body that represents the members of a profession and that has a role in their regulation, in carrying out certain supervisory or monitoring functions and in ensuring the implementation of the rules related to them;</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 “self-hosted address” has the same meaning as the definition given in Article 150, point 20;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“crypto-asset” has the same meaning as the definition given in the legislation on crypto-asset markets. This definition does not include the categories of crypto-assets which are excluded from the scope of application of that law;</w:t>
      </w:r>
    </w:p>
    <w:p w:rsidR="009C1DB0"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“crypto-asset-related service” has the same meaning as the definition given in the legislation on crypto-asset markets. For the purposes of this law, this definition does not include the provision of the service of advice in relation to crypto-assets;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8. “crypto-asset service provider” has the same meaning as the definition given in the legislation on crypto-asset markets when one or more crypto-asset services specified in that law are performed;</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9. “crypto-asset account” has the same meaning as the definition given in Article 150, point 19;</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10. “crypto-assets with increased anonymity” means crypto-assets that have built-in features to enable the anonymity of information on the transfer of crypto-assets, whether systematically or at the user's choice;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11. “Virtual IBAN” means an identifier that makes it possible for payments to be redirected to a payment account identified by an IBAN different from that identifier;</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12. “legal person identifier” means a unique alphanumeric reference code, based on the ISO 17442 standard, assigned to a legal person in the states of the European Union (</w:t>
      </w:r>
      <w:r>
        <w:rPr>
          <w:rFonts w:ascii="Times New Roman" w:eastAsia="Arial Unicode MS" w:hAnsi="Times New Roman" w:cs="Times New Roman"/>
          <w:i/>
          <w:sz w:val="24"/>
          <w:szCs w:val="24"/>
          <w:lang w:bidi="en-US"/>
        </w:rPr>
        <w:t>Legal Entity Identifier/LEI</w:t>
      </w:r>
      <w:r>
        <w:rPr>
          <w:rFonts w:ascii="Times New Roman" w:eastAsia="Arial Unicode MS" w:hAnsi="Times New Roman" w:cs="Times New Roman"/>
          <w:sz w:val="24"/>
          <w:szCs w:val="24"/>
          <w:lang w:bidi="en-US"/>
        </w:rPr>
        <w: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13. “tax identification number” means the number according to the registration certificate of the taxable person, issued in accordance with the legal framework in force, in which the NUIS/NIPT number is reflected;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14. “transitional account” is the correspondent account that is used directly by third parties to carry out business transactions on their behalf;</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15. “football agent” means the natural or legal person who, in return for payment, </w:t>
      </w:r>
      <w:r>
        <w:rPr>
          <w:rFonts w:ascii="Times New Roman" w:hAnsi="Times New Roman" w:cs="Times New Roman"/>
          <w:sz w:val="24"/>
          <w:szCs w:val="24"/>
        </w:rPr>
        <w:t>provides intermediary services and represents football players or professional football clubs in negotiations</w:t>
      </w:r>
      <w:r>
        <w:rPr>
          <w:rFonts w:ascii="Times New Roman" w:eastAsia="Arial Unicode MS" w:hAnsi="Times New Roman" w:cs="Times New Roman"/>
          <w:sz w:val="24"/>
          <w:szCs w:val="24"/>
          <w:lang w:bidi="en-US"/>
        </w:rPr>
        <w:t xml:space="preserve"> for the purpose of concluding a contract for a football player, or represents professional football clubs in negotiations for the purpose of concluding an agreement for the transfer of a football player;</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16. “professional football club” means any legal person that owns or administers a football club, which has been equipped with a licence and participates in the national football leagues in the country and whose players and personnel are engaged on a contractual basis and are paid for their services;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17. “source of wealth” means the totality of the funds and property possessed by the client;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18. “senior management" means the members of the management body, in its management function, as well as the officials and employees with sufficient knowledge of the exposure of the obliged entity to the risk of money laundering, financing of terrorism or financing of the proliferation of weapons of mass destruction and with sufficient experience to take decisions that affect its exposure to risk;</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19. “group” means a group of companies, composed of the parent undertaking, the subsidiary companies controlled by it, as well as all entities over which the parent undertaking or its controlled company exercises significant influence or in which it holds a participation and also creates an obligation for the preparation of consolidated financial statements, according to the legislation in force on accounting and financial statements;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20. "funds" or "property" means assets of every kind, whether tangible or intangible, movable or immovable, corporeal or incorporeal, as well as legal documents or legal instruments, in any form, including electronic or digital ones, that </w:t>
      </w:r>
      <w:r>
        <w:rPr>
          <w:rFonts w:ascii="Times New Roman" w:hAnsi="Times New Roman" w:cs="Times New Roman"/>
          <w:sz w:val="24"/>
          <w:szCs w:val="24"/>
        </w:rPr>
        <w:t>prove</w:t>
      </w:r>
      <w:r>
        <w:rPr>
          <w:rFonts w:ascii="Times New Roman" w:eastAsia="Arial Unicode MS" w:hAnsi="Times New Roman" w:cs="Times New Roman"/>
          <w:sz w:val="24"/>
          <w:szCs w:val="24"/>
          <w:lang w:bidi="en-US"/>
        </w:rPr>
        <w:t xml:space="preserve"> title of ownership or interest in such property, according to the criminal legislation in force;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21. “funds or other property” means any property, including, but not limited to, financial assets, economic resources, including oil and other natural resources, property of every kind, tangible or intangible, movable or immovable, however acquired, and legal documents or instruments in any form, including electronic or digital, evidencing title to or interest in such funds or other property, including, but not limited to, bank credits, travellers cheques, bank cheques, payment orders, shares, securities, bonds, drafts or </w:t>
      </w:r>
      <w:r>
        <w:rPr>
          <w:rFonts w:ascii="Times New Roman" w:hAnsi="Times New Roman" w:cs="Times New Roman"/>
          <w:sz w:val="24"/>
          <w:szCs w:val="24"/>
        </w:rPr>
        <w:t>letters of credit,</w:t>
      </w:r>
      <w:r>
        <w:rPr>
          <w:rFonts w:ascii="Times New Roman" w:eastAsia="Arial Unicode MS" w:hAnsi="Times New Roman" w:cs="Times New Roman"/>
          <w:sz w:val="24"/>
          <w:szCs w:val="24"/>
          <w:lang w:bidi="en-US"/>
        </w:rPr>
        <w:t xml:space="preserve"> and </w:t>
      </w:r>
      <w:r>
        <w:rPr>
          <w:rFonts w:ascii="Times New Roman" w:hAnsi="Times New Roman" w:cs="Times New Roman"/>
          <w:sz w:val="24"/>
          <w:szCs w:val="24"/>
        </w:rPr>
        <w:t xml:space="preserve">any interest, dividend or other income on or value accruing from or generated by such funds or other property, </w:t>
      </w:r>
      <w:r>
        <w:rPr>
          <w:rFonts w:ascii="Times New Roman" w:eastAsia="Arial Unicode MS" w:hAnsi="Times New Roman" w:cs="Times New Roman"/>
          <w:sz w:val="24"/>
          <w:szCs w:val="24"/>
          <w:lang w:bidi="en-US"/>
        </w:rPr>
        <w:t>and any other property that could potentially be used to obtain funds, goods or services;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22. “credit institution” has the meaning defined in the legislation in force on banks and for the purposes of this law also means:</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any legal person, the activity of which consists in accepting deposits or other repayable funds from the public and in granting credits for its own account;</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a branch of the credit institution when it is located in the territory of the Republic of Albania, regardless of whether its head office is located in a Member State of the European Union or in a third country. For the purposes of this point, "branch" means a place of business which forms a legally dependent part of a credit institution and which carries out directly all or part of the activities for which the institution has been authorised.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23. “financial institution” means any legal person, other than the credit institution, that carries out one or more financial activities in accordance with the sectoral legislation in force and that is subject to licensing, regulation or supervision by the competent authorities.</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Within the meaning of this law, the following are considered financial institutions, among others:</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non-bank financial institution, payment institution, including currency exchange offices, electronic money institutions, lending companies and other entities that provide financial services, according to the relevant legislation in force;</w:t>
      </w:r>
      <w:r>
        <w:t xml:space="preserve"> </w:t>
      </w:r>
      <w:r>
        <w:rPr>
          <w:rFonts w:ascii="Times New Roman" w:eastAsia="Arial Unicode MS" w:hAnsi="Times New Roman" w:cs="Times New Roman"/>
          <w:sz w:val="24"/>
          <w:szCs w:val="24"/>
          <w:lang w:bidi="en-US"/>
        </w:rPr>
        <w:t>as well as financial holding companies, mixed financial holding companies and holding companies with mixed financial activities;</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insurance and reinsurance companies insofar as they carry out life insurance activities or insurance activities linked to investments, as well as their parent undertakings under the relevant legislation in force; </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insurance intermediaries, when they carry out activities in the field of life insurance or insurance products linked to investments, except in cases where they act without holding or administering clients' funds and under the full responsibility of an insurance company;</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investment firms, collective investment funds, management companies of investment funds and managers of alternative investment funds;</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central securities depositories and other entities that perform functions of registration, settlement or safekeeping of financial instruments;</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creditors and credit intermediaries, insofar as they receive, hold or transfer funds in connection with credit agreements, according to the legislation in force;</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g) </w:t>
      </w:r>
      <w:r>
        <w:rPr>
          <w:rFonts w:ascii="Times New Roman" w:hAnsi="Times New Roman" w:cs="Times New Roman"/>
          <w:sz w:val="24"/>
          <w:szCs w:val="24"/>
        </w:rPr>
        <w:t>crypto-asset service providers</w:t>
      </w:r>
      <w:r>
        <w:rPr>
          <w:rFonts w:ascii="Times New Roman" w:eastAsia="Arial Unicode MS" w:hAnsi="Times New Roman" w:cs="Times New Roman"/>
          <w:sz w:val="24"/>
          <w:szCs w:val="24"/>
          <w:lang w:bidi="en-US"/>
        </w:rPr>
        <w:t>, including their exchange, safekeeping, administration or intermediation, in accordance with the legislation in force;</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 every branch in the territory of the Republic of Albania of a foreign financial institution, regardless of the location of the head office, insofar as it carries out activity in accordance with Albanian legislation.</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24. “basic information” means:</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 relation to a legal person:</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legal form and name of the legal person;</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instrument of establishment and the statute, if they are drawn up as separate documents;</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the address of the registered or official seat and, if it is different, the principal place of carrying out the activity and the place of establishment;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list of legal representatives;</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as the case may be, the list of shareholders or members, including information on the number of shares held by each shareholder and the categories of these shares, as well as the nature of the respective voting rights;</w:t>
      </w:r>
    </w:p>
    <w:p w:rsidR="00291901" w:rsidRPr="007647A8" w:rsidRDefault="002919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 where available, the registration number, the European legal person identifier, the tax identification number and the legal person identifier;</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vii. in the case of foundations, the property owned by the foundation to pursue its purposes;</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 relation to a legal arrangement: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name or unique identifier of the legal arrangement;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act of establishment of the trust or an equivalent act;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the purposes of the legal organisation, if there is any such thing;</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the property owned by the legal arrangement or managed through it;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the place of residence of the trustees of the special trust or persons holding equivalent positions in the similar legal arrangement and, if different, the place from which the special trust or the similar legal arrangement is administered;</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25. “shell institution” means:</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for credit institutions and financial institutions other than providers of crypto-asset services: a credit institution or a financial institution, or an institution carrying out activities equivalent to those carried out by credit institutions and financial institutions, established in a jurisdiction in which there is no physical presence, which implies the existence of genuine management and administrative functions, and which is not part of a regulated financial group;</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for crypto-asset service providers: an entity whose name appears in the register established by the law on crypto-asset markets or an entity of a third country that provides crypto-asset services without being licensed or registered, and without being subject to supervision in the framework of the fight against money laundering and terrorist financing in that country;</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26. </w:t>
      </w:r>
      <w:r>
        <w:rPr>
          <w:rFonts w:ascii="Times New Roman" w:hAnsi="Times New Roman" w:cs="Times New Roman"/>
          <w:sz w:val="24"/>
          <w:szCs w:val="24"/>
        </w:rPr>
        <w:t>“client” is the person who is a user of the services provided by the obliged entities specified in Article 86 of this law;</w:t>
      </w:r>
    </w:p>
    <w:p w:rsidR="00291901"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27. </w:t>
      </w:r>
      <w:r>
        <w:rPr>
          <w:rFonts w:ascii="Times New Roman" w:hAnsi="Times New Roman" w:cs="Times New Roman"/>
          <w:sz w:val="24"/>
          <w:szCs w:val="24"/>
        </w:rPr>
        <w:t>“guardian” means the person who is legally authorised to control and administer funds or property of a legal arrangement on behalf of a third party;</w:t>
      </w:r>
    </w:p>
    <w:p w:rsidR="00291901"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28. </w:t>
      </w:r>
      <w:r>
        <w:rPr>
          <w:rFonts w:ascii="Times New Roman" w:eastAsia="Arial Unicode MS" w:hAnsi="Times New Roman" w:cs="Times New Roman"/>
          <w:sz w:val="24"/>
          <w:szCs w:val="24"/>
          <w:lang w:bidi="en-US"/>
        </w:rPr>
        <w:t>"business relationship" means a business, professional or economic relationship connected with the professional activities of an obliged entity, which is established between an obliged entity and a client, including cases where there is no written contract, and which, at the time of its establishment, is expected to have or, subsequently, acquires a repeated or continuous character;</w:t>
      </w:r>
    </w:p>
    <w:p w:rsidR="00291901"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29. “correspondent relationship” means:</w:t>
      </w:r>
    </w:p>
    <w:p w:rsidR="00291901"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the provision of banking services by a credit institution as a correspondent to another credit institution as a respondent, including the provision of current account services or other liability accounts and related services, such as cash management, international transfers of funds, as defined in the legislation in force, clearing/settlement of cheques, </w:t>
      </w:r>
      <w:r>
        <w:rPr>
          <w:rFonts w:ascii="Times New Roman" w:hAnsi="Times New Roman" w:cs="Times New Roman"/>
          <w:sz w:val="24"/>
          <w:szCs w:val="24"/>
        </w:rPr>
        <w:t>accounts through which clients can directly make payments</w:t>
      </w:r>
      <w:r>
        <w:rPr>
          <w:rFonts w:ascii="Times New Roman" w:eastAsia="Arial Unicode MS" w:hAnsi="Times New Roman" w:cs="Times New Roman"/>
          <w:sz w:val="24"/>
          <w:szCs w:val="24"/>
          <w:lang w:bidi="en-US"/>
        </w:rPr>
        <w:t xml:space="preserve"> and foreign exchange services;</w:t>
      </w:r>
    </w:p>
    <w:p w:rsidR="00291901"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relationships between credit institutions and financial institutions including cases where similar services are provided by a correspondent institution to a host institution, and including relationships established for securities transactions or transfers of funds according to the definitions in the legislation in force, transactions with crypto-assets or transfers of crypto-assets;</w:t>
      </w:r>
    </w:p>
    <w:p w:rsidR="006221C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30. “financial restrictive measures” means EU financial restrictive measures, UN financial restrictive measures and UN financial restrictive measures </w:t>
      </w:r>
      <w:r>
        <w:rPr>
          <w:rFonts w:ascii="Times New Roman" w:hAnsi="Times New Roman" w:cs="Times New Roman"/>
          <w:sz w:val="24"/>
          <w:szCs w:val="24"/>
        </w:rPr>
        <w:t>in relation to the financing of the proliferation of weapons of mass destruction;</w:t>
      </w:r>
    </w:p>
    <w:p w:rsidR="007F5988"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31. “EU financial restrictive measures” means the freezing of property, as well as the prohibition of making available, directly or indirectly, funds or other property for the benefit of persons and entities designated by the acts of the European Union, applicable in the Republic of Albania in accordance with the legislation in force on international restrictive measures. </w:t>
      </w:r>
    </w:p>
    <w:p w:rsidR="007F5988"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32. “UN financial restrictive measures” means freezing, blocking of property, as well as the prohibition of making available, directly or indirectly, funds or other property for the benefit of persons and entities designated in accordance with:</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Resolution 1267 (1999) of the UN Security Council and its subsequent resolutions;</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Resolution 1373 (2001) of the UN Security Council, including the decision on the implementation of the relevant sanctions against the person or entity and the public communication of this decision;</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UN financial restrictive measures </w:t>
      </w:r>
      <w:r>
        <w:rPr>
          <w:rFonts w:ascii="Times New Roman" w:hAnsi="Times New Roman" w:cs="Times New Roman"/>
          <w:sz w:val="24"/>
          <w:szCs w:val="24"/>
        </w:rPr>
        <w:t>in relation to the financing of the proliferation of weapons of mass destruction</w:t>
      </w:r>
      <w:r>
        <w:rPr>
          <w:rFonts w:ascii="Times New Roman" w:eastAsia="Arial Unicode MS" w:hAnsi="Times New Roman" w:cs="Times New Roman"/>
          <w:sz w:val="24"/>
          <w:szCs w:val="24"/>
          <w:lang w:bidi="en-US"/>
        </w:rPr>
        <w:t>.</w:t>
      </w:r>
    </w:p>
    <w:p w:rsidR="00BD1059" w:rsidRPr="007647A8" w:rsidRDefault="00E7757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These measures have the same meaning and are applicable in the Republic of Albania in accordance with the legislation in force on measures against the financing of terrorism;</w:t>
      </w:r>
    </w:p>
    <w:p w:rsidR="00BD1059"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33. “UN financial restrictive measures </w:t>
      </w:r>
      <w:r>
        <w:rPr>
          <w:rFonts w:ascii="Times New Roman" w:hAnsi="Times New Roman" w:cs="Times New Roman"/>
          <w:sz w:val="24"/>
          <w:szCs w:val="24"/>
        </w:rPr>
        <w:t>in relation to the financing of the proliferation of weapons of mass destruction”</w:t>
      </w:r>
      <w:r>
        <w:rPr>
          <w:rFonts w:ascii="Times New Roman" w:eastAsia="Arial Unicode MS" w:hAnsi="Times New Roman" w:cs="Times New Roman"/>
          <w:sz w:val="24"/>
          <w:szCs w:val="24"/>
          <w:lang w:bidi="en-US"/>
        </w:rPr>
        <w:t xml:space="preserve"> means freezing, freezing of property, as well as prohibitions on making available funds or other property, directly or indirectly, for the benefit of designated or listed persons and entities in accordance with:</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Resolution 1718 (2006) of the UN Security Council and its subsequent resolutions;</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Resolution 2231 (2015) of the UN Security Council and its subsequent resolutions;</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any other resolution of the UN Security Council that imposes the freezing of assets and the prohibition of making available funds or other property in relation to the financing of the proliferation of weapons of mass destruction. </w:t>
      </w:r>
    </w:p>
    <w:p w:rsidR="001263FB" w:rsidRPr="007647A8" w:rsidRDefault="00BD105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These measures have the same meaning and are applicable in the Republic of Albania in accordance with the law in force on international restrictive measures in the Republic of Albania. </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34. “high-value goods” means the goods listed in Annex IV of Part II of this law;</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35. “precious metals and stones” are the metals and stones listed in Annex V of Part II of this law;</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36. “cultural goods” are properties that have artistic, historical, archaeological, ethnographic or cultural value according to the definitions in the legislation on cultural heritage;</w:t>
      </w:r>
    </w:p>
    <w:p w:rsidR="001263FB" w:rsidRPr="007647A8" w:rsidRDefault="00487E0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37. “monetary instruments” has the same meaning as the definition set out in Article 185, point 1, of this law;</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38. "management body" means the body or bodies of the obliged entity that are appointed in accordance with the definitions in the applicable sectoral legislation, which have powers to determine the strategy, objectives and overall direction of the obliged entity, as well as which supervise and monitor management decision-making, and include the persons who effectively direct the activity of the obliged entity; where such a body does not exist, the person who effectively directs the activity of the obliged entity shall be considered as the management body;</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39. "management body in its management function" means the management body responsible for the daily operation and administration of the obliged entity; </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40. "management body in its supervisory function" means the management body acting in its supervisory and monitoring role of managerial decision-making;</w:t>
      </w:r>
    </w:p>
    <w:p w:rsidR="001263FB"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41. “crowdfunding service provider” means any legal person that, within the framework of its professional activity, operates a digital platform or another organisational mechanism to facilitate the raising of funds from an indeterminate number of investors or contributors for the financing of projects, economic activities or entities, through lending, investment or other forms of financing, in accordance with the provisions of the relevant legislation;</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42. “of</w:t>
      </w:r>
      <w:r>
        <w:rPr>
          <w:rFonts w:ascii="Times New Roman" w:hAnsi="Times New Roman" w:cs="Times New Roman"/>
          <w:sz w:val="24"/>
          <w:szCs w:val="24"/>
        </w:rPr>
        <w:t xml:space="preserve">“crowdfunding intermediary” means </w:t>
      </w:r>
      <w:r>
        <w:rPr>
          <w:rFonts w:ascii="Times New Roman" w:eastAsia="Arial Unicode MS" w:hAnsi="Times New Roman" w:cs="Times New Roman"/>
          <w:sz w:val="24"/>
          <w:szCs w:val="24"/>
          <w:lang w:bidi="en-US"/>
        </w:rPr>
        <w:t>another undertaking other than a crowdfunding service provider, the activity of which consists in matching or facilitating matching, through an information system based on the internet open to the public or to a limited number of funders, of:</w:t>
      </w:r>
    </w:p>
    <w:p w:rsidR="001263FB"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holders of projects, who are natural or legal persons seeking financing for projects, consisting of one or a group of predefined operations aiming at a specific objective, including the raising of funds for a specific cause or event, regardless of whether these projects are proposed to the public or to a limited number of financiers; and</w:t>
      </w:r>
    </w:p>
    <w:p w:rsidR="00D54526"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financiers, who are any natural or legal person contributing to the financing of projects, through loans, with or without interest, or donations, including cases where such donations entitle the donor to a non-material benefit;</w:t>
      </w:r>
    </w:p>
    <w:p w:rsidR="006B52D7"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43. “laundering of proceeds of criminal offence” has the same meaning as in Article 287 of the Criminal Code;</w:t>
      </w:r>
    </w:p>
    <w:p w:rsidR="006B52D7"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44. “terrorist financing” has the same meaning as in Articles 230/a to 230/ç of the Criminal Code;</w:t>
      </w:r>
    </w:p>
    <w:p w:rsidR="00D22492"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45. “criminal activity” means any activity that constitutes a criminal offence under the criminal legislation in force of the Republic of Albania.</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the purposes of this law, within the meaning of criminal activity there are also included, without being limited to:</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criminal offences that, according to the criminal legislation in force, are related to the laundering of proceeds of crime, the financing of terrorism, organised crime, corruption, fraud, misappropriation or any other form of unlawful gain from criminal activity;</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criminal offences that affect the financial interests of the state, including fraud, active and passive corruption, as well as misappropriation or misuse of public funds, according to the criminal and financial legislation in force;</w:t>
      </w:r>
    </w:p>
    <w:p w:rsidR="00D22492" w:rsidRPr="007647A8" w:rsidRDefault="006221CB" w:rsidP="002A39C9">
      <w:pPr>
        <w:widowControl w:val="0"/>
        <w:spacing w:after="0"/>
        <w:ind w:left="0" w:firstLine="720"/>
        <w:rPr>
          <w:rFonts w:ascii="Times New Roman" w:hAnsi="Times New Roman" w:cs="Times New Roman"/>
          <w:sz w:val="24"/>
          <w:szCs w:val="24"/>
        </w:rPr>
      </w:pPr>
      <w:r>
        <w:rPr>
          <w:rFonts w:ascii="Times New Roman" w:eastAsia="Arial Unicode MS" w:hAnsi="Times New Roman" w:cs="Times New Roman"/>
          <w:sz w:val="24"/>
          <w:szCs w:val="24"/>
          <w:lang w:bidi="en-US"/>
        </w:rPr>
        <w:t xml:space="preserve">46. </w:t>
      </w:r>
      <w:r>
        <w:rPr>
          <w:rFonts w:ascii="Times New Roman" w:hAnsi="Times New Roman" w:cs="Times New Roman"/>
          <w:sz w:val="24"/>
          <w:szCs w:val="24"/>
        </w:rPr>
        <w:t>“person”, within the meaning of this law, means the individual, the natural person, the natural person trader or the legal person;</w:t>
      </w:r>
    </w:p>
    <w:p w:rsidR="00D22492" w:rsidRPr="007647A8" w:rsidRDefault="006221C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47. “know your customer procedures” means a set of rules, used by obliged entities, related to customer acceptance and identification policies and the management of their risk;</w:t>
      </w:r>
    </w:p>
    <w:p w:rsidR="00D22492"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48. </w:t>
      </w:r>
      <w:r>
        <w:rPr>
          <w:rFonts w:ascii="Times New Roman" w:eastAsia="Arial Unicode MS" w:hAnsi="Times New Roman" w:cs="Times New Roman"/>
          <w:sz w:val="24"/>
          <w:szCs w:val="24"/>
          <w:lang w:bidi="en-US"/>
        </w:rPr>
        <w:t>“beneficial owner” has the same meaning as in the legislation in force on the register of beneficial owners;</w:t>
      </w:r>
    </w:p>
    <w:p w:rsidR="00D22492"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49. “politically exposed person” means a natural person who is or has been entrusted with prominent public functions, including:</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 the Republic of Albania:</w:t>
      </w:r>
    </w:p>
    <w:p w:rsidR="00D22492" w:rsidRPr="007647A8" w:rsidRDefault="00D2249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head of state, the head of government, ministers and deputy ministers;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members of parliament;</w:t>
      </w:r>
    </w:p>
    <w:p w:rsidR="00D22492" w:rsidRPr="007647A8" w:rsidRDefault="00435CF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members of the governing bodies of political parties that hold seats in the national executive or legislative bodies, or in the regional or local executive or legislative bodies that represent electoral areas with at least 50 000 inhabitants;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members of supreme courts, of constitutional courts or of other high-level judicial bodies, the decisions of which cannot be appealed further, except in exceptional circumstances;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members of courts of auditors or of the board of the central bank;</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 ambassadors, chargés d'affaires and high-ranking officers in the armed forces;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vii. the members of the administrative, management or supervisory bodies of undertakings controlled on the basis of any of the relationships listed in the law on accounting and financial statements or when these undertakings qualify as medium-sized or large undertakings or medium-sized or large groups, as defined in this law, by regional or local authorities;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viii. heads of local or regional authorities, including mayors and heads of county structures, who exercise important public functions, with at least 50,000 inhabitants;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ix. individuals, who are obliged to make the declaration of their property, in accordance with the legislation in force in the Republic of Albania, on the declaration and control of the property, of the financial obligations of elected persons and of certain public officials, with the exception of middle-level or lower-level managerial officials, regardless of whether they have the obligation to declare under the legislation in force on the declaration and control of the property, of the financial obligations of elected persons and of certain public officials.</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 an international organisation:</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highest-ranking officials, their deputies and board members or equivalent functions in an international organisation;</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representatives in the Republic of Albania;</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at European Union level: functions at the level of the institutions and bodies of the European Union that are equivalent to those listed in letter “a”, subpoints “i”, “ii”, “iv”, “v” and “vi” of this point; </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in a third country: functions equivalent to those provided for in letter “a” of this point, except for subpoint “ix”;</w:t>
      </w:r>
    </w:p>
    <w:p w:rsidR="007650D5"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50. The public functions referred to in point 49 of this Article do not include the functions of public officials of the middle or lower level.</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Where this is justified by the administrative organisation and by the risk of money laundering or terrorist financing, lower thresholds may be determined by law for the determination of prominent public functions as follows:</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members of the governing bodies of political parties represented at regional or local level, as referred to in point 49, letter “a”, subpoint “iii” of this Article;</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heads of regional and local authorities, as referred to in point 49, letter "a", subpoint “viii” of this article; </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 relation to point 49, letter “a”, subpoint “vii” of this article, when this is justified by the administrative structure and by the level of risk, lower thresholds may be determined by law for the identification of undertakings controlled by regional or local authorities, compared with the general thresholds provided for by the legislation in force on accounting and financial statements;</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where this is justified by their social and cultural structures and by the level of risk, the competent authorities may determine a broader scope of application for the definition of brothers and sisters as family members of politically exposed persons, as referred to in point 51, letter “d” of this article.</w:t>
      </w:r>
    </w:p>
    <w:p w:rsidR="007650D5"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51. “family member” is:</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husband or wife, cohabiting partner, or a person in a registered partnership or civil union or in a similar relationship;</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child and the spouse or wife, cohabiting partner or cohabiting partner of the child, or a person in a registered partnership or civil union or in a similar relationship with the child;</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parent;</w:t>
      </w:r>
      <w:bookmarkStart w:id="0" w:name="bookmark4"/>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for the functions referred to in point 49, letter "a", subpoint “i” and equivalent functions at the level of the European Union or in a third country, the brother or sister;</w:t>
      </w:r>
      <w:bookmarkEnd w:id="0"/>
    </w:p>
    <w:p w:rsidR="007650D5" w:rsidRPr="007647A8" w:rsidRDefault="00CD017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52. “person known to be a close associate” means:</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a natural person who is known to have a joint beneficial ownership over legal persons or legal arrangements, or any other close business relationship, with a politically exposed person;</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 natural person who has sole beneficial ownership of a legal person or legal arrangement known to have been set up for the de facto benefit of a politically exposed person;</w:t>
      </w:r>
    </w:p>
    <w:p w:rsidR="007650D5" w:rsidRPr="007647A8" w:rsidRDefault="00E53C53"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53. “physical money” means coins and banknotes, domestic and foreign, in circulation;</w:t>
      </w:r>
    </w:p>
    <w:p w:rsidR="007650D5"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54.</w:t>
      </w:r>
      <w:r>
        <w:rPr>
          <w:rFonts w:ascii="Times New Roman" w:eastAsia="Arial Unicode MS" w:hAnsi="Times New Roman" w:cs="Times New Roman"/>
          <w:sz w:val="24"/>
          <w:szCs w:val="24"/>
          <w:lang w:bidi="en-US"/>
        </w:rPr>
        <w:t xml:space="preserve"> “electronic money” means monetary value stored in electronic or magnetic form, represented by a claim on the issuer, which is issued upon receipt of funds for the purpose of carrying out payment transactions and which is accepted by natural or legal persons other than the issuer, according to the definitions of the legislation in force on the payment service.</w:t>
      </w:r>
    </w:p>
    <w:p w:rsidR="007650D5"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Within the meaning of this law, the monetary value stored on instruments that are used only for limited purposes is not included, including instruments that enable the purchase of goods or services only on the issuer's premises or within a limited service network, as well as instruments that are used only for a limited range of goods or services;</w:t>
      </w:r>
    </w:p>
    <w:p w:rsidR="007650D5"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55. “information-sharing partnership” means the mechanism that enables the sharing and processing of information between obliged entities and, as the case may be, the competent authorities defined in point 1 letters “a”, “b”, “c” of this article, for the purpose of the prevention of money laundering </w:t>
      </w:r>
      <w:r>
        <w:rPr>
          <w:rFonts w:ascii="Times New Roman" w:hAnsi="Times New Roman" w:cs="Times New Roman"/>
          <w:sz w:val="24"/>
          <w:szCs w:val="24"/>
        </w:rPr>
        <w:t>and criminal offences related to it</w:t>
      </w:r>
      <w:r>
        <w:rPr>
          <w:rFonts w:ascii="Times New Roman" w:eastAsia="Arial Unicode MS" w:hAnsi="Times New Roman" w:cs="Times New Roman"/>
          <w:sz w:val="24"/>
          <w:szCs w:val="24"/>
          <w:lang w:bidi="en-US"/>
        </w:rPr>
        <w:t>dhe financimit të terrorizmit, si në nivel kombëtar ashtu edhe ndërkufitar, dhe pavarësisht nga forma e këtij partneriteti;</w:t>
      </w:r>
    </w:p>
    <w:p w:rsidR="00D54526"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56. </w:t>
      </w:r>
      <w:r>
        <w:rPr>
          <w:rFonts w:ascii="Times New Roman" w:hAnsi="Times New Roman" w:cs="Times New Roman"/>
          <w:sz w:val="24"/>
          <w:szCs w:val="24"/>
        </w:rPr>
        <w:t>“money or value transfer service” means the carrying out of business to accept physical money or other money market funds or instruments and/or payments (cheques, bills, certificates of deposits, debit or credit cards, electronic payment cards, etc.), securities, as well as any other document that proves the existence of a monetary obligation or another deposited value and to pay the payee a corresponding amount in physical money, or in another form, by means of communication, message, transfer or through the clearing or settlement system, to which the money or value transfer service belongs.</w:t>
      </w:r>
    </w:p>
    <w:p w:rsidR="007650D5"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57. “parent undertaking" means:</w:t>
      </w:r>
    </w:p>
    <w:p w:rsidR="00B23CDC"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for groups with headquarters in the Republic of Albania or in another state </w:t>
      </w:r>
      <w:r>
        <w:rPr>
          <w:rFonts w:ascii="Times New Roman" w:hAnsi="Times New Roman" w:cs="Times New Roman"/>
          <w:sz w:val="24"/>
          <w:szCs w:val="24"/>
        </w:rPr>
        <w:t>of the European Union</w:t>
      </w:r>
      <w:r>
        <w:rPr>
          <w:rFonts w:ascii="Times New Roman" w:eastAsia="Arial Unicode MS" w:hAnsi="Times New Roman" w:cs="Times New Roman"/>
          <w:sz w:val="24"/>
          <w:szCs w:val="24"/>
          <w:lang w:bidi="en-US"/>
        </w:rPr>
        <w:t>, an obliged entity that is considered a parent undertaking according to the legislation in force on accounting and statutory auditing, which is not itself a subsidiary of another company, provided that at least one of its subsidiaries is an obliged entity under this law;</w:t>
      </w:r>
    </w:p>
    <w:p w:rsidR="00B23CDC"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for groups with head offices outside the territory of the Republic of Albania, when at least two of their branches are obliged entities located in the territory of the Republic of Albania, a company of this group established in the territory of the Republic of Albania that:</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is an obliged entity under this law;</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is a company that is not a subsidiary of another company that is an obliged entity and that is established in the territory of the European Union;</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has a sufficient role and weight within the group, as well as sufficient knowledge of the group's activity that is subject to the requirements of this law; and</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is assigned responsibility for the implementation of the requirements at group level, in accordance with the provisions of this law governing the requirements applicable at group level.</w:t>
      </w:r>
    </w:p>
    <w:p w:rsidR="00B23CDC"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58. “mixed-activity financial holding company” means a company, other than a financial holding company or a mixed financial holding company, which is not a subsidiary of another company and whose subsidiaries include at least one credit institution or one financial institution;</w:t>
      </w:r>
    </w:p>
    <w:p w:rsidR="00B23CDC"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59. </w:t>
      </w:r>
      <w:bookmarkStart w:id="1" w:name="bookmark3"/>
      <w:r>
        <w:rPr>
          <w:rFonts w:ascii="Times New Roman" w:eastAsia="Arial Unicode MS" w:hAnsi="Times New Roman" w:cs="Times New Roman"/>
          <w:sz w:val="24"/>
          <w:szCs w:val="24"/>
          <w:lang w:bidi="en-US"/>
        </w:rPr>
        <w:t>“mixed non-financial holding companies” means a company, other than a financial holding company or a mixed financial holding company, which is not a subsidiary of another company, the subsidiaries of which include at least one obliged entity referred to in Article 86, point 3 of the law;</w:t>
      </w:r>
      <w:bookmarkEnd w:id="1"/>
    </w:p>
    <w:p w:rsidR="004F31C2" w:rsidRPr="007647A8" w:rsidRDefault="004F31C2" w:rsidP="004F31C2">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60. “gambling services” means the service that includes the placing of bets with an amount of monetary value on games of chance, including those that contain elements of skill, such as lotteries, casino games, poker games and betting transactions that are offered at a physical location, or by any means at a distance, by electronic means or by any other technology that facilitates communication, and at the individual request of the recipient of the service;</w:t>
      </w:r>
    </w:p>
    <w:p w:rsidR="00B23CDC" w:rsidRPr="007647A8" w:rsidRDefault="00722FE2" w:rsidP="002A39C9">
      <w:pPr>
        <w:widowControl w:val="0"/>
        <w:spacing w:after="0"/>
        <w:ind w:left="0" w:firstLine="720"/>
        <w:rPr>
          <w:rFonts w:ascii="Times New Roman" w:hAnsi="Times New Roman" w:cs="Times New Roman"/>
          <w:sz w:val="24"/>
          <w:szCs w:val="24"/>
        </w:rPr>
      </w:pPr>
      <w:r>
        <w:rPr>
          <w:rFonts w:ascii="Times New Roman" w:eastAsia="Arial Unicode MS" w:hAnsi="Times New Roman" w:cs="Times New Roman"/>
          <w:sz w:val="24"/>
          <w:szCs w:val="24"/>
          <w:lang w:bidi="en-US"/>
        </w:rPr>
        <w:t xml:space="preserve">61. </w:t>
      </w:r>
      <w:r>
        <w:rPr>
          <w:rFonts w:ascii="Times New Roman" w:hAnsi="Times New Roman" w:cs="Times New Roman"/>
          <w:sz w:val="24"/>
          <w:szCs w:val="24"/>
        </w:rPr>
        <w:t>“transaction” means an exchange and/or interaction, involving two or more parties, or an action requested by the client on his own account without the involvement of other parties.</w:t>
      </w:r>
    </w:p>
    <w:p w:rsidR="00B23CDC" w:rsidRPr="007647A8" w:rsidRDefault="00722FE2"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62. </w:t>
      </w:r>
      <w:r>
        <w:rPr>
          <w:rFonts w:ascii="Times New Roman" w:eastAsia="Arial Unicode MS" w:hAnsi="Times New Roman" w:cs="Times New Roman"/>
          <w:sz w:val="24"/>
          <w:szCs w:val="24"/>
          <w:lang w:bidi="en-US"/>
        </w:rPr>
        <w:t>“transactions linked to each other” means two or more transactions with the same or similar origin, destination and purpose, or with other relevant characteristics, carried out during a certain period of time;</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63. "occasional transaction" means any transaction carried out by an obliged entity outside the framework of a business relationship, regardless of whether it is carried out in a single transaction or in several transactions that appear to be linked to each other.</w:t>
      </w:r>
    </w:p>
    <w:p w:rsidR="00B23CDC" w:rsidRPr="007647A8" w:rsidRDefault="00722FE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64. “special trust” means a trust created intentionally by the founder, inter vivos or by reason of death, usually in the form of a written document, to place the assets under the control of a trustee for the benefit of a beneficiary or for a specified purpose;</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65. “beneficiaries of a discretionary power” means natural or legal persons, or a category of natural or legal persons, from among whom the trustees may choose the beneficiaries in a discretionary trust;</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66. “beneficiaries in the absence of the exercise of discretion” are natural or legal persons or a category of natural or legal persons, who are beneficiaries of a discretionary trust in the event that the trustees fail to exercise their discretion;</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67. “legal arrangement” means an express trust or an arrangement that has a structure or function similar to that of an express trust, including “fiducie” and certain forms of “Treuhand” and “fideicomiso”;</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68. “trust or company service provider” means any natural or legal person who, through his activity, offers third parties one of the following services:</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formation of commercial companies or of other legal persons;</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acts as, or arranges for another person to act as, director, administrator or secretary of a company or legal person, as a partner of a partnership or in a similar position in relation to other legal persons;</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provision of a registered office, business address, correspondence address or administrative address, as well as other related services for a company, a partnership or any other legal person or legal arrangement;</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acts as, or arranges for another person to act as, trustee of an express trust, or performs an equivalent function for a similar legal arrangement;</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acts as, or appoints another person to act as, nominee shareholder for another person;</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69. “establishment of activity” means the actual exercise of an economic activity by an obliged entity provided for in Article 86 of this law, in the territory of the Republic of Albania or outside it, in a State different from the one in which its central headquarters is located, for an indefinite period of time and through a stable organisational presence, which includes:</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a branch or subsidiary;</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 the case of credit institutions and financial institutions, any form of presence which, according to the relevant regulatory legislation on prudential supervision, qualifies as an establishment of activity.</w:t>
      </w:r>
    </w:p>
    <w:p w:rsidR="009F1E56" w:rsidRPr="007647A8" w:rsidRDefault="00CD017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70. “third country” means any jurisdiction, independent state or autonomous territory that is not part of the European Union and that has its own legislation or implementation regime for the prevention of money laundering and terrorist financing.</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Cs/>
          <w:iCs/>
          <w:sz w:val="24"/>
          <w:szCs w:val="24"/>
          <w:lang w:bidi="en-US"/>
        </w:rPr>
        <w:t>Scope of application</w:t>
      </w:r>
    </w:p>
    <w:p w:rsidR="00666E8A"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86</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2" w:name="bookmark6"/>
      <w:r>
        <w:rPr>
          <w:rFonts w:ascii="Times New Roman" w:eastAsia="Arial Unicode MS" w:hAnsi="Times New Roman" w:cs="Times New Roman"/>
          <w:b/>
          <w:bCs/>
          <w:sz w:val="24"/>
          <w:szCs w:val="24"/>
          <w:lang w:bidi="en-US"/>
        </w:rPr>
        <w:t>Obliged entities</w:t>
      </w:r>
      <w:bookmarkEnd w:id="2"/>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following entities are considered obliged entities for the purposes of this law:</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credit institutions;</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financial institutions;</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following natural or legal persons who act in the exercise of their professional activities:</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statutory auditors, approved accountants and tax advisors, as well as any other natural or legal person, including the liberal professions, such as lawyers, who undertake to provide directly or through other persons with whom they are connected, material assistance, support or advice in relation to tax matters as a principal business activity or professional activity;</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notaries, lawyers and other independent legal professionals, when they participate, whether by acting in the name and on behalf of their client in any financial or real estate transaction, or by assisting in the planning or carrying out of transactions for their client in connection with one of the following cases:</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 the purchase and/or sale of immovable property or </w:t>
      </w:r>
      <w:r>
        <w:rPr>
          <w:rFonts w:ascii="Times New Roman" w:hAnsi="Times New Roman" w:cs="Times New Roman"/>
          <w:sz w:val="24"/>
          <w:szCs w:val="24"/>
        </w:rPr>
        <w:t>of legal persons</w:t>
      </w:r>
      <w:r>
        <w:rPr>
          <w:rFonts w:ascii="Times New Roman" w:eastAsia="Arial Unicode MS" w:hAnsi="Times New Roman" w:cs="Times New Roman"/>
          <w:sz w:val="24"/>
          <w:szCs w:val="24"/>
          <w:lang w:bidi="en-US"/>
        </w:rPr>
        <w:t>;</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management of money, securities or other property of the client, including crypto-assets;</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opening or administration of bank, savings, securities or crypto-asset accounts;</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the organisation of the necessary measures for the establishment, functioning or administration of companies;</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the creation, establishment, operation or administration of trusts, legal arrangements, commercial companies, foundations, or similar structures;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providers of services for trusts or companies;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real estate agents and other real estate professionals when they act as intermediaries in real estate transactions, including in connection with the leasing of real estate for transactions for which the monthly rent reaches a value equal to or greater than 1 000 000 (one million) lek or its equivalent in other foreign currencies, regardless of the method of payment;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persons who carry out trade in precious metals and stones as a regular or principal professional activity;</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persons who carry out trade in high-value goods, as a regular or principal professional activity;</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providers of gambling services;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 providers of collective financing services and collective financing intermediaries;</w:t>
      </w:r>
    </w:p>
    <w:p w:rsidR="0050759E" w:rsidRPr="007647A8" w:rsidRDefault="006C468B"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persons who trade or act as intermediaries in the trading of cultural goods, including cases when it is carried out by art galleries or auction houses, when the value of the transaction or of related transactions reaches a value equal to or greater than 1 000 000 (one million) lek or its equivalent in other foreign currencies;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j) persons who store, trade or act as intermediaries in the trading of cultural goods and high-value goods, when this is carried out within free zones and customs warehouses, when the value of the transaction or of related transactions reaches a value equal to or greater than 1 000 000 (one million) lek or its equivalent in other foreign currencies;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k) intermediaries for mortgage and consumer loans, different from credit institutions and financial institutions, with the exception of credit intermediaries that carry out activities under the responsibility of one or several creditors or credit intermediaries;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l) migration-by-investment operators authorised to represent or to provide intermediary services for foreign nationals seeking to obtain residence rights in the Republic of Albania in exchange for any kind of form of investment, including the transfer of capital, the purchase or lease of property, investments in government bonds, investments in legal persons, the donation or financing of an activity in the public interest, and contributions to the state budget;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m) mixed financial holding companies with non-financial activity;</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n) football agents;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 professional football clubs in relation to the following transactions:</w:t>
      </w:r>
    </w:p>
    <w:p w:rsidR="0050759E" w:rsidRPr="007647A8" w:rsidRDefault="0050759E"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transactions with an investor;</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transactions with a sponsor;</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transactions with football agents or other intermediaries;</w:t>
      </w:r>
    </w:p>
    <w:p w:rsidR="00666E8A"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transactions for the purpose of transferring a football player.</w:t>
      </w:r>
    </w:p>
    <w:p w:rsidR="00F45833" w:rsidRPr="007647A8" w:rsidRDefault="00F45833"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C700BE"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87</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Exceptions for certain providers of gambling services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By law, providers of gambling services may be excluded, wholly or partially, from the requirements set out in Part II of this law on the basis of the proven low risk posed by the nature and, where appropriate, the scale of operation of these services.</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exemptions referred to in the above paragraph do not apply to:</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casinos;</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providers of gambling services, whose principal activity is the provision of online gambling services or sports betting services, except:</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gambling services on the internet operated by the state, whether through a public authority or an undertaking or body controlled by the state;</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gambling services on the internet, the organisation, functioning and administration of which are regulated by the state.</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For the purposes of point 1 of this article, the Financial Intelligence Agency, in cooperation with the competent supervisory authority, carry out the risk assessment of gambling services by assessing:</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the risks, threats and vulnerabilities that gambling services present for money laundering, terrorist financing and the financing of the proliferation of weapons of mass destruction, as well as the factors for </w:t>
      </w:r>
      <w:r>
        <w:rPr>
          <w:rFonts w:ascii="Times New Roman" w:hAnsi="Times New Roman" w:cs="Times New Roman"/>
          <w:sz w:val="24"/>
          <w:szCs w:val="24"/>
        </w:rPr>
        <w:t>the mitigation of these risks</w:t>
      </w:r>
      <w:r>
        <w:rPr>
          <w:rFonts w:ascii="Times New Roman" w:eastAsia="Arial Unicode MS" w:hAnsi="Times New Roman" w:cs="Times New Roman"/>
          <w:sz w:val="24"/>
          <w:szCs w:val="24"/>
          <w:lang w:bidi="en-US"/>
        </w:rPr>
        <w:t>;</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risks related to the size of the transactions and the methods of payment used;</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geographical area in which gambling services are administered, including their cross-border dimension and accessibility from the Member States or third countries.</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During the carrying out of this assessment, the authorities referred to in point 2 of this Article shall take into account the findings of the national risk assessment.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competent supervisory authority takes measures based on the risk assessment or other appropriate measures, with the aim of ensuring that the exemptions provided for in this Article are not misused.</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88</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 w:name="bookmark7"/>
      <w:r>
        <w:rPr>
          <w:rFonts w:ascii="Times New Roman" w:eastAsia="Arial Unicode MS" w:hAnsi="Times New Roman" w:cs="Times New Roman"/>
          <w:b/>
          <w:bCs/>
          <w:sz w:val="24"/>
          <w:szCs w:val="24"/>
          <w:lang w:bidi="en-US"/>
        </w:rPr>
        <w:t>Exemptions for certain professional football clubs</w:t>
      </w:r>
      <w:bookmarkEnd w:id="3"/>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By law may be excluded, fully or partially, professional football clubs that participate in the highest category of the national football league and that have a lower total annual turnover than 500 000 000 (five hundred million) lek or its equivalent in other foreign currencies, for each of the 2 previous calendar years, from the requirements set out in Part II of the law, on the basis of the proven low risk presented by the nature and scale of the activity of these professional football clubs.</w:t>
      </w:r>
    </w:p>
    <w:p w:rsidR="00110EE0" w:rsidRPr="007647A8" w:rsidRDefault="00E14E1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By law, professional football clubs participating in a category lower than the highest category of the national football league may be excluded, fully or partially, from the requirements set out in Part II of the law on the basis of the demonstrated low risk presented by the nature and scale of the activities of these professional football clubs.</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For the purposes of point 1 of this article, the Financial Intelligence Agency in cooperation with the competent supervisory authority carry out the risk assessment of professional football clubs by assessing:</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the risks, threats and vulnerabilities that professional football clubs present for money laundering, terrorist financing and the financing of the proliferation of weapons of mass destruction, as well as the factors for </w:t>
      </w:r>
      <w:r>
        <w:rPr>
          <w:rFonts w:ascii="Times New Roman" w:hAnsi="Times New Roman" w:cs="Times New Roman"/>
          <w:sz w:val="24"/>
          <w:szCs w:val="24"/>
        </w:rPr>
        <w:t>the mitigation of these risks</w:t>
      </w:r>
      <w:r>
        <w:rPr>
          <w:rFonts w:ascii="Times New Roman" w:eastAsia="Arial Unicode MS" w:hAnsi="Times New Roman" w:cs="Times New Roman"/>
          <w:sz w:val="24"/>
          <w:szCs w:val="24"/>
          <w:lang w:bidi="en-US"/>
        </w:rPr>
        <w:t>;</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risks related to the size and cross-border dimension of the transactions.</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During the performance of this assessment, the authorities referred to in point 2 of this Article shall take into consideration the findings of the national risk assessment.</w:t>
      </w:r>
    </w:p>
    <w:p w:rsidR="0052510E"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competent supervisory authority shall take risk-based measures or other appropriate measures, with the aim of ensuring that the exemptions provided for in this Article are not misused.</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89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Exemptions for certain financial activities</w:t>
      </w:r>
    </w:p>
    <w:p w:rsidR="00110EE0" w:rsidRPr="007647A8" w:rsidRDefault="00110EE0" w:rsidP="002A39C9">
      <w:pPr>
        <w:widowControl w:val="0"/>
        <w:spacing w:after="0"/>
        <w:ind w:left="0" w:firstLine="0"/>
        <w:rPr>
          <w:rFonts w:ascii="Times New Roman" w:eastAsia="Arial Unicode MS" w:hAnsi="Times New Roman" w:cs="Times New Roman"/>
          <w:sz w:val="24"/>
          <w:szCs w:val="24"/>
          <w:lang w:bidi="en-US"/>
        </w:rPr>
      </w:pP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With the exception of entities that carry out the activity of money transfers under the legislation in force, natural or legal persons that carry out one or more financial activities occasionally or on a very limited basis may be exempted by law from the requirements of Part II of this law, where it is established that there is a low risk of money laundering, terrorist financing or financing of the proliferation of weapons of mass destruction and it is proven that the following conditions are met: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financial activity to be limited in absolute terms;</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financial activity shall be limited at transaction level;</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financial activity is not the main activity of these entities;</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financial activity is ancillary and directly related to the main activity of these entities;</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main activity of these entities is not an activity mentioned in Article 86, point 3, letters “a” to “d” or “g”;</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the financial activity is offered only to the clients of the principal activity of these entities and not to the general public.</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For the purposes of point 1, letter "a" of this Article, the total turnover of the financial activity must not exceed a sufficiently low threshold. This threshold must be determined by law at national level, depending on the type of financial activity.</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For the purposes of point 1, letter "b" of this article, applies </w:t>
      </w:r>
      <w:r>
        <w:rPr>
          <w:rFonts w:ascii="Times New Roman" w:hAnsi="Times New Roman" w:cs="Times New Roman"/>
          <w:sz w:val="24"/>
          <w:szCs w:val="24"/>
        </w:rPr>
        <w:t>a maximum threshold</w:t>
      </w:r>
      <w:r>
        <w:rPr>
          <w:rFonts w:ascii="Times New Roman" w:eastAsia="Arial Unicode MS" w:hAnsi="Times New Roman" w:cs="Times New Roman"/>
          <w:sz w:val="24"/>
          <w:szCs w:val="24"/>
          <w:lang w:bidi="en-US"/>
        </w:rPr>
        <w:t xml:space="preserve"> for customer and for a single transaction, regardless of whether the transaction is carried out in a single operation or through linked transactions. </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This maximum threshold shall be determined, at national level, by law, depending on the type of financial activity and must be sufficiently low so as to ensure that the types of transactions in question do not constitute a practical and effective method for money laundering, terrorist financing or financing of the proliferation of weapons of mass destruction, in the amount equal to or greater than 100 000 (one hundred thousand) lek or its equivalent in other foreign currencies, regardless of the method of payment.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For the purposes of point 1, letter "c" of this article, the total turnover of the financial activity must not exceed 5% of the total turnover of the natural or legal person.</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 During the assessment of the risk of money laundering or terrorist financing for the purposes of this Article, the Financial Intelligence Agency and the competent supervisory authority </w:t>
      </w:r>
      <w:r>
        <w:rPr>
          <w:rFonts w:ascii="Times New Roman" w:hAnsi="Times New Roman" w:cs="Times New Roman"/>
          <w:sz w:val="24"/>
          <w:szCs w:val="24"/>
        </w:rPr>
        <w:t>pay particular attention to financial activities that, due to their nature, present a higher risk of being used or misused for money laundering, terrorist financing or financing of the proliferation of weapons of mass destruction.</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The competent supervisory authority shall take measures based on the risk assessment or other appropriate measures, with the aim of ensuring that the exemptions provided for in this Article are not misused.</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90</w:t>
      </w:r>
    </w:p>
    <w:p w:rsidR="00666E8A" w:rsidRPr="007647A8" w:rsidRDefault="00666E8A" w:rsidP="002A39C9">
      <w:pPr>
        <w:pStyle w:val="NormalWeb"/>
        <w:spacing w:before="0" w:beforeAutospacing="0" w:after="0" w:afterAutospacing="0" w:line="276" w:lineRule="auto"/>
        <w:jc w:val="center"/>
      </w:pPr>
      <w:r>
        <w:rPr>
          <w:rStyle w:val="Strong"/>
        </w:rPr>
        <w:t>Notification of cross-border activities and enforcement of the law at national level</w:t>
      </w:r>
    </w:p>
    <w:p w:rsidR="00666E8A" w:rsidRPr="007647A8" w:rsidRDefault="00666E8A" w:rsidP="002A39C9">
      <w:pPr>
        <w:pStyle w:val="NormalWeb"/>
        <w:spacing w:before="0" w:beforeAutospacing="0" w:after="0" w:afterAutospacing="0" w:line="276" w:lineRule="auto"/>
        <w:ind w:firstLine="720"/>
        <w:jc w:val="both"/>
        <w:rPr>
          <w:rStyle w:val="Strong"/>
        </w:rPr>
      </w:pPr>
    </w:p>
    <w:p w:rsidR="00666E8A" w:rsidRPr="007647A8" w:rsidRDefault="00736B1E" w:rsidP="002A39C9">
      <w:pPr>
        <w:pStyle w:val="NormalWeb"/>
        <w:spacing w:before="0" w:beforeAutospacing="0" w:after="0" w:afterAutospacing="0" w:line="276" w:lineRule="auto"/>
        <w:ind w:firstLine="720"/>
        <w:jc w:val="both"/>
      </w:pPr>
      <w:r>
        <w:rPr>
          <w:rStyle w:val="Strong"/>
          <w:b w:val="0"/>
        </w:rPr>
        <w:t>1</w:t>
      </w:r>
      <w:r>
        <w:rPr>
          <w:rStyle w:val="Strong"/>
        </w:rPr>
        <w:t>.</w:t>
      </w:r>
      <w:r>
        <w:t xml:space="preserve"> Obliged entities intending to carry out, for the first time, activities in the territory of a Member State must notify the supervisor of the Member State of origin of the activities they intend to carry out in that Member State. The notification must be sent as soon as the obliged entity begins the procedures for carrying out this cross-border activity and, in the case of establishment of the activity, no less than 3 months before the start of the carrying out of the activity. Obliged entities must immediately notify the supervisor of the Member State of origin, after the start of the carrying out of these activities in the other Member State.</w:t>
      </w:r>
    </w:p>
    <w:p w:rsidR="00666E8A" w:rsidRPr="007647A8" w:rsidRDefault="008D4CAC" w:rsidP="002A39C9">
      <w:pPr>
        <w:pStyle w:val="NormalWeb"/>
        <w:spacing w:before="0" w:beforeAutospacing="0" w:after="0" w:afterAutospacing="0" w:line="276" w:lineRule="auto"/>
        <w:ind w:firstLine="720"/>
        <w:jc w:val="both"/>
      </w:pPr>
      <w:r>
        <w:t>The above paragraph of this point shall not apply to obliged entities that are subject to special notification procedures for the exercise of the freedom of establishment or the freedom to provide services, as defined in this law, or to cases where the obliged entity is subject to special authorisation requirements to carry out activity in the territory of that other Member State.</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The obliged entity notifies the supervisor of the Member State of origin of any planned change in the information notified according to point 1 of this Article, at least 1 month before carrying out the change.</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 In cases where in this Part II of the law it is permitted for additional rules to be adopted for obliged entities, the latter are obliged to implement the rules of the state in which they are established.</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4. In cases where obliged entities carry out activities through establishment in more than one Member State, they ensure that each establishment applies the rules of the Member State in which it is established.</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5. In cases where the obliged entities, specified in Article 45, point 1 of this law, carry out activities in another Member State, other than the one in which they are established, through agents, distributors or other forms of presence established in those states, within the framework of the freedom to provide services, they apply the rules of the Member State in which they provide the respective services in relation to these activities, except in cases where Article 45, point 2 applies; in this case, they apply the rules of the Member State in which their central administration is located.</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6. In cases where obliged entities must appoint a central contact point in accordance with Article 49 of this law, they must ensure that the central contact point ensures compliance with the applicable legislation on behalf of the obliged entity.</w:t>
      </w:r>
    </w:p>
    <w:p w:rsidR="0013668F" w:rsidRPr="007647A8" w:rsidRDefault="00657D50"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7. This article applies in the same manner when the supervisory authorities exercise the powers of the home state supervisor or the host state supervisor, within the framework of cooperation with Member States or with third countries, in accordance with the provisions permitted by this law.</w:t>
      </w:r>
    </w:p>
    <w:p w:rsidR="00666E8A" w:rsidRPr="007647A8" w:rsidRDefault="00666E8A" w:rsidP="002A39C9">
      <w:pPr>
        <w:widowControl w:val="0"/>
        <w:spacing w:after="0"/>
        <w:ind w:left="0" w:firstLine="720"/>
        <w:rPr>
          <w:rFonts w:ascii="Times New Roman" w:hAnsi="Times New Roman" w:cs="Times New Roman"/>
          <w:sz w:val="24"/>
          <w:szCs w:val="24"/>
        </w:rPr>
      </w:pPr>
    </w:p>
    <w:p w:rsidR="00BB3175" w:rsidRPr="007647A8" w:rsidRDefault="00BB3175"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POLICIES, PROCEDURES AND INTERNAL CONTROLS OF OBLIGED ENTITIES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Policies, procedures and internal controls, risk assessment and human resources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5106AF" w:rsidP="002A39C9">
      <w:pPr>
        <w:spacing w:after="0"/>
        <w:jc w:val="center"/>
        <w:rPr>
          <w:rFonts w:ascii="Times New Roman" w:hAnsi="Times New Roman" w:cs="Times New Roman"/>
          <w:sz w:val="24"/>
          <w:szCs w:val="24"/>
        </w:rPr>
      </w:pPr>
      <w:r>
        <w:rPr>
          <w:rFonts w:ascii="Times New Roman" w:hAnsi="Times New Roman" w:cs="Times New Roman"/>
          <w:sz w:val="24"/>
          <w:szCs w:val="24"/>
        </w:rPr>
        <w:t>Article 91</w:t>
      </w:r>
    </w:p>
    <w:p w:rsidR="00666E8A" w:rsidRPr="007647A8" w:rsidRDefault="00666E8A" w:rsidP="002A39C9">
      <w:pPr>
        <w:spacing w:after="0"/>
        <w:jc w:val="center"/>
        <w:rPr>
          <w:rFonts w:ascii="Times New Roman" w:hAnsi="Times New Roman" w:cs="Times New Roman"/>
          <w:sz w:val="24"/>
          <w:szCs w:val="24"/>
        </w:rPr>
      </w:pPr>
      <w:bookmarkStart w:id="4" w:name="m_1322597409622204754_bookmark9"/>
      <w:r>
        <w:rPr>
          <w:rFonts w:ascii="Times New Roman" w:hAnsi="Times New Roman" w:cs="Times New Roman"/>
          <w:b/>
          <w:bCs/>
          <w:sz w:val="24"/>
          <w:szCs w:val="24"/>
        </w:rPr>
        <w:t>The scope of application of internal policies, procedures and controls</w:t>
      </w:r>
      <w:bookmarkEnd w:id="4"/>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1. Obliged entities shall adopt internal policies, procedures and controls to ensure compliance with Part II and Part III of this law, the bylaws issued for their implementation, as well as with any administrative act issued by the supervisors and, in particular:</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a) mitigate and manage effectively the risks of money laundering, terrorist financing and financing of the proliferation of weapons of mass destruction, identified at national level, at the level of the European Union and of the obliged entity;</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b) except for the implementation of the obligation on financial restrictive measures, to take measures for the effective mitigation and management of the risks arising from their non-implementation or circumvention.</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The policies, procedures and controls referred to in point 1 of this Article shall be proportionate to the nature of the activity of the entity, including its risks and complexity, as well as to the size of the obliged entity and shall cover all activities of the obliged entity that fall within the scope of application of Part II of this law.</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policies, procedures and controls referred to in point 1 of this Article include:</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a) internal policies and procedures, including in particular:</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 carrying out and updating the risk assessment at entity level;</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ii. the framework of the risk management of the obliged entity;</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iii. customer due diligence for the implementation of Chapter III of Part II of this law, including procedures for determining whether the client, the beneficial owner or the person in whose name or for whose benefit a transaction or activity is carried out is a politically exposed person, a member of his family or a person known as his close associate;</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iv. reporting of suspicious transactions;</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v. outsourcing and reliance on other obliged entities for carrying out customer due diligence;</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vi. storage of data and policies related to the processing of personal data, in accordance with Articles 140 and 141 of Part II of this law;</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vii. the supervision and administration of compliance with these internal policies and procedures in accordance with point 2, letter “b”, of this Article, the identification and administration of deficiencies and the implementation of corrective measures;</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viii. verification, in proportion to the risks related to the duties and functions that will be performed, during the recruitment and assignment of employees to certain duties and functions, as well as during the appointment of agents and distributors, that these persons have a good reputation;</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ix. the internal communication of the policies, procedures and internal controls of the obliged entity, including to the agents, distributors and service providers involved in the implementation of its policies for the prevention of money laundering, the financing of terrorism and the financing of the proliferation of weapons of mass destruction;</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x. the periodic organisation of qualification programmes, as well as the approval and implementation of a policy for the training of employees and, where applicable, agents and distributors, regarding the measures established at the obliged entity for the fulfilment of the requirements of Part II and Part III of this law, the bylaws in implementation thereof and any administrative act issued by the supervisory authorities;</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b) internal controls and the independent audit function for the verification of the internal policies and procedures referred to in point 2, letter “a”, of this article and of the controls put in place in the obliged entity. In the absence of the independent audit function, obliged entities may entrust this verification to an external expert.</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3. The policies, procedures and internal controls specified in point 1 of this article shall be documented in writing. </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The internal policies are approved by the management body in its management function.</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The procedures and internal controls are approved at least at the level of the compliance manager.</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4. Obliged entities ensure the continuous updating of internal policies, procedures and controls, as well as their improvement in case deficiencies are identified.</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5. The minister responsible for finance, upon the proposal of the responsible authority, issues guidelines on the elements that obliged entities must take into consideration, depending on the nature of their activity, including the risks and complexity, as well as their size, when determining the extent of their internal policies, procedures and controls, in particular in relation to the personnel assigned to compliance functions. </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These guidelines also identify the situations in which, due to the nature and size of the obliged entity:</w:t>
      </w:r>
    </w:p>
    <w:p w:rsidR="00200A71"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 internal controls must be organised at the level of the obliged entity's operational function, compliance function and audit function;</w:t>
      </w:r>
    </w:p>
    <w:p w:rsidR="00666E8A" w:rsidRPr="007647A8" w:rsidRDefault="00666E8A"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ii) the independent audit function may be carried out by an external expert.</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Risk assessment at entity level</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shall take appropriate measures, proportionate to the nature of their activity, including the risks and complexity, as well as their size, to identify and assess the risks of money laundering, financing of terrorism and financing of the proliferation of weapons of mass destruction to which they are exposed, as well as the risks of non-implementation and circumvention of targeted financial sanctions, taking into account at least the following:</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risk variables defined in Annex I and the risk factors defined in Annex II and Annex III, of Part II of this law;</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results of the national risk assessments, as well as of any relevant sectoral risk assessment carried out at national level;</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results of the risk assessment at European Union level;</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relevant information published by the international standard-setting bodies in the field of prevention of money laundering, terrorist financing and financing of the proliferation of weapons of mass destruction or at the level of the European Union, the relevant publications of the Commission or of AMLA;</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information on the risks of money laundering, terrorist financing and financing of the proliferation of weapons of mass destruction prepared by the competent authorities;</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information on the client base.</w:t>
      </w:r>
    </w:p>
    <w:p w:rsidR="00174F1D" w:rsidRPr="007647A8" w:rsidRDefault="001C24B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before launching new products, services or new practices for carrying out activity, including the use of new distribution channels and new or developing technologies in relation to new or existing products and services, or before starting to provide an existing service or product to a new customer segment or in a new geographical area, identify and assess, in particular, the risks related to money laundering, terrorist financing and the financing of the proliferation of weapons of mass destruction and take appropriate measures for the management and mitigation of these risks.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The risk assessment at entity level, drawn up by the obliged entity pursuant to </w:t>
      </w:r>
      <w:r>
        <w:rPr>
          <w:rFonts w:ascii="Times New Roman" w:hAnsi="Times New Roman" w:cs="Times New Roman"/>
          <w:sz w:val="24"/>
          <w:szCs w:val="24"/>
        </w:rPr>
        <w:t>point 1 of this article</w:t>
      </w:r>
      <w:r>
        <w:rPr>
          <w:rFonts w:ascii="Times New Roman" w:eastAsia="Arial Unicode MS" w:hAnsi="Times New Roman" w:cs="Times New Roman"/>
          <w:sz w:val="24"/>
          <w:szCs w:val="24"/>
          <w:lang w:bidi="en-US"/>
        </w:rPr>
        <w:t xml:space="preserve">, is documented, updated and reviewed regularly, including in cases of internal or external events that significantly affect the risks of money laundering, terrorist financing and financing of the proliferation of weapons of mass destruction related to the activities, products, transactions, distribution channels, customers or geographical areas in which the entity carries out its activity.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The risk assessment at entity level is made available to the supervisory authorities at their request.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risk assessment at entity level is drafted by the compliance officer and approved by the management body in its management function, and is also communicated to the management body in its supervisory function, where such a body exists.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With the exception of credit institutions, financial institutions, providers of collective financing services and collective financing intermediaries, supervisors may decide that documented individual risk assessments at entity level need not be required, where the specific identified risks related to the sector are clear and understandable.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4. </w:t>
      </w:r>
      <w:r>
        <w:rPr>
          <w:rFonts w:ascii="Times New Roman" w:hAnsi="Times New Roman" w:cs="Times New Roman"/>
          <w:sz w:val="24"/>
          <w:szCs w:val="24"/>
        </w:rPr>
        <w:t xml:space="preserve">The minister responsible for finance, upon the proposal of the responsible authority, issues guidelines on </w:t>
      </w:r>
      <w:r>
        <w:rPr>
          <w:rFonts w:ascii="Times New Roman" w:eastAsia="Arial Unicode MS" w:hAnsi="Times New Roman" w:cs="Times New Roman"/>
          <w:sz w:val="24"/>
          <w:szCs w:val="24"/>
          <w:lang w:bidi="en-US"/>
        </w:rPr>
        <w:t xml:space="preserve"> minimum requirements for the content of the risk assessment at entity level prepared by obliged entities, according to point 1 of this article, as well as on the additional sources of information that must be taken into consideration during the performance of this assessment.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93</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Compliance functions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w:t>
      </w:r>
      <w:r>
        <w:rPr>
          <w:rFonts w:ascii="Times New Roman" w:hAnsi="Times New Roman" w:cs="Times New Roman"/>
          <w:sz w:val="24"/>
          <w:szCs w:val="24"/>
        </w:rPr>
        <w:t xml:space="preserve">Obliged entities appoint a compliance officer, who is a member of the management body in its management function, who has the responsibility to ensure compliance with Part II and Part III of this law, with </w:t>
      </w:r>
      <w:r>
        <w:rPr>
          <w:rFonts w:ascii="Times New Roman" w:eastAsia="Arial Unicode MS" w:hAnsi="Times New Roman" w:cs="Times New Roman"/>
          <w:sz w:val="24"/>
          <w:szCs w:val="24"/>
          <w:lang w:bidi="en-US"/>
        </w:rPr>
        <w:t>bylaws implementing it</w:t>
      </w:r>
      <w:r>
        <w:rPr>
          <w:rFonts w:ascii="Times New Roman" w:hAnsi="Times New Roman" w:cs="Times New Roman"/>
          <w:sz w:val="24"/>
          <w:szCs w:val="24"/>
        </w:rPr>
        <w:t>, as well as with any administrative act issued by any supervisory authority.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The compliance officer ensures that the policies, procedures and internal controls of the obliged entity are in accordance with its risk exposure and that they are implemented. The compliance officer also ensures that sufficient human and material resources are allocated for this purpose.</w:t>
      </w:r>
      <w:r>
        <w:t xml:space="preserv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The compliance officer is responsible for obtaining information on any significant or material deficiency identified in policies, procedures and controls.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When the management body in its management function is a collegiate body that bears collective responsibility for its decision-making, the compliance officer is responsible for assisting and advising it, as well as for preparing the decisions provided for in this article</w:t>
      </w:r>
      <w: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w:t>
      </w:r>
      <w:r>
        <w:rPr>
          <w:rFonts w:ascii="Times New Roman" w:hAnsi="Times New Roman" w:cs="Times New Roman"/>
          <w:sz w:val="24"/>
          <w:szCs w:val="24"/>
        </w:rPr>
        <w:t xml:space="preserve">Obliged entities appoint a compliance officer, appointed by the management body in its management function, who holds a sufficiently high position in the entity's organisational structure for the effective exercise of his functions.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Compliance officer </w:t>
      </w:r>
      <w:r>
        <w:rPr>
          <w:rFonts w:ascii="Times New Roman" w:eastAsia="Arial Unicode MS" w:hAnsi="Times New Roman" w:cs="Times New Roman"/>
          <w:sz w:val="24"/>
          <w:szCs w:val="24"/>
          <w:lang w:bidi="en-US"/>
        </w:rPr>
        <w:t xml:space="preserve">is responsible for the policies, procedures and controls in the daily activity of the obliged entity within the framework of the requirements for the prevention of money laundering, terrorist financing and the financing of the proliferation of weapons of mass destruction, including the implementation of financial restrictive measures, and serves as a point of contact for the competent authorities.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compliance officer is also responsible for reporting suspicious transactions to the Financial Intelligence Agency, in accordance with Article 132, point 1 of this law.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cases where obliged entities are subject to integrity and suitability verification checks for their senior management or on beneficial owners pursuant to Article 8 of this law, the compliance officer shall also be subject to verification for the fulfilment of these requirements.</w:t>
      </w:r>
    </w:p>
    <w:p w:rsidR="00174F1D" w:rsidRPr="007647A8" w:rsidRDefault="00C270A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obliged entity, which is part of a group, may designate as the compliance officer a person who performs this function in another entity within the same group, where this is justified by the size of the entity and the low level of risk presented by its activities.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compliance officer may be removed from the function only after prior notification to the management body in its management function. The obliged entity notifies the supervisor of the removal of the compliance officer, specifying whether the decision is related to the performance of his duties under this law.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compliance officer may, on his own initiative or upon request, submit to the supervisor information regarding his removal from office. The supervisor may use this information for the exercise of his supervisory powers in fulfilment of Articles 40 and 42 of this law.</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Obliged entities shall ensure appropriate resources for the compliance functions, including human resources and technological resources, in proportion to the size, nature and risks of the obliged entity, for the effective exercise of their functions, and shall also ensure that the persons responsible for these functions are given the powers to propose all necessary measures to ensure the effectiveness of the obliged entity's internal policies, procedures and controls.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Obliged entities shall take measures to ensure that the compliance officer is protected from retaliation, discrimination and any other unfair treatment and that the decisions of the compliance officer are not impaired or unfairly influenced by the interests of the activity, including the commercial ones of the obliged entity.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Obliged entities shall ensure that the compliance officer and the person responsible for the audit function, defined in Article 91, point 2, letter “b”, may report directly to the management body in its management function and, where such a body exists, independently to the management body in its supervisory function, and may raise matters and warn the management body when certain risk developments affect or may affect the obliged entity.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must ensure that the persons who participate directly or indirectly in the implementation of Part II and Part III of this law and any administrative act issued by any supervisory authority have access to all information and data necessary for the performance of their duties.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The compliance officer reports regularly to the management body regarding the implementation of the policies, procedures and internal controls of the obliged entity. In particular, the compliance officer submits to the management body once a year, or, as the case may be, even more frequently, a report on the implementation of the policies, procedures and internal controls of the obliged entity, drafted by the compliance responsible person, and must keep the management body informed of the outcome of every review. The compliance officer must take the necessary actions to remedy in due time every identified deficiency.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The functions of the compliance manager and of the compliance officer may be carried out by the same person, when the nature of the activity of the obliged entity, including its risks and complexity, as well as its size, justify this. These functions may also be combined with other functions.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the obliged entity is a natural person or a legal person whose activities are carried out by a single natural person, that person is responsible for carrying out the duties under this Article.</w:t>
      </w:r>
    </w:p>
    <w:p w:rsidR="009A41DA" w:rsidRPr="007647A8" w:rsidRDefault="009A41D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94</w:t>
      </w:r>
    </w:p>
    <w:p w:rsidR="00666E8A" w:rsidRPr="007647A8" w:rsidRDefault="009C02E5"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5" w:name="bookmark12"/>
      <w:r>
        <w:rPr>
          <w:rFonts w:ascii="Times New Roman" w:eastAsia="Arial Unicode MS" w:hAnsi="Times New Roman" w:cs="Times New Roman"/>
          <w:b/>
          <w:bCs/>
          <w:sz w:val="24"/>
          <w:szCs w:val="24"/>
          <w:lang w:bidi="en-US"/>
        </w:rPr>
        <w:t>Familiarisation with the requirements</w:t>
      </w:r>
      <w:bookmarkEnd w:id="5"/>
      <w:r>
        <w:rPr>
          <w:rFonts w:ascii="Times New Roman" w:eastAsia="Arial Unicode MS" w:hAnsi="Times New Roman" w:cs="Times New Roman"/>
          <w:b/>
          <w:bCs/>
          <w:sz w:val="24"/>
          <w:szCs w:val="24"/>
          <w:lang w:bidi="en-US"/>
        </w:rPr>
        <w:t xml:space="preserve"> legal</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9C02E5"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Obliged entities must take measures to ensure that their employees or persons in similar positions, whose function so requires, including agents and distributors, are familiar with the requirements arising from Part II and Part III of this law, with every bylaw and with every administrative act issued by the supervisors, as well as with the risk assessment at entity level, the internal policies, procedures and controls approved by the obliged entity, including also in relation to the processing of personal data for the purpose of implementing Part II of this law.</w:t>
      </w:r>
    </w:p>
    <w:p w:rsidR="00174F1D" w:rsidRPr="007647A8" w:rsidRDefault="00493A2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Obliged entities must ensure that the measures referred to in point 1 of this article include the participation of employees or persons in similar positions, including agents and distributors, in special, ongoing training programmes to help them recognise or identify actions that may be related to money laundering, terrorist financing or the financing of the proliferation of weapons of mass destruction and to instruct them on how to act in such cases. </w:t>
      </w:r>
    </w:p>
    <w:p w:rsidR="00742928" w:rsidRPr="007647A8" w:rsidRDefault="00261BD4"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programmes must be appropriate to their functions or activities and to the risks of money laundering, terrorist financing or the financing of the proliferation of weapons of mass destruction to which the obliged entity is exposed, and these programmes must be documented regularly.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6" w:name="bookmark13"/>
      <w:r>
        <w:rPr>
          <w:rFonts w:ascii="Times New Roman" w:eastAsia="Arial Unicode MS" w:hAnsi="Times New Roman" w:cs="Times New Roman"/>
          <w:b/>
          <w:bCs/>
          <w:sz w:val="24"/>
          <w:szCs w:val="24"/>
          <w:lang w:bidi="en-US"/>
        </w:rPr>
        <w:t>Integrity of employees</w:t>
      </w:r>
      <w:bookmarkEnd w:id="6"/>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Employees or persons in similar positions, including agents and distributors, who participate directly in the compliance of the obliged entity with the legal requirements of Part II and Part III of this law, </w:t>
      </w:r>
      <w:r>
        <w:rPr>
          <w:rFonts w:ascii="Times New Roman" w:eastAsia="Times New Roman" w:hAnsi="Times New Roman" w:cs="Times New Roman"/>
          <w:sz w:val="24"/>
          <w:szCs w:val="24"/>
        </w:rPr>
        <w:t>of every bylaw and of every administrative act issued by the supervisors,</w:t>
      </w:r>
      <w:r>
        <w:rPr>
          <w:rFonts w:ascii="Times New Roman" w:eastAsia="Arial Unicode MS" w:hAnsi="Times New Roman" w:cs="Times New Roman"/>
          <w:sz w:val="24"/>
          <w:szCs w:val="24"/>
          <w:lang w:bidi="en-US"/>
        </w:rPr>
        <w:t xml:space="preserve"> must be </w:t>
      </w:r>
      <w:r>
        <w:rPr>
          <w:rFonts w:ascii="Times New Roman" w:hAnsi="Times New Roman" w:cs="Times New Roman"/>
          <w:sz w:val="24"/>
          <w:szCs w:val="24"/>
        </w:rPr>
        <w:t xml:space="preserve">is subject to an assessment in accordance with the risks related to the duties performed </w:t>
      </w:r>
      <w:r>
        <w:rPr>
          <w:rFonts w:ascii="Times New Roman" w:eastAsia="Arial Unicode MS" w:hAnsi="Times New Roman" w:cs="Times New Roman"/>
          <w:sz w:val="24"/>
          <w:szCs w:val="24"/>
          <w:lang w:bidi="en-US"/>
        </w:rPr>
        <w:t>and the content of which is approved by the compliance officer, for: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the individual skills, knowledge and expertise to perform their functions effectively;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good reputation, honesty and integrity.</w:t>
      </w:r>
    </w:p>
    <w:p w:rsidR="00174F1D" w:rsidRPr="007647A8" w:rsidRDefault="00BB7B7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assessment referred to in point 1 of this article must be carried out before the employee or person in a similar position exercises the function, including agents and distributors, and must be repeated regularly. The intensity of subsequent assessments must be determined on the basis of the duties assigned to the person and the risks related to the function that he performs.</w:t>
      </w:r>
    </w:p>
    <w:p w:rsidR="00174F1D" w:rsidRPr="007647A8" w:rsidRDefault="0066381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Employees or persons in similar positions, including agents and distributors, who are assigned duties related to the compliance of the obliged entity with Part II and Part III of this law, with </w:t>
      </w:r>
      <w:r>
        <w:rPr>
          <w:rFonts w:ascii="Times New Roman" w:eastAsia="Times New Roman" w:hAnsi="Times New Roman" w:cs="Times New Roman"/>
          <w:sz w:val="24"/>
          <w:szCs w:val="24"/>
        </w:rPr>
        <w:t>every bylaw and every administrative act issued by the supervisors,</w:t>
      </w:r>
      <w:r>
        <w:rPr>
          <w:rFonts w:ascii="Times New Roman" w:eastAsia="Arial Unicode MS" w:hAnsi="Times New Roman" w:cs="Times New Roman"/>
          <w:sz w:val="24"/>
          <w:szCs w:val="24"/>
          <w:lang w:bidi="en-US"/>
        </w:rPr>
        <w:t xml:space="preserve"> must inform the compliance officer regarding any close private or professional relationship established with the clients of the obliged entity or with potential clients and </w:t>
      </w:r>
      <w:r>
        <w:rPr>
          <w:rFonts w:ascii="Times New Roman" w:hAnsi="Times New Roman" w:cs="Times New Roman"/>
          <w:sz w:val="24"/>
          <w:szCs w:val="24"/>
        </w:rPr>
        <w:t>may not be allowed to perform duties</w:t>
      </w:r>
      <w:r>
        <w:rPr>
          <w:rFonts w:ascii="Times New Roman" w:eastAsia="Arial Unicode MS" w:hAnsi="Times New Roman" w:cs="Times New Roman"/>
          <w:sz w:val="24"/>
          <w:szCs w:val="24"/>
          <w:lang w:bidi="en-US"/>
        </w:rPr>
        <w:t xml:space="preserve"> that have to do with the compliance of the obliged entity in relation to these clients.</w:t>
      </w:r>
    </w:p>
    <w:p w:rsidR="00174F1D" w:rsidRPr="007647A8" w:rsidRDefault="00847A8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Obliged entities shall adopt procedures for the prevention and management of conflicts of interest that may affect the performance of duties related to compliance</w:t>
      </w:r>
      <w:bookmarkStart w:id="7" w:name="bookmark14"/>
      <w:r>
        <w:rPr>
          <w:rFonts w:ascii="Times New Roman" w:eastAsia="Arial Unicode MS" w:hAnsi="Times New Roman" w:cs="Times New Roman"/>
          <w:sz w:val="24"/>
          <w:szCs w:val="24"/>
          <w:lang w:bidi="en-US"/>
        </w:rPr>
        <w:t xml:space="preserve">the obliged entity's with Part II and Part III of this law, of the </w:t>
      </w:r>
      <w:r>
        <w:rPr>
          <w:rFonts w:ascii="Times New Roman" w:eastAsia="Times New Roman" w:hAnsi="Times New Roman" w:cs="Times New Roman"/>
          <w:sz w:val="24"/>
          <w:szCs w:val="24"/>
        </w:rPr>
        <w:t>every bylaw and every administrative act issued by the supervisors</w:t>
      </w:r>
      <w:bookmarkEnd w:id="7"/>
      <w:r>
        <w:rPr>
          <w:rFonts w:ascii="Times New Roman" w:eastAsia="Arial Unicode MS" w:hAnsi="Times New Roman" w:cs="Times New Roman"/>
          <w:sz w:val="24"/>
          <w:szCs w:val="24"/>
          <w:lang w:bidi="en-US"/>
        </w:rPr>
        <w:t>.</w:t>
      </w:r>
    </w:p>
    <w:p w:rsidR="00666E8A" w:rsidRPr="007647A8" w:rsidRDefault="0058659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 </w:t>
      </w:r>
      <w:r>
        <w:rPr>
          <w:rFonts w:ascii="Times New Roman" w:eastAsia="Arial Unicode MS" w:hAnsi="Times New Roman" w:cs="Times New Roman"/>
          <w:iCs/>
          <w:sz w:val="24"/>
          <w:szCs w:val="24"/>
          <w:lang w:bidi="en-US"/>
        </w:rPr>
        <w:t>This Article does not apply when the obliged entity is a natural person or a legal person, the activity of whom is carried out only by a natural person.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Reporting of violations and protection of reporting persons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ensure that the reporting of breaches of obligations arising from this law, as well as the protection of persons who report these breaches, are carried out in accordance with the legislation in force on alert and the protection of whistleblowers.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Obliged entities establish and implement internal channels for reporting breaches of the obligations arising from this law and the bylaws for its implementation, in accordance with the requirements of the legislation in force on alert and the protection of whistleblowers. </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Point 2 of this Article shall not apply when the obliged entity is a natural person or a legal person whose activities are carried out by a single natural person.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97</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8" w:name="bookmark15"/>
      <w:r>
        <w:rPr>
          <w:rFonts w:ascii="Times New Roman" w:eastAsia="Arial Unicode MS" w:hAnsi="Times New Roman" w:cs="Times New Roman"/>
          <w:b/>
          <w:bCs/>
          <w:sz w:val="24"/>
          <w:szCs w:val="24"/>
          <w:lang w:bidi="en-US"/>
        </w:rPr>
        <w:t>Situation of special employees</w:t>
      </w:r>
      <w:bookmarkEnd w:id="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When a natural person who falls within one of the categories set out in Article 86, point 3 of this law, carries out professional activity in the capacity of an employee of a legal person, the obligations and requirements provided for in this Part II of this law apply to the legal person and not to the natural person.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Provisions applicable to groups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98</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9" w:name="bookmark16"/>
      <w:r>
        <w:rPr>
          <w:rFonts w:ascii="Times New Roman" w:eastAsia="Arial Unicode MS" w:hAnsi="Times New Roman" w:cs="Times New Roman"/>
          <w:b/>
          <w:bCs/>
          <w:sz w:val="24"/>
          <w:szCs w:val="24"/>
          <w:lang w:bidi="en-US"/>
        </w:rPr>
        <w:t>Requirements at group level</w:t>
      </w:r>
      <w:bookmarkEnd w:id="9"/>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The parent undertaking guarantees that the requirements for internal procedures, risk assessment and the organisation of the employees' administrative structure, provided for by Section 1 of this Chapter, are applied in all the branches and subsidiaries of the group </w:t>
      </w:r>
      <w:r>
        <w:rPr>
          <w:rFonts w:ascii="Times New Roman" w:hAnsi="Times New Roman" w:cs="Times New Roman"/>
          <w:sz w:val="24"/>
          <w:szCs w:val="24"/>
        </w:rPr>
        <w:t>in the Member States and, for groups, the central headquarters of which are located in the European Union, also in third countries.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this purpose, the parent undertaking must carry out a risk assessment at group level, taking into account the risk assessments at entity level carried out by all branches and subsidiaries of the group, and drafts and implements unified policies, procedures and controls at group level, including those for the protection of personal data and the exchange of information within the group for AML/CFT purposes, as well as to ensure that employees within the group are aware of the requirements arising from Part II of this law.</w:t>
      </w:r>
    </w:p>
    <w:p w:rsidR="00174F1D" w:rsidRPr="007647A8" w:rsidRDefault="00D61E8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obliged entities that are part of the group apply these policies, procedures and controls at group level, taking into consideration their specific characteristics and the risks to which they are exposed.</w:t>
      </w:r>
    </w:p>
    <w:p w:rsidR="00B73939" w:rsidRPr="007647A8" w:rsidRDefault="00B7393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policies, procedures and controls at group level, as well as the risk assessments at group level, referred to in this point, include all the elements set out respectively in Articles 92 and 93 of this law. </w:t>
      </w:r>
    </w:p>
    <w:p w:rsidR="00174F1D" w:rsidRPr="007647A8" w:rsidRDefault="007B6D9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the purposes of implementing this point, where a group has an entity established in more than one Member State and, for groups whose head office is located in the European Union, in third countries, the parent undertaking must take into consideration the information published by the authorities of all Member States or third countries where the entities of the group are located.</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Compliance functions are determined at the group level. These functions include a d</w:t>
      </w:r>
      <w:r>
        <w:rPr>
          <w:rFonts w:ascii="Times New Roman" w:hAnsi="Times New Roman" w:cs="Times New Roman"/>
          <w:sz w:val="24"/>
          <w:szCs w:val="24"/>
        </w:rPr>
        <w:t xml:space="preserve">compliance officers </w:t>
      </w:r>
      <w:r>
        <w:rPr>
          <w:rFonts w:ascii="Times New Roman" w:eastAsia="Arial Unicode MS" w:hAnsi="Times New Roman" w:cs="Times New Roman"/>
          <w:sz w:val="24"/>
          <w:szCs w:val="24"/>
          <w:lang w:bidi="en-US"/>
        </w:rPr>
        <w:t>at group level and, where this is justified by the activities carried out at group level, a person responsible for compliance. The decision on the scope of the compliance functions is documented.</w:t>
      </w:r>
    </w:p>
    <w:p w:rsidR="00174F1D" w:rsidRPr="007647A8" w:rsidRDefault="002F653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compliance officer reports regularly to the management body in its management function of the parent undertaking on the implementation of policies, procedures and controls at group level. </w:t>
      </w:r>
    </w:p>
    <w:p w:rsidR="001D1199" w:rsidRPr="007647A8" w:rsidRDefault="002F653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compliance officer submits at least once a year a report on the implementation of the policies, procedures and internal controls of the obliged entity and takes the necessary measures to correct, in due time, any identified deficiency.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the management body in its management function is a body with collective responsibility for its decision-making, the compliance officer assists and advises it, as well as prepares the decisions necessary for the implementation of this article.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The policies, procedures and controls related to the exchange of information, referred to in point 1 of this article, require that obliged entities within the group exchange information where such exchange is necessary for the purposes of implementing customer due diligence measures and managing the risk of money laundering and terrorist financing. The exchange of information within the group includes, in particular, the identity and characteristics of the customer, its beneficial owners or the person on whose behalf the customer acts, the nature and purpose of the business relationship and of occasional transactions, as well as suspicions, accompanied by the relevant analyses, that the funds constitute proceeds of criminal offences or are linked to terrorist financing, </w:t>
      </w:r>
      <w:r>
        <w:rPr>
          <w:rFonts w:ascii="Times New Roman" w:hAnsi="Times New Roman" w:cs="Times New Roman"/>
          <w:sz w:val="24"/>
          <w:szCs w:val="24"/>
        </w:rPr>
        <w:t>reported to the Financial Intelligence Agency in accordance with Article 132 of this law</w:t>
      </w:r>
      <w:r>
        <w:rPr>
          <w:rFonts w:ascii="Times New Roman" w:eastAsia="Arial Unicode MS" w:hAnsi="Times New Roman" w:cs="Times New Roman"/>
          <w:sz w:val="24"/>
          <w:szCs w:val="24"/>
          <w:lang w:bidi="en-US"/>
        </w:rPr>
        <w:t>, except where otherwise instructed by this agency.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group-wide policies, procedures and controls do not prevent entities within the group that are not obliged entities from providing information to obliged entities within the same group, where that exchange is necessary for those obliged entities to comply with the requirements set out in Part II of this law.</w:t>
      </w:r>
    </w:p>
    <w:p w:rsidR="00174F1D" w:rsidRPr="007647A8" w:rsidRDefault="001E5A6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Parent undertakings adopt policies, procedures and controls at group level to ensure that the information exchanged in accordance with points 1 and 2 of this Article is subject to sufficient safeguards with regard to confidentiality, data protection and the use of information, including measures to prevent its disclosure.</w:t>
      </w:r>
    </w:p>
    <w:p w:rsidR="00B75DD0" w:rsidRPr="007647A8" w:rsidRDefault="00B75DD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4. </w:t>
      </w:r>
      <w:r>
        <w:rPr>
          <w:rFonts w:ascii="Times New Roman" w:hAnsi="Times New Roman" w:cs="Times New Roman"/>
          <w:sz w:val="24"/>
          <w:szCs w:val="24"/>
        </w:rPr>
        <w:t>The Council of Ministers, on the proposal of the minister responsible for finance, shall issue by decision</w:t>
      </w:r>
      <w:r>
        <w:rPr>
          <w:rFonts w:ascii="Times New Roman" w:eastAsia="Arial Unicode MS" w:hAnsi="Times New Roman" w:cs="Times New Roman"/>
          <w:sz w:val="24"/>
          <w:szCs w:val="24"/>
          <w:lang w:bidi="en-US"/>
        </w:rPr>
        <w:t xml:space="preserve"> regulatory technical standards that determine the minimum requirements for policies, procedures and controls at group level, including the minimum standards for the exchange of information within the group, the criteria for the identification of the parent undertaking in the cases defined by Article 85, point 57, letter “b”, as well as the conditions under which the provisions of this Article apply to entities that are part of structures that share ownership, management or compliance control, including networks or partnerships, as well as the criteria for the identification of the parent undertaking in those cases.</w:t>
      </w:r>
    </w:p>
    <w:p w:rsidR="00913F26" w:rsidRPr="007647A8" w:rsidRDefault="00913F26" w:rsidP="002A39C9">
      <w:pPr>
        <w:widowControl w:val="0"/>
        <w:spacing w:after="0"/>
        <w:ind w:left="0" w:firstLine="567"/>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w:t>
      </w:r>
      <w:r>
        <w:rPr>
          <w:rFonts w:ascii="Times New Roman" w:eastAsia="Arial Unicode MS" w:hAnsi="Times New Roman" w:cs="Times New Roman"/>
          <w:sz w:val="24"/>
          <w:szCs w:val="24"/>
          <w:lang w:bidi="en-US"/>
        </w:rPr>
        <w:t xml:space="preserve"> 99</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0" w:name="bookmark17"/>
      <w:r>
        <w:rPr>
          <w:rFonts w:ascii="Times New Roman" w:eastAsia="Arial Unicode MS" w:hAnsi="Times New Roman" w:cs="Times New Roman"/>
          <w:b/>
          <w:bCs/>
          <w:sz w:val="24"/>
          <w:szCs w:val="24"/>
          <w:lang w:bidi="en-US"/>
        </w:rPr>
        <w:t>Branches and subsidiaries in third countries</w:t>
      </w:r>
      <w:bookmarkEnd w:id="10"/>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When the branches or subsidiaries of obliged entities are located in third countries in which the minimum requirements for AML/CFT are less stringent than those laid down in Part II of this law, the parent undertaking ensures that these branches or subsidiaries comply with the requirements provided for in Part II of this law, including the requirements relating to data protection, or requirements equivalent thereto.</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Where the legislation of a third country does not permit compliance with the requirements of Part II of this law, the parent undertaking shall take additional measures to ensure that the branches and subsidiaries in that third country effectively manage the risk of ML/TF and shall inform the supervisors of the Member State of origin of those additional measures.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When the supervisor of the </w:t>
      </w:r>
      <w:r>
        <w:rPr>
          <w:rFonts w:ascii="Times New Roman" w:hAnsi="Times New Roman" w:cs="Times New Roman"/>
          <w:sz w:val="24"/>
          <w:szCs w:val="24"/>
        </w:rPr>
        <w:t>Member State of origin assesses that the additional measures are not sufficient, it underta</w:t>
      </w:r>
      <w:r>
        <w:rPr>
          <w:rFonts w:ascii="Times New Roman" w:eastAsia="Arial Unicode MS" w:hAnsi="Times New Roman" w:cs="Times New Roman"/>
          <w:sz w:val="24"/>
          <w:szCs w:val="24"/>
          <w:lang w:bidi="en-US"/>
        </w:rPr>
        <w:t>akes other supervisory measures, including requiring that the group not establish new business relationships, terminate existing ones or not carry out transactions or close down its activities in the third country.</w:t>
      </w:r>
    </w:p>
    <w:p w:rsidR="000672F2" w:rsidRPr="007647A8" w:rsidRDefault="000672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w:t>
      </w:r>
      <w:r>
        <w:rPr>
          <w:rFonts w:ascii="Times New Roman" w:hAnsi="Times New Roman" w:cs="Times New Roman"/>
          <w:sz w:val="24"/>
          <w:szCs w:val="24"/>
        </w:rPr>
        <w:t>The Council of Ministers, upon the proposal of the minister responsible for finance, issues by decision</w:t>
      </w:r>
      <w:r>
        <w:rPr>
          <w:rFonts w:ascii="Times New Roman" w:eastAsia="Arial Unicode MS" w:hAnsi="Times New Roman" w:cs="Times New Roman"/>
          <w:sz w:val="24"/>
          <w:szCs w:val="24"/>
          <w:lang w:bidi="en-US"/>
        </w:rPr>
        <w:t xml:space="preserve"> regulatory technical standards specifying the type of additional measures referred to in point 2 of this Article, including the minimum actions to be taken by obliged entities when the law of a third country does not permit the implementation of the measures required under Article 98 of this law and the additional supervisory actions required in such cases.</w:t>
      </w:r>
    </w:p>
    <w:p w:rsidR="00693367" w:rsidRPr="007647A8" w:rsidRDefault="00693367" w:rsidP="00693367">
      <w:pPr>
        <w:widowControl w:val="0"/>
        <w:spacing w:after="0"/>
        <w:ind w:left="0" w:firstLine="720"/>
        <w:rPr>
          <w:rFonts w:ascii="Times New Roman" w:hAnsi="Times New Roman" w:cs="Times New Roman"/>
          <w:sz w:val="24"/>
          <w:szCs w:val="24"/>
        </w:rPr>
      </w:pPr>
      <w:r>
        <w:rPr>
          <w:rFonts w:ascii="Times New Roman" w:eastAsia="Arial Unicode MS" w:hAnsi="Times New Roman" w:cs="Times New Roman"/>
          <w:sz w:val="24"/>
          <w:szCs w:val="24"/>
          <w:lang w:bidi="en-US"/>
        </w:rPr>
        <w:t xml:space="preserve">4. </w:t>
      </w:r>
      <w:r>
        <w:rPr>
          <w:rFonts w:ascii="Times New Roman" w:hAnsi="Times New Roman" w:cs="Times New Roman"/>
          <w:sz w:val="24"/>
          <w:szCs w:val="24"/>
        </w:rPr>
        <w:t>This Article shall apply in the same manner when the supervisory authorities exercise the powers of the supervisor of the home state or of the supervisor of the host state, within the framework of cooperation with Member States or with third countries, in accordance with the determinations permitted by this law.</w:t>
      </w:r>
    </w:p>
    <w:p w:rsidR="00693367" w:rsidRPr="007647A8" w:rsidRDefault="00693367" w:rsidP="00693367">
      <w:pPr>
        <w:widowControl w:val="0"/>
        <w:spacing w:after="0"/>
        <w:ind w:left="0" w:firstLine="720"/>
        <w:rPr>
          <w:rFonts w:ascii="Times New Roman" w:hAnsi="Times New Roman" w:cs="Times New Roman"/>
          <w:sz w:val="24"/>
          <w:szCs w:val="24"/>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3</w:t>
      </w:r>
    </w:p>
    <w:p w:rsidR="00666E8A" w:rsidRPr="007647A8" w:rsidRDefault="000C15DF"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 xml:space="preserve">Contracting </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0C15DF" w:rsidRPr="007647A8" w:rsidRDefault="000C15DF"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100</w:t>
      </w:r>
    </w:p>
    <w:p w:rsidR="000C15DF" w:rsidRPr="007647A8" w:rsidRDefault="000C15D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Contracting of obligations</w:t>
      </w:r>
    </w:p>
    <w:p w:rsidR="000C15DF" w:rsidRPr="007647A8" w:rsidRDefault="000C15DF" w:rsidP="002A39C9">
      <w:pPr>
        <w:widowControl w:val="0"/>
        <w:spacing w:after="0"/>
        <w:ind w:left="0" w:firstLine="0"/>
        <w:rPr>
          <w:rFonts w:ascii="Times New Roman" w:eastAsia="Arial Unicode MS" w:hAnsi="Times New Roman" w:cs="Times New Roman"/>
          <w:sz w:val="24"/>
          <w:szCs w:val="24"/>
          <w:lang w:bidi="en-US"/>
        </w:rPr>
      </w:pPr>
    </w:p>
    <w:p w:rsidR="000C15DF" w:rsidRPr="007647A8" w:rsidRDefault="00671D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may contract service providers to perform the obligations arising from Part II of this law. The obliged entity notifies the supervisor of the contracting of the obligations before the service provider begins performing the contracted task.</w:t>
      </w:r>
    </w:p>
    <w:p w:rsidR="00082FB2" w:rsidRPr="007647A8" w:rsidRDefault="009B5AD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During the performance of the obligations contracted under this article, service providers are considered a functional part of the obliged entity, including cases where they are required to consult the central registers in accordance with the provisions of the law on the register of beneficial owners for the purpose of carrying out customer due diligence measures in the name and on behalf of the obliged entity.</w:t>
      </w:r>
    </w:p>
    <w:p w:rsidR="00164D5D" w:rsidRPr="007647A8" w:rsidRDefault="00164D5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obliged entity remains fully responsible for any act or omission related to the obligations contracted and carried out by the service providers.</w:t>
      </w:r>
    </w:p>
    <w:p w:rsidR="000C15DF" w:rsidRPr="007647A8" w:rsidRDefault="009B5AD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every contracted obligation, the obliged entity must be able to prove to the supervisor that it understands the rationale for the activities carried out by the service provider and the method followed in their implementation, as well as that these activities mitigate the specific risks to which the obliged entity is exposed.</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obligations contracted pursuant to point 1 of this article must not be carried out in such a way as to materially impair the quality of the policies and procedures of the obliged entity for the fulfilment of the requirements of Part II and Part III of this law, as well as of the control measures put in place for the testing of these policies and procedures.</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no case may the following obligations be contracted:</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proposal and approval of the risk assessment at entity level in accordance with Article 92 of this law; </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approval of the policies, procedures and internal controls of the obliged entity in accordance with Article 91 of this law;</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decision-making on the determination of the risk profile attributed to the client;</w:t>
      </w:r>
    </w:p>
    <w:p w:rsidR="000C15DF" w:rsidRPr="007647A8" w:rsidRDefault="0016055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decision-making on the establishment of a business relationship or the carrying out of an occasional transaction with a client;</w:t>
      </w:r>
    </w:p>
    <w:p w:rsidR="000C15DF" w:rsidRPr="007647A8" w:rsidRDefault="004F060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reporting to the Financial Intelligence Agency of suspicious transactions or activities according to article 132 of this law or of reporting in accordance with articles 137 and 143 of this law, with the exception of cases when these activities are delegated to another obliged entity that is part of the same group and is established in the same Member State;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approval of the criteria for the detection of suspicious or unusual transactions and activities.</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obliged entity, before contracting the obligations in accordance with point 1 of this article, must ensure that the service provider has the necessary and sufficient qualifications for carrying out the contracted obligations.</w:t>
      </w:r>
    </w:p>
    <w:p w:rsidR="000C15DF" w:rsidRPr="007647A8" w:rsidRDefault="00B704A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an obliged entity outsources an obligation in accordance with point 1 of this Article, it ensures that the service provider, as well as any further service provider contracted by it, apply the policies and procedures approved by the obliged entity.</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conditions for carrying out these duties are determined in a written agreement between the obliged entity and the service provider. The obliged entity carries out periodic checks to verify the effective implementation of these policies and procedures by the service provider. The frequency of these checks is determined on the basis of the critical nature of the contracted obligations.</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Obliged entities ensure that the outsourcing of obligations is not carried out in such a way as to substantially impair the ability of the supervisory authorities to monitor and track the obliged entity’s compliance with the requirements of Part II and Part III of the law.</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By way of derogation from the provisions of point 1 of this article, obliged entities may not outsource the obligations set out in Part II of this law to service providers residing or established in identified third countries, pursuant to Section 2 of Chapter III of Part II of this law, except in cases where all of the following conditions are met: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obliged entity contracts out the obligations only to service providers that are part of the same group;</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group applies AML/CFT policies and procedures, customer due diligence measures and rules for data retention, which are fully in accordance with Part II of this law or with equivalent requirements in third countries;</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the effective implementation of the requirements referred to in letter "b" of this point is supervised at group level by the supervisory authority of the Member State of origin in accordance with Chapter III of Part I of this law. </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7. By way of exception from point 3 of this Article, when a collective investment undertaking does not have legal personality or has only one management board and has delegated to another entity </w:t>
      </w:r>
      <w:r>
        <w:rPr>
          <w:rFonts w:ascii="Times New Roman" w:hAnsi="Times New Roman" w:cs="Times New Roman"/>
          <w:sz w:val="24"/>
          <w:szCs w:val="24"/>
        </w:rPr>
        <w:t xml:space="preserve">processing of requests for </w:t>
      </w:r>
      <w:r>
        <w:rPr>
          <w:rFonts w:ascii="Times New Roman" w:eastAsia="Arial Unicode MS" w:hAnsi="Times New Roman" w:cs="Times New Roman"/>
          <w:sz w:val="24"/>
          <w:szCs w:val="24"/>
          <w:lang w:bidi="en-US"/>
        </w:rPr>
        <w:t xml:space="preserve">registration and collection of funds from investors, according to the legislation in force, this undertaking may delegate to one of its service providers the performance of the obligations referred to in point 3, </w:t>
      </w:r>
      <w:r>
        <w:rPr>
          <w:rFonts w:ascii="Times New Roman" w:hAnsi="Times New Roman" w:cs="Times New Roman"/>
          <w:sz w:val="24"/>
          <w:szCs w:val="24"/>
        </w:rPr>
        <w:t>letters</w:t>
      </w:r>
      <w:r>
        <w:rPr>
          <w:rFonts w:ascii="Times New Roman" w:eastAsia="Arial Unicode MS" w:hAnsi="Times New Roman" w:cs="Times New Roman"/>
          <w:sz w:val="24"/>
          <w:szCs w:val="24"/>
          <w:lang w:bidi="en-US"/>
        </w:rPr>
        <w:t xml:space="preserve"> “c”, “d” and “e” of this Article.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contracting of the obligations referred to in this point may be carried out only after the collective investment undertaking has notified its intention to contract the performance of these obligations to the supervisor, in accordance with point 1 of this Article, and the supervisor has approved this contracting, taking into consideration:</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resources, experience and knowledge of the service provider in relation to the prevention of money laundering, terrorist financing and the financing of the proliferation of weapons of mass destruction;</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payment service provider's knowledge of the type of activities or transactions carried out by the collective investment undertaking.</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8. </w:t>
      </w:r>
      <w:r>
        <w:rPr>
          <w:rFonts w:ascii="Times New Roman" w:hAnsi="Times New Roman" w:cs="Times New Roman"/>
          <w:sz w:val="24"/>
          <w:szCs w:val="24"/>
        </w:rPr>
        <w:t>The minister responsible for finance, upon the proposal of the responsible authority, based on the acts issued by AMLA, issues guidelines for obliged entities regarding:</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establishment of outsourcing relationships, including any subsequent outsourcing relationship, in accordance with this Article, their management and the procedures for monitoring the performance of functions by the service provider, especially for functions that are considered critical;</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roles and responsibilities of the obliged entity and of the service provider within the framework of an outsourcing agreement;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manner of supervision over the outsourcing of obligations, as well as supervisory expectations regarding the outsourcing of critical functions.</w:t>
      </w:r>
    </w:p>
    <w:p w:rsidR="00B35CD0" w:rsidRPr="007647A8" w:rsidRDefault="00B35CD0"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III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DUE DILIGENCE TOWARDS THE CLIENT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General provisions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101</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1" w:name="bookmark18"/>
      <w:r>
        <w:rPr>
          <w:rFonts w:ascii="Times New Roman" w:eastAsia="Arial Unicode MS" w:hAnsi="Times New Roman" w:cs="Times New Roman"/>
          <w:b/>
          <w:bCs/>
          <w:sz w:val="24"/>
          <w:szCs w:val="24"/>
          <w:lang w:bidi="en-US"/>
        </w:rPr>
        <w:t>Application of customer due diligence measures</w:t>
      </w:r>
      <w:bookmarkEnd w:id="11"/>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shall apply customer due diligence measures in any of the following cases: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when establishing a business relationship;</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when they carry out an occasional transaction with a value of at least 1 000 000 (one million) lek or the equivalent in foreign currencies, regardless of whether the transaction is carried out in a single transaction or in several linked transactions, or with a lower value determined in accordance with the regulatory technical standards adopted pursuant to point 9 of this article;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when they participate in the establishment of a legal person, the establishment of a legal arrangement or, for the obliged entities referred to in Article 86, point 3, letters "a", "b" or “c”, in the transfer of ownership of a legal person, regardless of the value of the transaction;</w:t>
      </w:r>
    </w:p>
    <w:p w:rsidR="00174F1D" w:rsidRPr="007647A8" w:rsidRDefault="002D78D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in all cases, when there is suspicion of money laundering or terrorist financing, regardless of any specified exemption, derogation or threshold;</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when there are doubts about the authenticity or adequacy of the customer identification data obtained previously;</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when there are doubts whether the person with whom they interact is the client or the person authorised to act on behalf of the client.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In addition to the cases provided for in point 1 of this article, credit institutions and financial institutions, with the exception of crypto-asset service providers, must apply customer due diligence measures when they initiate or carry out an occasional transaction that constitutes a transfer of funds, according to the definitions in Article 150, point 7, with a value of at least 100 000 (one hundred thousand) lek or the equivalent in foreign currencies, regardless of whether the transaction is carried out in a single transaction or through several linked transactions.</w:t>
      </w:r>
    </w:p>
    <w:p w:rsidR="00174F1D" w:rsidRPr="007647A8" w:rsidRDefault="008E1EF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With the exception of the provision in point 1, letter “b” of this Article, crypto-asset service providers must: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to apply customer due diligence measures when they carry out an occasional transaction with a value of at least 100 000 (one hundred thousand) lek or the equivalent in foreign currencies, regardless of whether the transaction is carried out in a single transaction or through linked transactions;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apply at least the customer due diligence measures referred to in Article 102, point 1, letter “a”, when they carry out an occasional transaction with a value below 100 000 (one hundred thousand) lek or the equivalent in foreign currency, regardless of whether the transaction is carried out in a single operation or through linked transactions.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By way of exception to the definitions in point 1, letter "b" of this article, obliged entities shall apply at least the customer due diligence measures referred to in Article 102, point 1, letter "a", when they carry out an occasional transaction in cash with a value of at least 300 000 (three hundred thousand) lek or the equivalent in foreign currencies, regardless of whether the transaction is carried out in a single transaction or through linked transactions.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This point shall not apply in cases where the legislation in force, based on Article 143, point 2, provides for restrictions on cash payments in amounts equal to or lower than 300 000 (three hundred thousand) lek or the equivalent in foreign currencies, with the exception of the cases provided for by Article 143, point 3, letter “b”.</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By way of exception to the provisions in point 1 of this article, entities that provide gambling services apply customer due diligence measures when collecting winnings, placing a bet, or during both actions, when they carry out transactions with a value of at least 200 000 (two hundred thousand) lek or the equivalent in foreign currencies, regardless of whether the transaction is carried out in a single transaction or through linked transactions.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Obliged entities, for the purpose of implementing this Chapter of Part II of the law, shall consider the following persons as their clients: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 the case of obliged entities as referred to in Article 86, paragraph 3, letters “e”, “f” and “i”, as well as persons trading in high-value goods as defined in Article 86, paragraph 3 “j”, in addition to the direct client, also the supplier of the goods;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 the case of notaries, lawyers and other independent legal professionals who mediate a transaction and when they are the only notary, lawyer or independent legal professional who mediates that transaction, both parties to the transaction;</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 the case of real estate agents, both parties to the transaction;</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in connection with the payment initiation services carried out by the providers of these services, the merchant;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in relation to providers of collective financing services and collective financing intermediaries, the natural or legal person seeking financing and the natural or legal person providing financing through the collective financing platform.</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Supervisors may exempt obliged entities, directly or in cooperation with other authorities of the same state, from implementation, wholly or partially, of the customer due diligence measures set out in Article 102, paragraph 1, letters “a”, “b” and “c”, in relation to electronic money, based on the demonstrated low risk presented by the nature of the product, when all of the following risk-mitigating conditions are met: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payment instrument cannot be reloaded and the value stored electronically does not exceed 15 000 (fifteen thousand) lek or the equivalent in foreign currencies;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payment instrument is used exclusively for the purchase of goods or services offered by the issuer or within a network of payment service providers;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payment instrument is not linked to a payment account and does not allow the exchange of the value stored into cash or into crypto-assets;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issuer carries out sufficient monitoring of transactions or the business relationship to enable the detection of unusual or suspicious transactions.</w:t>
      </w:r>
    </w:p>
    <w:p w:rsidR="00174F1D" w:rsidRPr="007647A8" w:rsidRDefault="0045489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8. Providers of gambling services may fulfill the obligation for the application of customer due diligence measures, according to the provisions in Article 102, point 1, letter “a”, by identifying the customer and verifying his identity at the moment of entry into the casino or into other physical premises of gambling services, provided that they have systems that enable the linking of transactions with specific customers. </w:t>
      </w:r>
    </w:p>
    <w:p w:rsidR="00174F1D" w:rsidRPr="007647A8" w:rsidRDefault="00AE062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9. </w:t>
      </w:r>
      <w:r>
        <w:rPr>
          <w:rFonts w:ascii="Times New Roman" w:hAnsi="Times New Roman" w:cs="Times New Roman"/>
          <w:sz w:val="24"/>
          <w:szCs w:val="24"/>
        </w:rPr>
        <w:t>The Council of Ministers, upon the proposal of the minister responsible for finance, based on the acts issued by the European Commission, shall issue by decision the regulatory technical standards which must determine:</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a) obliged entities, sectors or transactions related to a higher risk of money laundering, terrorist financing and for which a value lower than the value determined in point 1, letter “b” of this Article applies;</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b) the corresponding values of occasional transactions;</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c) the criteria that must be taken into consideration for the identification of occasional transactions and business relationships;</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d) criteria for the identification of related transactions.</w:t>
      </w:r>
    </w:p>
    <w:p w:rsidR="00AE062D" w:rsidRPr="007647A8" w:rsidRDefault="00983140"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 xml:space="preserve">The regulatory technical standards must take into account the risk levels of the business models of different types of obliged entities and the risk assessment at national level drawn up pursuant to Article 10 of the law.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2" w:name="bookmark19"/>
      <w:r>
        <w:rPr>
          <w:rFonts w:ascii="Times New Roman" w:eastAsia="Arial Unicode MS" w:hAnsi="Times New Roman" w:cs="Times New Roman"/>
          <w:b/>
          <w:bCs/>
          <w:sz w:val="24"/>
          <w:szCs w:val="24"/>
          <w:lang w:bidi="en-US"/>
        </w:rPr>
        <w:t>Customer due diligence measures</w:t>
      </w:r>
      <w:bookmarkEnd w:id="12"/>
    </w:p>
    <w:p w:rsidR="00D33450" w:rsidRPr="007647A8" w:rsidRDefault="00D33450" w:rsidP="002A39C9">
      <w:pPr>
        <w:widowControl w:val="0"/>
        <w:spacing w:after="0"/>
        <w:ind w:left="0" w:firstLine="567"/>
        <w:rPr>
          <w:rFonts w:ascii="Times New Roman" w:eastAsia="Arial Unicode MS" w:hAnsi="Times New Roman" w:cs="Times New Roman"/>
          <w:sz w:val="24"/>
          <w:szCs w:val="24"/>
          <w:lang w:bidi="en-US"/>
        </w:rPr>
      </w:pP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In the implementation of customer due diligence measures, obliged entities must apply all of the following measures:</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identification of the client and verification of his identity;</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identification of beneficial owners and taking appropriate measures for the verification of their identity, so that the obliged entity is satisfied as to the identity of the beneficial owner and understands the ownership and control structure of the client;</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assessment and, where appropriate, obtaining information and understanding the purpose and intended nature of the business relationship or occasional transactions;</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verification of whether the customer or the beneficial owners are subject to financial restrictive measures, and, in the case of a customer or party in a legal arrangement that is a legal person, whether natural or legal persons, who are subject to financial restrictive measures, control the legal person or own more than 50 % of the ownership rights of that legal person or a controlling interest in it, whether individually or jointly;</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assessment and, as the case may be, obtaining information on the nature of the activity of the client, including, in the case of legal persons, whether they carry out certain activities, or on their profession or employment;</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carrying out continuous monitoring of the business relationship, including the review of transactions carried out throughout the entire duration of the business relationship, to ensure that the transactions carried out are consistent with the obliged entity's knowledge of the client, his activity and risk profile, including, where necessary, the source of funds;</w:t>
      </w:r>
    </w:p>
    <w:p w:rsidR="0087724B" w:rsidRPr="007647A8" w:rsidRDefault="0087724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determining whether the client, the client's beneficial owner and, where applicable, the person in whose name or for whose benefit a transaction or activity is carried out, is a politically exposed person, a family member or a person known as a close associate;</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when a transaction or activity is being carried out in the name of or for the benefit of natural persons other than the client, the identification and verification of the identity of these natural persons;</w:t>
      </w:r>
    </w:p>
    <w:p w:rsidR="009E4622" w:rsidRPr="007647A8" w:rsidRDefault="0087724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(j) verification of whether any person claiming to act on behalf of the client is authorised to do so, as well as the identification and verification of his identity.</w:t>
      </w:r>
    </w:p>
    <w:p w:rsidR="00FB2257"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Obliged entities determine the extent of the measures referred to in point 1 of this article, based on an individual analysis of the risks of money laundering and terrorist financing, taking into consideration the specific characteristics of the client and of the business relationship or occasional transaction, as well as the risk assessment at the level of the activity of the obliged entity, carried out in accordance with Article 92 of this law, the risk variables for money laundering and terrorist financing defined in Annex I, as well as the risk factors defined in Annex II and Annex III of Part II of this law.</w:t>
      </w:r>
    </w:p>
    <w:p w:rsidR="00FB2257"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obliged entities identify an increased risk of money laundering or terrorist financing, they apply enhanced due diligence measures in accordance with Section 4 of this Chapter. When lower-risk situations are identified, obliged entities may apply simplified due diligence measures in accordance with Section 3 of this Chapter.</w:t>
      </w:r>
    </w:p>
    <w:p w:rsidR="00FB2257" w:rsidRPr="007647A8" w:rsidRDefault="00FB225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Obliged entities shall at all times be able to demonstrate to the supervisors that the measures taken are appropriate in relation to the risks of money laundering, terrorist financing and financing of the proliferation of weapons of mass destruction that have been identified. </w:t>
      </w:r>
    </w:p>
    <w:p w:rsidR="00D33450" w:rsidRPr="007647A8" w:rsidRDefault="00FB225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4. </w:t>
      </w:r>
      <w:r>
        <w:rPr>
          <w:rFonts w:ascii="Times New Roman" w:hAnsi="Times New Roman" w:cs="Times New Roman"/>
          <w:sz w:val="24"/>
          <w:szCs w:val="24"/>
        </w:rPr>
        <w:t xml:space="preserve">The minister responsible for finance, upon the proposal of the responsible authority, </w:t>
      </w:r>
      <w:r>
        <w:rPr>
          <w:rFonts w:ascii="Times New Roman" w:eastAsia="Arial Unicode MS" w:hAnsi="Times New Roman" w:cs="Times New Roman"/>
          <w:sz w:val="24"/>
          <w:szCs w:val="24"/>
          <w:lang w:bidi="en-US"/>
        </w:rPr>
        <w:t>issues guidelines on the variables and risk factors that must be taken into consideration by obliged entities during the establishment of business relationships or the carrying out of occasional transactions.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Inability to meet the requirements for the implementation of customer due diligence measures</w:t>
      </w:r>
    </w:p>
    <w:p w:rsidR="001458CF" w:rsidRPr="007647A8" w:rsidRDefault="001458CF" w:rsidP="002A39C9">
      <w:pPr>
        <w:widowControl w:val="0"/>
        <w:spacing w:after="0"/>
        <w:ind w:left="0" w:firstLine="720"/>
        <w:rPr>
          <w:rFonts w:ascii="Times New Roman" w:eastAsia="Arial Unicode MS" w:hAnsi="Times New Roman" w:cs="Times New Roman"/>
          <w:sz w:val="24"/>
          <w:szCs w:val="24"/>
          <w:lang w:bidi="en-US"/>
        </w:rPr>
      </w:pPr>
    </w:p>
    <w:p w:rsidR="00183502" w:rsidRPr="007647A8" w:rsidRDefault="00C77D2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When the obliged entity is not able to fulfil the requirement for the implementation of customer due diligence measures provided for in Article </w:t>
      </w:r>
      <w:r>
        <w:rPr>
          <w:rFonts w:ascii="Times New Roman" w:hAnsi="Times New Roman" w:cs="Times New Roman"/>
          <w:sz w:val="24"/>
          <w:szCs w:val="24"/>
        </w:rPr>
        <w:t>102, point 1</w:t>
      </w:r>
      <w:r>
        <w:rPr>
          <w:rFonts w:ascii="Times New Roman" w:eastAsia="Arial Unicode MS" w:hAnsi="Times New Roman" w:cs="Times New Roman"/>
          <w:sz w:val="24"/>
          <w:szCs w:val="24"/>
          <w:lang w:bidi="en-US"/>
        </w:rPr>
        <w:t>, the subject does not carry out the transaction or does not establish the business relationship, and terminates the existing business relationship and assesses the possibility of reporting a suspicious activity to the Financial Intelligence Agency in relation to the customer, in accordance with Article 132.</w:t>
      </w:r>
    </w:p>
    <w:p w:rsidR="00183502" w:rsidRPr="007647A8" w:rsidRDefault="0098314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termination of the business relationship, in accordance with the above paragraph, does not prevent the obligated entity from receiving funds, according to the provisions of the legislation on payment services.</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Where an obliged entity has the obligation to safeguard the property of its client, the termination of the business relationship shall not be considered to require the disposal of the client's property.</w:t>
      </w:r>
    </w:p>
    <w:p w:rsidR="00E2186B"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In the case of life insurance contracts, obliged entities, where necessary as an alternative measure to terminating the business relationship, shall not carry out actions for the client, including payments to beneficiaries, until the fulfilment of the customer due diligence measures specified </w:t>
      </w:r>
      <w:r>
        <w:rPr>
          <w:rFonts w:ascii="Times New Roman" w:hAnsi="Times New Roman" w:cs="Times New Roman"/>
          <w:sz w:val="24"/>
          <w:szCs w:val="24"/>
        </w:rPr>
        <w:t>in Article 102, point 1 of this law</w:t>
      </w:r>
      <w:r>
        <w:rPr>
          <w:rFonts w:ascii="Times New Roman" w:eastAsia="Arial Unicode MS" w:hAnsi="Times New Roman" w:cs="Times New Roman"/>
          <w:sz w:val="24"/>
          <w:szCs w:val="24"/>
          <w:lang w:bidi="en-US"/>
        </w:rPr>
        <w: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Point 1 of this Article does not apply to notaries, lawyers, other independent legal professionals, statutory auditors, approved accountants and tax advisers, to the extent that those persons determine the legal situation of their client, or perform the duty of defending or representing the client in judicial proceedings, or in connection therewith, including the giving of advice on the institution or avoidance of such proceedings.</w:t>
      </w:r>
    </w:p>
    <w:p w:rsidR="00183502" w:rsidRPr="007647A8" w:rsidRDefault="0076421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above paragraph of this point shall not apply when the obliged entities mentioned therein:</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participate in money laundering, </w:t>
      </w:r>
      <w:r>
        <w:rPr>
          <w:rFonts w:ascii="Times New Roman" w:hAnsi="Times New Roman" w:cs="Times New Roman"/>
          <w:sz w:val="24"/>
          <w:szCs w:val="24"/>
        </w:rPr>
        <w:t xml:space="preserve">criminal offences related to it or </w:t>
      </w:r>
      <w:r>
        <w:rPr>
          <w:rFonts w:ascii="Times New Roman" w:eastAsia="Arial Unicode MS" w:hAnsi="Times New Roman" w:cs="Times New Roman"/>
          <w:sz w:val="24"/>
          <w:szCs w:val="24"/>
          <w:lang w:bidi="en-US"/>
        </w:rPr>
        <w:t>the financing of terrorism;</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provide legal advice for the purposes of money laundering, </w:t>
      </w:r>
      <w:r>
        <w:rPr>
          <w:rFonts w:ascii="Times New Roman" w:hAnsi="Times New Roman" w:cs="Times New Roman"/>
          <w:sz w:val="24"/>
          <w:szCs w:val="24"/>
        </w:rPr>
        <w:t xml:space="preserve">criminal offences related to it or </w:t>
      </w:r>
      <w:r>
        <w:rPr>
          <w:rFonts w:ascii="Times New Roman" w:eastAsia="Arial Unicode MS" w:hAnsi="Times New Roman" w:cs="Times New Roman"/>
          <w:sz w:val="24"/>
          <w:szCs w:val="24"/>
          <w:lang w:bidi="en-US"/>
        </w:rPr>
        <w:t>the financing of terrorism; or</w:t>
      </w:r>
    </w:p>
    <w:p w:rsidR="00C73B85"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they are aware that the client seeks legal advice for the purposes of money laundering, criminal offences related thereto or terrorist financing.</w:t>
      </w:r>
    </w:p>
    <w:p w:rsidR="00183502" w:rsidRPr="007647A8" w:rsidRDefault="00C73B8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Knowledge or intent may be inferred from objective factual circumstances.</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Obliged entities shall keep records of the measures taken to fulfil the requirements for the implementation of customer due diligence measures, including records of the decisions taken, the relevant supporting documents and reasoning. The documents, data or information kept by the obliged entity shall be updated whenever customer due diligence measures are reviewed in accordance with Article 108 of this law.</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obligation to keep records, according to the provisions of this point, also applies in cases where obliged entities refuse to establish a business relationship, terminate a business relationship or apply alternative measures in accordance with point 1 of this article.</w:t>
      </w:r>
    </w:p>
    <w:p w:rsidR="00183502" w:rsidRPr="007647A8" w:rsidRDefault="00183502" w:rsidP="002A39C9">
      <w:pPr>
        <w:widowControl w:val="0"/>
        <w:spacing w:after="0"/>
        <w:ind w:left="0" w:firstLine="567"/>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Bank of Albania, based on the acts issued by AMLA and the European Banking Authority (EBA), issues guidelines on the measures that may be taken by credit institutions and financial institutions to ensure compliance with AML/CFT requirements, including those related to business relationships most affected by the de-risking process (</w:t>
      </w:r>
      <w:r>
        <w:rPr>
          <w:rFonts w:ascii="Times New Roman" w:eastAsia="Arial Unicode MS" w:hAnsi="Times New Roman" w:cs="Times New Roman"/>
          <w:i/>
          <w:sz w:val="24"/>
          <w:szCs w:val="24"/>
          <w:lang w:bidi="en-US"/>
        </w:rPr>
        <w:t>de-risking)</w:t>
      </w:r>
      <w:r>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104</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Identification and verification of the identity of clients and beneficial owners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With the exception of lower-risk cases, to which the measures under Section 3 of this Chapter apply, and regardless of the application of additional measures in higher-risk cases under Section 4 of this Chapter, obliged entities must obtain, at a minimum, the following information for the identification of the client, of any person claiming to act on behalf of the client, and of natural persons in whose name or for whose benefit a transaction or activity is carried out:</w:t>
      </w: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for the natural person:</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all first names and surnames;</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place and full date of birth;</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citizenship or citizenships, or the absence of citizenship, as well as, as the case may be, refugee status or the status of beneficiary of subsidiary protection, as well as the national identification number, where available;</w:t>
      </w: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the habitual residence or, if there is no permanent residential address with lawful stay in the Republic of Albania, the postal address at which the natural person may be contacted and, where available, the tax identification number;</w:t>
      </w:r>
    </w:p>
    <w:p w:rsidR="00174F1D" w:rsidRPr="007647A8" w:rsidRDefault="00EB75A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for the legal person:</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legal form and the name of the legal person;</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address of the registered or official office and, if it is different from it, the principal place of carrying out the activity, as well as the state where it was established;</w:t>
      </w:r>
    </w:p>
    <w:p w:rsidR="00174F1D" w:rsidRPr="007647A8" w:rsidRDefault="0016569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the names of the legal representatives of the legal person, as well as, where available, the registration number, the tax identification number and the identifier of the legal person;</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iv. the names of the persons who own shares of the capital </w:t>
      </w:r>
      <w:r>
        <w:rPr>
          <w:rFonts w:ascii="Times New Roman" w:hAnsi="Times New Roman" w:cs="Times New Roman"/>
          <w:sz w:val="24"/>
          <w:szCs w:val="24"/>
        </w:rPr>
        <w:t>or hold the position of director in the capacity of the appointed person</w:t>
      </w:r>
      <w:r>
        <w:rPr>
          <w:rFonts w:ascii="Times New Roman" w:eastAsia="Arial Unicode MS" w:hAnsi="Times New Roman" w:cs="Times New Roman"/>
          <w:sz w:val="24"/>
          <w:szCs w:val="24"/>
          <w:lang w:bidi="en-US"/>
        </w:rPr>
        <w:t xml:space="preserve">, </w:t>
      </w:r>
      <w:r>
        <w:rPr>
          <w:rFonts w:ascii="Times New Roman" w:hAnsi="Times New Roman" w:cs="Times New Roman"/>
          <w:sz w:val="24"/>
          <w:szCs w:val="24"/>
        </w:rPr>
        <w:t xml:space="preserve">including the determination of their capacity as shareholders </w:t>
      </w:r>
      <w:r>
        <w:rPr>
          <w:rFonts w:ascii="Times New Roman" w:eastAsia="Arial Unicode MS" w:hAnsi="Times New Roman" w:cs="Times New Roman"/>
          <w:sz w:val="24"/>
          <w:szCs w:val="24"/>
          <w:lang w:bidi="en-US"/>
        </w:rPr>
        <w:t>or appointed directors;</w:t>
      </w:r>
    </w:p>
    <w:p w:rsidR="00174F1D" w:rsidRPr="007647A8" w:rsidRDefault="00343CE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for the trustee of an express trust or the person holding an equivalent position in a similar legal arrangement:</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basic information on the legal arrangement; however, in relation to the property held within the legal arrangement or administered through it, only the property that will be administered within the business relationship or the occasional transaction shall be identified;</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residential address of the trustees or persons holding an equivalent position in a similar legal arrangement and, if different, the address of the place from which the special trust or similar legal arrangement is administered, the act that defines and regulates the functioning of the legal arrangement including the powers that regulate and bind the legal arrangement, as well as, when available, the tax identification number and the legal person identifier;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for other legal forms that have legal capacity according to the legislation in force:</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name, the address of the registered office or the equivalent address;</w:t>
      </w:r>
    </w:p>
    <w:p w:rsidR="00174F1D" w:rsidRPr="007647A8" w:rsidRDefault="0072689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names of the persons authorised to represent, as well as, as the case may be, the legal form, the tax identification number, the registration number, the legal person identifier and the acts of establishment or documents equivalent thereto.</w:t>
      </w:r>
    </w:p>
    <w:p w:rsidR="00595C1C"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For the purposes of identifying the beneficial owner of a legal person or a legal arrangement, obliged entities collect the information defined in the law on the register of beneficial owners. </w:t>
      </w:r>
    </w:p>
    <w:p w:rsidR="00174F1D" w:rsidRPr="007647A8" w:rsidRDefault="00FE2D7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after all possible means of identification have been exhausted, no natural persons are identified as beneficial owners or when there are doubts that the identified persons are the beneficial owners, the obliged entities document the fact that no beneficial owner has been identified and identify all natural persons who hold the positions of senior managing officials of the legal person, as well as verify their identity.</w:t>
      </w:r>
    </w:p>
    <w:p w:rsidR="00075D44"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Where carrying out the verification of identity referred to in the second paragraph of this point may make it known to the client that the obliged entity has suspicions regarding the beneficial ownership of the legal person, the obliged entity shall not carry out the verification of identity of the senior management and, instead, shall document the measures taken to determine the identity of the beneficial owners and the senior management.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must keep records of the measures taken, as well as of the difficulties encountered during the identification process, which have led to the need to identify a senior management official.</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Credit institutions and financial institutions obtain information for the identification and verification of the identity of natural or legal persons that use any virtual IBAN issued by them, as well as of the respective bank or payment account linked to it.</w:t>
      </w:r>
    </w:p>
    <w:p w:rsidR="002B7801" w:rsidRPr="007647A8" w:rsidRDefault="002B78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credit institution or financial institution that administers the bank or payment account into which payments are redirected from a virtual IBAN issued by another credit institution or financial institution, ensures that it can obtain from the institution that has issued the virtual IBAN the information for the identification and verification of the identity of the natural person who uses that virtual IBAN, without delay and, in any case, within 5 working days from the request for this information.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In the case of the beneficiaries of trusts or of legal persons or similar legal arrangements, which are determined on the basis of specific characteristics or a certain category,  the obliged entity obtains sufficient information on the beneficiary, so that it is able to determine his identity at the time of carrying out the payment or at the time of the exercise by the beneficiary of his acquired rights.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In the case of discretionary trusts, the obliged entity obtains sufficient information concerning the persons who are the object of a discretionary power and the beneficiaries in the absence of the exercise of discretion, so that it is able to determine the identity of the beneficiary at the moment when the trustees exercise their discretionary power or at the moment when the beneficiaries become beneficiaries due to the non-exercise of the discretionary power by the trustees.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Obliged entities obtain the information, documents and data necessary for the verification of the identity of the client and of any person who claims to act on his behalf, through one of the following means: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presentation of the identification document, passport or equivalent document and, as the case may be, obtaining information from reliable and independent sources, whether directly accessible or data provided by the client;</w:t>
      </w:r>
    </w:p>
    <w:p w:rsidR="00174F1D" w:rsidRPr="007647A8" w:rsidRDefault="002237E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use of electronic identification means and trust services for electronic identification schemes, in accordance with the legislation in force and the bylaws, in relation to the security levels “substantial” or “high”, as well as other services defined in Part II of this law;</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Obliged entities verify the identity of the beneficial owner and, as the case may be, of the persons in whose name or for whose benefit a transaction or activity is carried out, by means of one of the following methods: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 accordance with point 6 of this Article;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taking appropriate measures to secure the necessary information, documents and data from the client or from other reliable sources, including public registers, except for central registers.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determine the extent of the information to be consulted, taking into account the risks presented by the occasional transaction or the business relationship and by the beneficial owner, including the risks related to the ownership structure.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addition to the means of verification defined in this point, obliged entities verify the information on beneficial owners through consultation of the electronic register of beneficial owners and other central registers.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105</w:t>
      </w:r>
    </w:p>
    <w:p w:rsidR="00666E8A" w:rsidRPr="007647A8" w:rsidRDefault="00C82B58"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The time of carrying out the verification of the identity of the client and the beneficial owner</w:t>
      </w:r>
    </w:p>
    <w:p w:rsidR="00C82B58" w:rsidRPr="007647A8" w:rsidRDefault="00C82B58"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verification of the identity of the client, the beneficial owner and any person specified in Article 102, point 1, letters “g” and “gj”, is carried out before the establishment of a business relationship or the carrying out of an occasional transaction. This obligation shall not apply to cases with lower risk according to the provisions of Section 3 of this Chapter, provided that the low level of risk justifies the postponement of this verification.</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real estate agents, the verification referred to in the above paragraph of this point is carried out after the acceptance of an offer by the seller or the lessor and, in any case, before the transfer of funds or property.</w:t>
      </w:r>
    </w:p>
    <w:p w:rsidR="0066763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w:t>
      </w:r>
      <w:r>
        <w:rPr>
          <w:rFonts w:ascii="Times New Roman" w:hAnsi="Times New Roman" w:cs="Times New Roman"/>
          <w:sz w:val="24"/>
          <w:szCs w:val="24"/>
        </w:rPr>
        <w:t>By way of derogation from point 1 of this Article</w:t>
      </w:r>
      <w:r>
        <w:rPr>
          <w:rFonts w:ascii="Times New Roman" w:eastAsia="Arial Unicode MS" w:hAnsi="Times New Roman" w:cs="Times New Roman"/>
          <w:sz w:val="24"/>
          <w:szCs w:val="24"/>
          <w:lang w:bidi="en-US"/>
        </w:rPr>
        <w:t xml:space="preserve">, verification of the identity of the client and the beneficial owner may be carried out during the establishment of the business relationship, when this is necessary in order not to interrupt the normal conduct of the activity and when there is a low risk of money laundering or terrorist financing.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these cases, the relevant procedures must be completed as soon as possible after the initial contact with the client.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w:t>
      </w:r>
      <w:r>
        <w:rPr>
          <w:rFonts w:ascii="Times New Roman" w:hAnsi="Times New Roman" w:cs="Times New Roman"/>
          <w:sz w:val="24"/>
          <w:szCs w:val="24"/>
        </w:rPr>
        <w:t>By way of derogation from point 1 of this Article</w:t>
      </w:r>
      <w:r>
        <w:rPr>
          <w:rFonts w:ascii="Times New Roman" w:eastAsia="Arial Unicode MS" w:hAnsi="Times New Roman" w:cs="Times New Roman"/>
          <w:sz w:val="24"/>
          <w:szCs w:val="24"/>
          <w:lang w:bidi="en-US"/>
        </w:rPr>
        <w:t xml:space="preserve">, a credit institution or financial institution may open an account, including accounts that allow the carrying out of transactions in transferable securities, at the request of the client, provided that appropriate protection measures have been put in place ensuring that the client or the person acting on his behalf does not carry out transactions </w:t>
      </w:r>
      <w:r>
        <w:rPr>
          <w:rFonts w:ascii="Times New Roman" w:hAnsi="Times New Roman" w:cs="Times New Roman"/>
          <w:sz w:val="24"/>
          <w:szCs w:val="24"/>
        </w:rPr>
        <w:t>until the full fulfilment of the customer due diligence measures defined in Article 102, point 1, letters “a” and “b”, of this law.</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Obliged entities, when establishing a new business relationship with a legal person or with the trustee of a special trust, or the person holding an equivalent position in a similar legal arrangement, identified in accordance with the law on the register of beneficial owners and who is obliged to register information under that law, must collect valid documentation proving the registration or an extract from the register, issued recently, confirming the validity of the registration.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Reporting of discrepancies in the register of beneficial owners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F93AC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report to the register of beneficial owners any discrepancy that they identify between the information on beneficial owners available in the register and the information that they have collected during the application of customer due diligence measures, in accordance with Article 102, paragraph 1, letter “b” and Article 104, paragraph 7 of this law.</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discrepancies mentioned in the above paragraph shall be reported without delay and, in any case, within 14 calendar days after their detection. When reporting these discrepancies, the obliged entities shall attach the information obtained by them that indicates the discrepancy, as well as identify the persons whom they consider to be the beneficial owners and, as the case may be, the nominee shareholders and the nominee directors or administrators, together with the relevant reasoning.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By way of exception from point 1 of this article, obliged entities may not report discrepancies in the register of beneficial owners and, instead, may request additional information from the client, when the identified discrepancies: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relate only to typographical errors, different ways </w:t>
      </w:r>
      <w:r>
        <w:rPr>
          <w:rFonts w:ascii="Times New Roman" w:eastAsia="Arial Unicode MS" w:hAnsi="Times New Roman" w:cs="Times New Roman"/>
          <w:i/>
          <w:sz w:val="24"/>
          <w:szCs w:val="24"/>
          <w:lang w:bidi="en-US"/>
        </w:rPr>
        <w:t xml:space="preserve">transliteration </w:t>
      </w:r>
      <w:r>
        <w:rPr>
          <w:rFonts w:ascii="Times New Roman" w:eastAsia="Arial Unicode MS" w:hAnsi="Times New Roman" w:cs="Times New Roman"/>
          <w:sz w:val="24"/>
          <w:szCs w:val="24"/>
          <w:lang w:bidi="en-US"/>
        </w:rPr>
        <w:t>or minor inaccuracies that do not affect the identification of the beneficial owners or their position; or</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result from non-updated data, but the beneficial owners are known by the obliged entity through another reliable source and there are no reasons to suspect that the concealment of information is intended.</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an obliged entity reaches the conclusion that the beneficial ownership information in the register is inaccurate, it requires the client to submit without delay the accurate information to the register of beneficial owners, and in any case, within 14 calendar days, in accordance with the legislation in force.</w:t>
      </w:r>
    </w:p>
    <w:p w:rsidR="00110FF6" w:rsidRPr="007647A8" w:rsidRDefault="0013324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This point does not apply to cases with higher risk, to which the measures under Section 4 of this Chapter apply.</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When the client has not submitted the accurate information within the deadline set out in point 2 of this article, the obliged entity reports the discrepancy in the register of beneficial owners in accordance with point 1 of this article.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This Article shall not apply to notaries, lawyers, other independent legal professionals, statutory auditors, approved accountants and tax consultants, in relation to information that they receive from the client or provide for the client, during the determination of that client's legal situation or during the exercise of their duty for the defence or representation of that client in, or in relation to, judicial proceedings, including the giving of advice on the initiation or avoidance of these proceedings, regardless of whether this information is received or provided before, during or after these proceedings.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However, the requirements of this article apply when the obliged entities referred to in the above paragraph of this point provide legal advice in any of the situations provided for by Article 103, point 2, letters “a”, “b” and “c”.</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bookmarkStart w:id="13" w:name="bookmark20"/>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 xml:space="preserve">Article </w:t>
      </w:r>
      <w:bookmarkEnd w:id="13"/>
      <w:r>
        <w:rPr>
          <w:rFonts w:ascii="Times New Roman" w:eastAsia="Arial Unicode MS" w:hAnsi="Times New Roman" w:cs="Times New Roman"/>
          <w:iCs/>
          <w:sz w:val="24"/>
          <w:szCs w:val="24"/>
          <w:lang w:bidi="en-US"/>
        </w:rPr>
        <w:t>107</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Identification of the purpose and nature of the business relationship or of the occasional transaction</w:t>
      </w:r>
    </w:p>
    <w:p w:rsidR="003B3009" w:rsidRPr="007647A8" w:rsidRDefault="003B3009" w:rsidP="002A39C9">
      <w:pPr>
        <w:widowControl w:val="0"/>
        <w:spacing w:after="0"/>
        <w:ind w:left="0" w:firstLine="567"/>
        <w:rPr>
          <w:rFonts w:ascii="Times New Roman" w:eastAsia="Arial Unicode MS" w:hAnsi="Times New Roman" w:cs="Times New Roman"/>
          <w:sz w:val="24"/>
          <w:szCs w:val="24"/>
          <w:lang w:bidi="en-US"/>
        </w:rPr>
      </w:pPr>
    </w:p>
    <w:p w:rsidR="00110FF6" w:rsidRPr="007647A8" w:rsidRDefault="00AB0313"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Before establishing a business relationship or carrying out an occasional transaction, the obliged entity must ensure that it understands their purpose and intended nature. For this purpose, the obliged entity obtains, where necessary, information on:</w:t>
      </w:r>
    </w:p>
    <w:p w:rsidR="00110FF6" w:rsidRPr="007647A8" w:rsidRDefault="006256B0"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purpose and the economic justification of the occasional transaction or the business relationship;</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envisaged amount of the transactions expected to be carried out or that have been planned;</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source of funds;</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destination of the funds;</w:t>
      </w:r>
    </w:p>
    <w:p w:rsidR="00110FF6" w:rsidRPr="007647A8" w:rsidRDefault="007443BB"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economic activity or profession of the client.</w:t>
      </w:r>
    </w:p>
    <w:p w:rsidR="00666E8A" w:rsidRPr="007647A8" w:rsidRDefault="00AB0313"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For the purposes of point 1, letter "a", of this article, the obliged entities defined in Article 137, obtain information to determine whether the use of the high-value goods, referred to in that article, is for commercial or non-commercial purposes.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AC12CB" w:rsidRPr="007647A8" w:rsidRDefault="00AC12CB"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108</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Ongoing monitoring of the business relationship and monitoring of transactions carried out by clients</w:t>
      </w:r>
    </w:p>
    <w:p w:rsidR="004B0E83" w:rsidRPr="007647A8" w:rsidRDefault="004B0E83"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carry out ongoing monitoring of business relationships, including transactions carried out by the client throughout the entire duration of the business relationship, in order to ensure that these transactions are consistent with the knowledge that the obliged entity has of the client, the client's economic activity and his risk profile, as well as, where necessary, with the information relating to the origin and destination of the funds, and also to identify those transactions that should be subject to a more in-depth assessment in accordance with Article 132, point 4 of this law.</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business relationships include more than one product or service, obliged entities ensure that customer due diligence measures are applied to all these products and services.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obliged entities belonging to a group have business relationships with clients who are also clients of other entities within that group, whether these are obliged entities or entities that are not subject to requirements relating to AML/CFT, they take into account the information relating to these other business relationships for the purposes of monitoring the business relationship with their clients.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Within the framework of the ongoing monitoring referred to in point 1 of this Article, obliged entities shall ensure that the relevant documents, data or information of the client are kept up to date.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period between updates of the customer's information according to the above paragraph of this point is determined on the basis of the risk presented by the business relationship and in any case may not exceed:</w:t>
      </w:r>
    </w:p>
    <w:p w:rsidR="00110FF6" w:rsidRPr="007647A8" w:rsidRDefault="00E01F4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for higher-risk clients, to whom the measures under Section 4 of this Chapter apply, 1 year;</w:t>
      </w:r>
    </w:p>
    <w:p w:rsidR="00110FF6" w:rsidRPr="007647A8" w:rsidRDefault="00666E8A" w:rsidP="007D5C27">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for all other clients, 5 years.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In addition to the requirements set out in point 2 of this article, obliged entities shall review and, where necessary, update the information on the client, in cases where:</w:t>
      </w:r>
    </w:p>
    <w:p w:rsidR="00110FF6" w:rsidRPr="007647A8" w:rsidRDefault="00FF45E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a change occurs in the relevant circumstances of the client;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obliged entity has a legal obligation, during the relevant calendar year, to contact the client for the purpose of reviewing the relevant information on beneficial owners or to fulfill legal obligations within the framework of the exchange of information with the tax authorities;</w:t>
      </w:r>
    </w:p>
    <w:p w:rsidR="00110FF6" w:rsidRPr="007647A8" w:rsidRDefault="00E74C5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obliged entity becomes aware of an important fact or circumstance related to the client.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In addition to the ongoing monitoring referred to in point 1 of this article, obliged entities regularly verify whether the conditions set out in Article 102, point 1, letter “d”, are met.  The frequency of this verification is proportionate to the exposure of the obliged entity and of the business relationship to the risk of non-implementation and circumvention of financial restrictive measures.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credit institutions and financial institutions, the verification referred to in the above paragraph of this point is also carried out in the event of any new publication in relation to financial restrictive measures.</w:t>
      </w:r>
    </w:p>
    <w:p w:rsidR="00110FF6" w:rsidRPr="007647A8" w:rsidRDefault="00594D9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requirements of this point do not replace the obligation to implement financial restrictive measures or more stringent requirements provided for in the legislation in force for the verification of clients against the lists of financial restrictive measures. </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Minister of Finance, upon the proposal of the responsible authority, issues instructions for the ongoing monitoring of the business relationship and for the monitoring of transactions carried out within its framework.</w:t>
      </w:r>
    </w:p>
    <w:p w:rsidR="0075133E" w:rsidRPr="007647A8" w:rsidRDefault="0075133E" w:rsidP="002A39C9">
      <w:pPr>
        <w:widowControl w:val="0"/>
        <w:spacing w:after="0"/>
        <w:ind w:left="0" w:firstLine="540"/>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109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Temporary measures for customers subject to the financial restrictive measures of the United Nations (UN)</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In relation to clients who are subject to UN financial restrictive measures or who are controlled by natural or legal persons, subjects or entities, that are subject to UN financial restrictive measures, or in which such natural or legal persons, subjects or entities that are subject to UN financial restrictive measures own, individually or jointly, more than 50% of ownership rights or have a controlling interest or participation, obliged entities must keep records regarding:</w:t>
      </w: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funds or other property that they administer for the client at the moment when the UN financial restrictive measures are published;</w:t>
      </w:r>
    </w:p>
    <w:p w:rsidR="00A27663" w:rsidRPr="007647A8" w:rsidRDefault="000D512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payment transactions that are attempted to be carried out by the client;</w:t>
      </w: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transactions carried out for the client.</w:t>
      </w:r>
    </w:p>
    <w:p w:rsidR="00666E8A" w:rsidRPr="007647A8" w:rsidRDefault="009C7E6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Obliged entities shall apply this Article from the moment of publication of the UN financial restrictive measures until the moment of the start of implementation </w:t>
      </w:r>
      <w:r>
        <w:rPr>
          <w:rFonts w:ascii="Times New Roman" w:hAnsi="Times New Roman" w:cs="Times New Roman"/>
          <w:sz w:val="24"/>
          <w:szCs w:val="24"/>
        </w:rPr>
        <w:t>of the relevant financial restrictive measures in the Republic of Albania.</w:t>
      </w:r>
    </w:p>
    <w:p w:rsidR="00FE2385" w:rsidRPr="007647A8" w:rsidRDefault="00FE2385" w:rsidP="002A39C9">
      <w:pPr>
        <w:widowControl w:val="0"/>
        <w:spacing w:after="0"/>
        <w:ind w:left="0" w:firstLine="567"/>
        <w:rPr>
          <w:rFonts w:ascii="Times New Roman" w:hAnsi="Times New Roman" w:cs="Times New Roman"/>
          <w:sz w:val="24"/>
          <w:szCs w:val="24"/>
        </w:rPr>
      </w:pPr>
    </w:p>
    <w:p w:rsidR="00FE2385" w:rsidRPr="007647A8" w:rsidRDefault="00894660"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Article 110</w:t>
      </w:r>
    </w:p>
    <w:p w:rsidR="00FE2385" w:rsidRPr="007647A8" w:rsidRDefault="00FE2385"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The regulatory technical standards for conducting customer due diligence</w:t>
      </w:r>
    </w:p>
    <w:p w:rsidR="00FE2385" w:rsidRPr="007647A8" w:rsidRDefault="00FE2385" w:rsidP="002A39C9">
      <w:pPr>
        <w:widowControl w:val="0"/>
        <w:spacing w:after="0"/>
        <w:ind w:left="0" w:firstLine="567"/>
        <w:jc w:val="center"/>
        <w:rPr>
          <w:rFonts w:ascii="Times New Roman" w:eastAsia="Arial Unicode MS" w:hAnsi="Times New Roman" w:cs="Times New Roman"/>
          <w:b/>
          <w:sz w:val="24"/>
          <w:szCs w:val="24"/>
          <w:lang w:bidi="en-US"/>
        </w:rPr>
      </w:pP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Council of Ministers, upon the proposal of the minister responsible for finance, issues the regulatory technical standards that determine:</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requirements that apply to obliged entities in accordance with Article 102 and the information that must be collected for the purposes of carrying out simplified due diligence, due diligence and enhanced due diligence, in accordance with Articles 104, 107, 114, point 1 and 115, point 4 of this law, including the minimum requirements in low-risk situations;</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type of simplified due diligence measures that obliged entities may apply in low-risk situations in accordance with Article 114 point 1 of this law, including the measures applicable to certain categories of obliged entities and to certain products or services, taking into account the results of the national risk assessment under Article 10 of this law;</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risk factors related to the characteristics of electronic money instruments that must be taken into consideration by supervisors during the determination of the extent of the exemption pursuant to Article 101, point 7 of this law;</w:t>
      </w:r>
    </w:p>
    <w:p w:rsidR="00A27663" w:rsidRPr="007647A8" w:rsidRDefault="00B019F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reliable and independent sources of information that may be used for the verification of the identification data of natural or legal persons for the purposes of Article 104, points 6 and 7 of this law;</w:t>
      </w:r>
    </w:p>
    <w:p w:rsidR="00A27663" w:rsidRPr="007647A8" w:rsidRDefault="00B019F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list of elements that electronic identification means and trust services referred to in Article 104, point 6, letter “b”, must contain, in order for the requirements of Article 102, point 1, letters “a” and “b”, to be met, in the case of the application of due diligence, simplified and enhanced.</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Pr>
          <w:rStyle w:val="Strong"/>
          <w:rFonts w:ascii="Times New Roman" w:hAnsi="Times New Roman" w:cs="Times New Roman"/>
          <w:b w:val="0"/>
          <w:sz w:val="24"/>
          <w:szCs w:val="24"/>
        </w:rPr>
        <w:t>2.</w:t>
      </w:r>
      <w:r>
        <w:rPr>
          <w:rFonts w:ascii="Times New Roman" w:hAnsi="Times New Roman" w:cs="Times New Roman"/>
          <w:sz w:val="24"/>
          <w:szCs w:val="24"/>
        </w:rPr>
        <w:t xml:space="preserve"> The requirements and measures referred to in point 1, letters “a” and “b” of this article, are based on the following criteria:</w:t>
      </w:r>
    </w:p>
    <w:p w:rsidR="00A27663" w:rsidRPr="007647A8" w:rsidRDefault="00714BF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identified or inherent risk related to the service provided;</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risks related to customer categories;</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nature, value and frequency of the transaction;</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channels used for carrying out the business relationship or the occasional transaction.</w:t>
      </w:r>
    </w:p>
    <w:p w:rsidR="00566D37"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These regulatory technical standards are reviewed regularly and, where necessary, the updating of these standards is carried out, inter alia, to take into account innovation and technological developments.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5206F3" w:rsidRPr="007647A8" w:rsidRDefault="005206F3" w:rsidP="002A39C9">
      <w:pPr>
        <w:widowControl w:val="0"/>
        <w:tabs>
          <w:tab w:val="num" w:pos="426"/>
        </w:tabs>
        <w:spacing w:after="0"/>
        <w:jc w:val="left"/>
        <w:rPr>
          <w:rFonts w:ascii="Times New Roman" w:eastAsia="Times New Roman" w:hAnsi="Times New Roman" w:cs="Times New Roman"/>
          <w:sz w:val="24"/>
          <w:szCs w:val="24"/>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 xml:space="preserve">Policies towards third countries and threats originating from outside the country in money laundering and terrorist financing </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AB5B65"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111</w:t>
      </w:r>
    </w:p>
    <w:p w:rsidR="00666E8A" w:rsidRPr="007647A8" w:rsidRDefault="009C39C8"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Identification of third countries with strategic deficiencies in their national systems for AML/CFT</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p>
    <w:p w:rsidR="00666E8A" w:rsidRPr="007647A8" w:rsidRDefault="00666E8A" w:rsidP="002A39C9">
      <w:pPr>
        <w:pStyle w:val="NormalWeb"/>
        <w:spacing w:before="0" w:beforeAutospacing="0" w:after="0" w:afterAutospacing="0" w:line="276" w:lineRule="auto"/>
        <w:ind w:firstLine="720"/>
        <w:jc w:val="both"/>
      </w:pPr>
      <w:r>
        <w:t>1. The Council of Ministers, upon the proposal of the minister responsible for finance, issues the list of third countries with strategic deficiencies in their national system for AML/CFT, which are those identified and declared by the acts of the European Union as “high-risk third countries”.</w:t>
      </w:r>
    </w:p>
    <w:p w:rsidR="00666E8A" w:rsidRPr="007647A8" w:rsidRDefault="00CE684A" w:rsidP="002A39C9">
      <w:pPr>
        <w:pStyle w:val="NormalWeb"/>
        <w:spacing w:before="0" w:beforeAutospacing="0" w:after="0" w:afterAutospacing="0" w:line="276" w:lineRule="auto"/>
        <w:ind w:firstLine="720"/>
        <w:jc w:val="both"/>
      </w:pPr>
      <w:r>
        <w:t>2. Obliged entities, in implementation of point 1 of this article, shall apply the enhanced due diligence measures provided for in Article 115, point 4 of this law in relation to business relationships or occasional transactions involving natural or legal persons from that third country.</w:t>
      </w:r>
    </w:p>
    <w:p w:rsidR="00666E8A" w:rsidRPr="007647A8" w:rsidRDefault="00666E8A" w:rsidP="002A39C9">
      <w:pPr>
        <w:pStyle w:val="NormalWeb"/>
        <w:spacing w:before="0" w:beforeAutospacing="0" w:after="0" w:afterAutospacing="0" w:line="276" w:lineRule="auto"/>
        <w:ind w:firstLine="720"/>
        <w:jc w:val="both"/>
      </w:pPr>
      <w:r>
        <w:t>3. Obliged entities apply specific countermeasures, determined in accordance with point 1 of this article, which mitigate the specific risks arising from each high-risk third country.</w:t>
      </w:r>
    </w:p>
    <w:p w:rsidR="00396F01" w:rsidRPr="007647A8" w:rsidRDefault="00666E8A" w:rsidP="002A39C9">
      <w:pPr>
        <w:pStyle w:val="NormalWeb"/>
        <w:spacing w:before="0" w:beforeAutospacing="0" w:after="0" w:afterAutospacing="0" w:line="276" w:lineRule="auto"/>
        <w:ind w:firstLine="720"/>
        <w:jc w:val="both"/>
        <w:rPr>
          <w:rFonts w:eastAsia="Arial Unicode MS"/>
          <w:iCs/>
          <w:lang w:bidi="en-US"/>
        </w:rPr>
      </w:pPr>
      <w:r>
        <w:rPr>
          <w:rFonts w:eastAsia="Arial Unicode MS"/>
          <w:iCs/>
          <w:lang w:bidi="en-US"/>
        </w:rPr>
        <w:t xml:space="preserve">4. In cases where the competent authorities identify that a third country, according to the definitions of point 1 of this article, presents a specific risk of money laundering, terrorist financing or proliferation financing of weapons of mass destruction, which is not addressed sufficiently by the measures provided for in point 3 of this article, the competent authorities may require obliged entities to implement additional measures for mitigating the specific risks arising from that third country. The identified risk and the corresponding countermeasures must be documented and communicated to the Coordination Committee for the Fight Against Money Laundering, within 5 days from the implementation of the measures. </w:t>
      </w:r>
    </w:p>
    <w:p w:rsidR="00396F01" w:rsidRPr="007647A8" w:rsidRDefault="00396F01" w:rsidP="002A39C9">
      <w:pPr>
        <w:pStyle w:val="NormalWeb"/>
        <w:spacing w:before="0" w:beforeAutospacing="0" w:after="0" w:afterAutospacing="0" w:line="276" w:lineRule="auto"/>
        <w:ind w:firstLine="720"/>
        <w:jc w:val="both"/>
      </w:pPr>
      <w:r>
        <w:rPr>
          <w:rFonts w:eastAsia="Arial Unicode MS"/>
          <w:iCs/>
          <w:lang w:bidi="en-US"/>
        </w:rPr>
        <w:t xml:space="preserve">5. </w:t>
      </w:r>
      <w:r>
        <w:t xml:space="preserve">After receiving the notification, in accordance with point 4 of this article, </w:t>
      </w:r>
      <w:r>
        <w:rPr>
          <w:rFonts w:eastAsia="Arial Unicode MS"/>
          <w:iCs/>
          <w:lang w:bidi="en-US"/>
        </w:rPr>
        <w:t>The Coordination Committee for the Fight Against Money Laundering</w:t>
      </w:r>
      <w:r>
        <w:t xml:space="preserve"> assesses the information received for the purpose of determining whether the specific risks of the third country affect the integrity of the domestic internal market as well as reviews whether the specific countermeasures identified take into account changes in the third country's AML/CFT legal framework, are proportionate and appropriate to the risks. The Coordination Committee for the Fight Against Money Laundering, at the conclusion of the assessment, decides, where appropriate, the addition of the necessary countermeasures or their rejection.</w:t>
      </w:r>
    </w:p>
    <w:p w:rsidR="00BF0589" w:rsidRPr="007647A8" w:rsidRDefault="00BF0589" w:rsidP="002A39C9">
      <w:pPr>
        <w:pStyle w:val="NormalWeb"/>
        <w:spacing w:before="0" w:beforeAutospacing="0" w:after="0" w:afterAutospacing="0" w:line="276" w:lineRule="auto"/>
        <w:ind w:firstLine="720"/>
        <w:jc w:val="both"/>
        <w:rPr>
          <w:rFonts w:eastAsia="Arial Unicode MS"/>
          <w:iCs/>
          <w:lang w:bidi="en-US"/>
        </w:rPr>
      </w:pPr>
    </w:p>
    <w:p w:rsidR="006A5404" w:rsidRPr="007647A8" w:rsidRDefault="006A5404" w:rsidP="002A39C9">
      <w:pPr>
        <w:widowControl w:val="0"/>
        <w:spacing w:after="0"/>
        <w:ind w:left="0" w:firstLine="0"/>
        <w:jc w:val="center"/>
        <w:rPr>
          <w:rFonts w:ascii="Times New Roman" w:eastAsia="Arial Unicode MS" w:hAnsi="Times New Roman" w:cs="Times New Roman"/>
          <w:iCs/>
          <w:sz w:val="24"/>
          <w:szCs w:val="24"/>
          <w:lang w:bidi="en-US"/>
        </w:rPr>
      </w:pPr>
    </w:p>
    <w:p w:rsidR="00977548" w:rsidRPr="007647A8" w:rsidRDefault="00977548" w:rsidP="00977548">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112</w:t>
      </w:r>
    </w:p>
    <w:p w:rsidR="00977548" w:rsidRPr="007647A8" w:rsidRDefault="00977548" w:rsidP="00977548">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Identification of third countries with deficiencies in compliance in their national AML/CFT systems</w:t>
      </w:r>
    </w:p>
    <w:p w:rsidR="00977548" w:rsidRPr="007647A8" w:rsidRDefault="00977548" w:rsidP="00977548">
      <w:pPr>
        <w:widowControl w:val="0"/>
        <w:spacing w:after="0"/>
        <w:ind w:left="0" w:firstLine="0"/>
        <w:jc w:val="center"/>
        <w:rPr>
          <w:rFonts w:ascii="Times New Roman" w:eastAsia="Arial Unicode MS" w:hAnsi="Times New Roman" w:cs="Times New Roman"/>
          <w:b/>
          <w:bCs/>
          <w:iCs/>
          <w:sz w:val="24"/>
          <w:szCs w:val="24"/>
          <w:lang w:bidi="en-US"/>
        </w:rPr>
      </w:pPr>
    </w:p>
    <w:p w:rsidR="00977548" w:rsidRPr="007647A8" w:rsidRDefault="00977548" w:rsidP="00977548">
      <w:pPr>
        <w:pStyle w:val="NormalWeb"/>
        <w:spacing w:before="0" w:beforeAutospacing="0" w:after="0" w:afterAutospacing="0" w:line="276" w:lineRule="auto"/>
        <w:ind w:firstLine="720"/>
        <w:jc w:val="both"/>
      </w:pPr>
      <w:r>
        <w:t>1. The Council of Ministers, upon the proposal of the minister responsible for finance, issues the list of third countries with compliance deficiencies in their national systems for AML/CFT, which are those identified and declared by the acts of the European Union.</w:t>
      </w:r>
    </w:p>
    <w:p w:rsidR="00977548" w:rsidRPr="007647A8" w:rsidRDefault="00977548" w:rsidP="00977548">
      <w:pPr>
        <w:pStyle w:val="NormalWeb"/>
        <w:spacing w:before="0" w:beforeAutospacing="0" w:after="0" w:afterAutospacing="0" w:line="276" w:lineRule="auto"/>
        <w:ind w:firstLine="720"/>
        <w:jc w:val="both"/>
      </w:pPr>
      <w:r>
        <w:t>2. Obliged entities, in implementation of point 1 of this Article, shall apply the enhanced due diligence measures specified in Article 115, point 4 of this law in relation to mitigating the risks associated with business relationships or occasional transactions involving natural or legal persons from that third country.</w:t>
      </w:r>
    </w:p>
    <w:p w:rsidR="00977548" w:rsidRPr="007647A8" w:rsidRDefault="00977548" w:rsidP="002A39C9">
      <w:pPr>
        <w:widowControl w:val="0"/>
        <w:spacing w:after="0"/>
        <w:ind w:left="0" w:firstLine="0"/>
        <w:jc w:val="center"/>
        <w:rPr>
          <w:rFonts w:ascii="Times New Roman" w:eastAsia="Arial Unicode MS" w:hAnsi="Times New Roman" w:cs="Times New Roman"/>
          <w:iCs/>
          <w:sz w:val="24"/>
          <w:szCs w:val="24"/>
          <w:lang w:bidi="en-US"/>
        </w:rPr>
      </w:pPr>
    </w:p>
    <w:p w:rsidR="00977548" w:rsidRPr="007647A8" w:rsidRDefault="00977548"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2F33E4"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113</w:t>
      </w:r>
    </w:p>
    <w:p w:rsidR="00E61B58" w:rsidRPr="007647A8" w:rsidRDefault="00E61B58"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Identification of third countries that present a specific and serious threat to the financial system of the European Union</w:t>
      </w:r>
    </w:p>
    <w:p w:rsidR="00E61B58" w:rsidRPr="007647A8" w:rsidRDefault="00E61B58" w:rsidP="002A39C9">
      <w:pPr>
        <w:pStyle w:val="NormalWeb"/>
        <w:spacing w:before="0" w:beforeAutospacing="0" w:after="0" w:afterAutospacing="0" w:line="276" w:lineRule="auto"/>
        <w:ind w:firstLine="720"/>
        <w:jc w:val="both"/>
        <w:rPr>
          <w:rFonts w:eastAsia="Arial Unicode MS"/>
          <w:b/>
          <w:iCs/>
          <w:lang w:bidi="en-US"/>
        </w:rPr>
      </w:pPr>
    </w:p>
    <w:p w:rsidR="006A5404" w:rsidRPr="007647A8" w:rsidRDefault="006A5404" w:rsidP="002A39C9">
      <w:pPr>
        <w:pStyle w:val="NormalWeb"/>
        <w:spacing w:before="0" w:beforeAutospacing="0" w:after="0" w:afterAutospacing="0" w:line="276" w:lineRule="auto"/>
        <w:ind w:firstLine="720"/>
        <w:jc w:val="both"/>
      </w:pPr>
      <w:r>
        <w:t xml:space="preserve">1. The Council of Ministers, on the proposal of the minister responsible for finance, issues the list of third countries identified by the acts of the European Union, in exceptional cases where the mitigation of a specific and serious threat to the financial system of the European Union and the proper functioning of the internal market is considered necessary, which originates from those third countries and cannot be addressed in accordance with Articles 111 and 112 of this law. </w:t>
      </w:r>
    </w:p>
    <w:p w:rsidR="006A5404" w:rsidRPr="007647A8" w:rsidRDefault="006A5404" w:rsidP="002A39C9">
      <w:pPr>
        <w:pStyle w:val="NormalWeb"/>
        <w:spacing w:before="0" w:beforeAutospacing="0" w:after="0" w:afterAutospacing="0" w:line="276" w:lineRule="auto"/>
        <w:ind w:firstLine="720"/>
        <w:jc w:val="both"/>
      </w:pPr>
      <w:r>
        <w:t xml:space="preserve">2. Obliged entities, in implementation of point 1 of this article, shall apply the enhanced due diligence measures specified in Article 115, point 4, to mitigate the risks in relation to business relationships or occasional transactions involving natural or legal persons from that third country. </w:t>
      </w:r>
    </w:p>
    <w:p w:rsidR="002F33E4" w:rsidRPr="007647A8" w:rsidRDefault="00316408" w:rsidP="002F33E4">
      <w:pPr>
        <w:pStyle w:val="NormalWeb"/>
        <w:spacing w:before="0" w:beforeAutospacing="0" w:after="0" w:afterAutospacing="0" w:line="276" w:lineRule="auto"/>
        <w:ind w:firstLine="720"/>
        <w:jc w:val="both"/>
      </w:pPr>
      <w:r>
        <w:t>3. Obliged entities apply specific countermeasures, determined in accordance with point 1 of this article, which aim to mitigate the specific risks arising from each high-risk third country.</w:t>
      </w:r>
    </w:p>
    <w:p w:rsidR="0038597E" w:rsidRPr="007647A8" w:rsidRDefault="002F33E4" w:rsidP="002F33E4">
      <w:pPr>
        <w:pStyle w:val="NormalWeb"/>
        <w:spacing w:before="0" w:beforeAutospacing="0" w:after="0" w:afterAutospacing="0" w:line="276" w:lineRule="auto"/>
        <w:ind w:firstLine="720"/>
        <w:jc w:val="both"/>
      </w:pPr>
      <w:r>
        <w:t xml:space="preserve">4. The Minister of Finance, upon the proposal of the responsible authority, on the basis of the acts issued by AMLA, issues guidelines that determine the risks, trends and methods of money laundering and terrorist financing that include geographical areas outside the territory of the European Union to which the obliged entities are exposed. </w:t>
      </w:r>
    </w:p>
    <w:p w:rsidR="00BB0EE1" w:rsidRPr="007647A8" w:rsidRDefault="00977548" w:rsidP="002A39C9">
      <w:pPr>
        <w:pStyle w:val="NormalWeb"/>
        <w:spacing w:before="0" w:beforeAutospacing="0" w:after="0" w:afterAutospacing="0" w:line="276" w:lineRule="auto"/>
        <w:ind w:firstLine="720"/>
        <w:jc w:val="both"/>
      </w:pPr>
      <w:r>
        <w:t>5. The guidelines issued pursuant to point 4 of this article shall be reviewed at least every 2 years, also in accordance with the acts to be issued by AMLA.</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A5404" w:rsidRPr="007647A8" w:rsidRDefault="006A5404"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3</w:t>
      </w:r>
    </w:p>
    <w:p w:rsidR="00666E8A" w:rsidRPr="007647A8" w:rsidRDefault="00753748"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Simplified customer due diligence measures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114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4" w:name="bookmark21"/>
      <w:r>
        <w:rPr>
          <w:rFonts w:ascii="Times New Roman" w:eastAsia="Arial Unicode MS" w:hAnsi="Times New Roman" w:cs="Times New Roman"/>
          <w:b/>
          <w:bCs/>
          <w:sz w:val="24"/>
          <w:szCs w:val="24"/>
          <w:lang w:bidi="en-US"/>
        </w:rPr>
        <w:t>Simplified due diligence measures</w:t>
      </w:r>
      <w:bookmarkEnd w:id="14"/>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8D6FA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taking into account the risk factors set out in Annex II and III of Part II of this law, where the business relationship or transaction presents a low level of risk, may apply the following simplified customer due diligence measures in relation to:</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verification of the identity of the client and the beneficial owner after the establishment of the business relationship, provided that the identified specific low level of risk justifies this postponement, but in any case no later than 60 days from the establishment of the relationship;</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reducing the frequency of updating customer identification data;</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reducing the amount of information collected for identifying the purpose and intended nature of the business relationship or occasional transaction, or determining it on the basis of the type of transactions or the business relationship established;</w:t>
      </w:r>
    </w:p>
    <w:p w:rsidR="00574B68" w:rsidRPr="007647A8" w:rsidRDefault="00600BD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reducing the frequency or degree of control of transactions carried out by the client;</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application of any other simplified due diligence measure, determined in the bylaws issued in accordance with Article 110 of this law.</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measures referred to in the above paragraph of this point shall be proportionate to the nature and size of the activity and to the specific elements of lower risk identified. However, obliged entities shall carry out sufficient monitoring of transactions and business relationships, to enable the detection of unusual or suspicious transactions.</w:t>
      </w:r>
    </w:p>
    <w:p w:rsidR="00465A94" w:rsidRPr="007647A8" w:rsidRDefault="00574B68" w:rsidP="00465A9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Obliged entities must ensure that the internal procedures defined pursuant to Article 91 of this law contain the specific simplified verification measures that will be applied to the different types of clients that present a lower risk.</w:t>
      </w:r>
    </w:p>
    <w:p w:rsidR="00574B68" w:rsidRPr="007647A8" w:rsidRDefault="00465A94" w:rsidP="00465A9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document decisions on taking into consideration additional factors related to lower risk.</w:t>
      </w:r>
    </w:p>
    <w:p w:rsidR="00574B68" w:rsidRPr="007647A8" w:rsidRDefault="00574B6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For the purposes of applying the simplified due diligence measures referred to in point 1, letter "a" of this article, the obliged entities adopt procedures for risk management related to the conditions under which they may provide services or carry out transactions for a client before the completion of verification, including limiting the amount, number or types of transactions that may be carried out, or monitoring the transactions to ensure that they are consistent with the expected norms for the respective business relationship.</w:t>
      </w:r>
    </w:p>
    <w:p w:rsidR="00465A94" w:rsidRPr="007647A8" w:rsidRDefault="00666E8A" w:rsidP="00465A9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Obliged entities verify periodically that the conditions for the application of simplified due diligence measures continue to exist.</w:t>
      </w:r>
    </w:p>
    <w:p w:rsidR="00574B68" w:rsidRPr="007647A8" w:rsidRDefault="00465A94" w:rsidP="00465A9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frequency of these verifications is determined in proportion to the nature and size of the activity, as well as to the risks presented by the specific relationship.</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Obliged entities shall not apply simplified due diligence measures in any of the following situations:</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obliged entities have suspicions regarding the authenticity of the information provided by the client or the beneficial owner during the identification phase, or ascertain inconsistencies regarding that information;</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factors indicating a lower risk are no longer present;</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monitoring of the customer's transactions and the information collected in the framework of the business relationship exclude a lower-risk scenario;</w:t>
      </w:r>
    </w:p>
    <w:p w:rsidR="00574B68" w:rsidRPr="007647A8" w:rsidRDefault="005D794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there is suspicion of money laundering or financing of terrorism;</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there is suspicion that the client or the person acting on behalf of the client is attempting to circumvent or evade restrictive financial measures.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4</w:t>
      </w:r>
    </w:p>
    <w:p w:rsidR="00666E8A" w:rsidRPr="007647A8" w:rsidRDefault="009E3F81"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Enhanced customer due diligence measures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115</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Scope of application of enhanced customer due diligence measures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110FF6" w:rsidRPr="007647A8" w:rsidRDefault="0048714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in the cases defined in Articles 111, 112, 113 and 117 to 127, as well as in other high-risk cases identified by obliged entities in accordance with Article 102, point 2, second paragraph, shall apply enhanced customer due diligence measures to appropriately manage and mitigate these risks.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Obliged entities examine the origin and destination of the funds involved, as well as the purpose of all transactions that satisfy at least one of the following conditions: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transaction is of a complex nature;</w:t>
      </w:r>
    </w:p>
    <w:p w:rsidR="00110FF6" w:rsidRPr="007647A8" w:rsidRDefault="00DD142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transaction is unusually of high value;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transaction is carried out in an unusual form;</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transaction does not have an apparent economic or legal purpose.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With the exception of the cases defined by Section 2 of this Chapter, during the assessment of the risks of money laundering and terrorist financing presented by a business relationship or an occasional transaction, obliged entities take into consideration at least the potentially higher risk factors defined in Annex III of Part II of this law and the guidelines adopted in accordance with Article 110 of this law, as well as any other indicator of higher risk, including notices issued by the Financial Intelligence Agency and the findings of the risk assessment at the level of the activity of the obliged entity, according to Article 92 of this law.</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With the exception of the cases specified in Section 2 of this Chapter, in the higher-risk cases referred to in point 1 of this Article, obliged entities apply enhanced customer due diligence measures, in proportion to the higher risks identified, which may include the following measures: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obtaining additional information on the customer and the beneficial owners;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obtaining additional information on the intended nature of the business relationship;</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obtaining additional information on the source of funds and the source of the property of the client and of the beneficial owners;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obtaining information on the reasons for the intended or carried out transactions and their compliance with the business relationship;</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obtaining the approval of senior management regarding the establishment or continuation of the business relationship;</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carrying out enhanced monitoring of the business relationship by increasing the number and frequency of the controls carried out and by selecting the transaction patterns that require further review;</w:t>
      </w:r>
    </w:p>
    <w:p w:rsidR="0026480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g) requiring that the first payment be made through an account in the name of the client with a credit institution that is subject to customer due diligence standards no less rigorous than those set out in Part II of this law.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Times New Roman" w:hAnsi="Times New Roman" w:cs="Times New Roman"/>
          <w:sz w:val="24"/>
          <w:szCs w:val="24"/>
        </w:rPr>
        <w:t xml:space="preserve">5. When a business relationship identified as high-risk involves the administration of property or assets with a value of at least 500 000 000 (five hundred million) lek or the equivalent in another foreign currency, through personalised services for a client who owns total property or assets with a value of at least 5 000 000 000 (five billion) lek or the equivalent in another foreign currency, whether such property or assets are financial, investable or immovable, or a combination thereof, excluding the client's private residence, credit institutions, financial institutions and trust or company service providers shall apply the following enhanced due diligence measures, in addition to any other measure applied pursuant to point 4 of this Article: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Times New Roman" w:hAnsi="Times New Roman" w:cs="Times New Roman"/>
          <w:sz w:val="24"/>
          <w:szCs w:val="24"/>
        </w:rPr>
        <w:t>a) specific measures, including procedures for mitigating the risks associated with the customised services and products offered to that client;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Times New Roman" w:hAnsi="Times New Roman" w:cs="Times New Roman"/>
          <w:sz w:val="24"/>
          <w:szCs w:val="24"/>
        </w:rPr>
        <w:t>b) obtaining additional information on the source of the client's funds;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Times New Roman" w:hAnsi="Times New Roman" w:cs="Times New Roman"/>
          <w:sz w:val="24"/>
          <w:szCs w:val="24"/>
        </w:rPr>
        <w:t>c) the approval and implementation of measures for the prevention and management of conflicts of interest between the client and the senior management, or employees of the obliged entity who perform duties in relation to the compliance of the obliged entity for this client.</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6. The minister responsible for finance, upon the proposal of the responsible authority, issues guidelines on the measures that must be taken by credit institutions, financial institutions and providers of services for trusts or commercial companies, to determine whether a customer owns property or total assets with a value of at least </w:t>
      </w:r>
      <w:r>
        <w:rPr>
          <w:rFonts w:ascii="Times New Roman" w:eastAsia="Times New Roman" w:hAnsi="Times New Roman" w:cs="Times New Roman"/>
          <w:sz w:val="24"/>
          <w:szCs w:val="24"/>
        </w:rPr>
        <w:t>5 000 000 000 (five billion) lek or the equivalent value in another foreign currency</w:t>
      </w:r>
      <w:r>
        <w:rPr>
          <w:rFonts w:ascii="Times New Roman" w:eastAsia="Arial Unicode MS" w:hAnsi="Times New Roman" w:cs="Times New Roman"/>
          <w:sz w:val="24"/>
          <w:szCs w:val="24"/>
          <w:lang w:bidi="en-US"/>
        </w:rPr>
        <w:t>, in the form of financial, investable or immovable property, and the manner of determining this value.</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7. With the exception of the cases provided for in Section 2 of this Chapter, when through the national risk assessment drafted on the basis of Article 10 of this law, including sectoral risk assessments, cases with a higher risk of money laundering or terrorist financing are identified, the supervisors may require obliged entities to apply enhanced due diligence measures and, as the case may be, determine the specific measures that must be implemented. </w:t>
      </w:r>
    </w:p>
    <w:p w:rsidR="00E61C53" w:rsidRPr="007647A8" w:rsidRDefault="007753F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Supervisors notify, within 1 month from their approval of the decisions, pursuant to this point, the Coordination Committee for the Fight Against Money Laundering, accompanying the notification with a reasoning of the money laundering and terrorist financing risks that support this decision.</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8. Enhanced vigilance measures do not apply automatically to branches or subsidiaries of obliged entities established in the European Union, which are located in third countries according to the definitions in Articles 111, 112 and 113 of this law, when these branches or subsidiaries fully implement the group-level policies, procedures and controls in accordance with Article 99 of this law.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pStyle w:val="NormalWeb"/>
        <w:spacing w:before="0" w:beforeAutospacing="0" w:after="0" w:afterAutospacing="0" w:line="276" w:lineRule="auto"/>
        <w:jc w:val="center"/>
        <w:rPr>
          <w:rFonts w:eastAsia="Arial Unicode MS"/>
          <w:iCs/>
          <w:lang w:bidi="en-US"/>
        </w:rPr>
      </w:pPr>
      <w:r>
        <w:rPr>
          <w:rFonts w:eastAsia="Arial Unicode MS"/>
          <w:iCs/>
          <w:lang w:bidi="en-US"/>
        </w:rPr>
        <w:t>Article 116</w:t>
      </w:r>
    </w:p>
    <w:p w:rsidR="00666E8A" w:rsidRPr="007647A8" w:rsidRDefault="00CC5F7C" w:rsidP="002A39C9">
      <w:pPr>
        <w:pStyle w:val="NormalWeb"/>
        <w:spacing w:before="0" w:beforeAutospacing="0" w:after="0" w:afterAutospacing="0" w:line="276" w:lineRule="auto"/>
        <w:jc w:val="center"/>
        <w:rPr>
          <w:rFonts w:eastAsia="Arial Unicode MS"/>
          <w:b/>
          <w:iCs/>
          <w:lang w:bidi="en-US"/>
        </w:rPr>
      </w:pPr>
      <w:r>
        <w:rPr>
          <w:rFonts w:eastAsia="Arial Unicode MS"/>
          <w:b/>
          <w:iCs/>
          <w:lang w:bidi="en-US"/>
        </w:rPr>
        <w:t>Countermeasures to mitigate external threats to PPP/FT</w:t>
      </w:r>
    </w:p>
    <w:p w:rsidR="00666E8A" w:rsidRPr="007647A8" w:rsidRDefault="00666E8A" w:rsidP="002A39C9">
      <w:pPr>
        <w:pStyle w:val="NormalWeb"/>
        <w:spacing w:before="0" w:beforeAutospacing="0" w:after="0" w:afterAutospacing="0" w:line="276" w:lineRule="auto"/>
        <w:ind w:firstLine="720"/>
        <w:rPr>
          <w:rFonts w:eastAsia="Arial Unicode MS"/>
          <w:iCs/>
          <w:lang w:bidi="en-US"/>
        </w:rPr>
      </w:pPr>
    </w:p>
    <w:p w:rsidR="001A1F1C" w:rsidRPr="007647A8" w:rsidRDefault="002B2A2C" w:rsidP="001A1F1C">
      <w:pPr>
        <w:pStyle w:val="NormalWeb"/>
        <w:spacing w:before="0" w:beforeAutospacing="0" w:after="0" w:afterAutospacing="0" w:line="276" w:lineRule="auto"/>
        <w:ind w:firstLine="720"/>
        <w:jc w:val="both"/>
      </w:pPr>
      <w:r>
        <w:rPr>
          <w:rFonts w:eastAsia="Arial Unicode MS"/>
          <w:lang w:bidi="en-US"/>
        </w:rPr>
        <w:t xml:space="preserve">The Council of Ministers, on the proposal of the minister responsible for finance, for the purposes of implementing Articles 111 and 113 of this law, issues by decision, the implementation </w:t>
      </w:r>
      <w:r>
        <w:t>among the following countermeasures:</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a) countermeasures that obliged entities must apply to natural persons and legal persons that have links with high-risk third countries and, as the case may be, with other countries that pose a threat to the financial system of the Republic of Albania, which include:</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 implementation of additional elements of enhanced customer due diligence measures;</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ii. the establishment of additional reporting mechanisms or the systematic reporting of financial transactions;</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iii. the restriction of business relationships or transactions with natural persons or legal persons from these third countries;</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b) countermeasures that obliged entities must apply to high-risk third countries and, where appropriate, to other countries that pose a threat to the financial system of the Republic of Albania, which include:</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 refusal to establish subsidiaries, branches or representative offices of obliged entities from the respective country, or taking into consideration the fact that the respective obliged entity is from a third country that does not have appropriate regimes for the prevention of money laundering and terrorist financing;</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ii. the prohibition of obliged entities from establishing branches or representative offices in the relevant third country, or taking into consideration the fact that the relevant branch or representative office would be located in a third country that does not have appropriate regimes for the prevention of money laundering and terrorist financing;</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iii. requiring enhanced supervisory checks or increased requirements for external audit for branches and subsidiaries of obliged entities located in the relevant third country;</w:t>
      </w:r>
    </w:p>
    <w:p w:rsidR="001A1F1C" w:rsidRPr="007647A8" w:rsidRDefault="001A1F1C" w:rsidP="001A1F1C">
      <w:pPr>
        <w:pStyle w:val="NormalWeb"/>
        <w:spacing w:before="0" w:beforeAutospacing="0" w:after="0" w:afterAutospacing="0" w:line="276" w:lineRule="auto"/>
        <w:ind w:firstLine="720"/>
        <w:jc w:val="both"/>
        <w:rPr>
          <w:rStyle w:val="Strong"/>
          <w:b w:val="0"/>
        </w:rPr>
      </w:pPr>
      <w:r>
        <w:rPr>
          <w:rStyle w:val="Strong"/>
          <w:b w:val="0"/>
        </w:rPr>
        <w:t>iv. seeking increased requirements for external auditing for financial groups regarding each of their branches and subsidiaries located in the respective third country;</w:t>
      </w:r>
    </w:p>
    <w:p w:rsidR="00666E8A" w:rsidRPr="007647A8" w:rsidRDefault="001A1F1C" w:rsidP="001A1F1C">
      <w:pPr>
        <w:pStyle w:val="NormalWeb"/>
        <w:spacing w:before="0" w:beforeAutospacing="0" w:after="0" w:afterAutospacing="0" w:line="276" w:lineRule="auto"/>
        <w:ind w:firstLine="720"/>
        <w:jc w:val="both"/>
        <w:rPr>
          <w:rStyle w:val="Strong"/>
          <w:rFonts w:eastAsia="Arial Unicode MS"/>
          <w:b w:val="0"/>
          <w:bCs w:val="0"/>
          <w:iCs/>
          <w:lang w:bidi="en-US"/>
        </w:rPr>
      </w:pPr>
      <w:r>
        <w:rPr>
          <w:rStyle w:val="Strong"/>
          <w:b w:val="0"/>
        </w:rPr>
        <w:t>v. requiring credit institutions and financial institutions to review and amend or, where necessary, terminate correspondent relationships with the relevant institutions of the third country in question.</w:t>
      </w:r>
    </w:p>
    <w:p w:rsidR="001A1F1C" w:rsidRPr="007647A8" w:rsidRDefault="001A1F1C" w:rsidP="001A1F1C">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C2AFC"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117</w:t>
      </w:r>
    </w:p>
    <w:p w:rsidR="00666E8A" w:rsidRPr="007647A8" w:rsidRDefault="00666E8A" w:rsidP="00F853D0">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Specific enhanced due diligence measures for cross-border correspondent relationships</w:t>
      </w:r>
    </w:p>
    <w:p w:rsidR="00F853D0" w:rsidRPr="007647A8" w:rsidRDefault="00F853D0" w:rsidP="00F853D0">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In cases of cross-border correspondent relationships, including relationships established for transactions in securities or fund transfers, involving the execution of payments with a correspondent institution of a third country, in addition to the customer due diligence measures set out in Article 102 of this law, credit institutions and financial institutions, when establishing a business relationship, must:</w:t>
      </w:r>
    </w:p>
    <w:p w:rsidR="00110FF6" w:rsidRPr="007647A8" w:rsidRDefault="00BB081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collect sufficient information on the correspondent institution to fully understand the nature of the activity of the institution concerned and to determine, through publicly available information, the reputation of the institution and the quality of its supervision;</w:t>
      </w:r>
    </w:p>
    <w:p w:rsidR="00485CC9"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assess the controls of the correspondent institution for the prevention of money laundering and terrorist financing; </w:t>
      </w:r>
    </w:p>
    <w:p w:rsidR="00110FF6"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obtain the approval of senior management before establishing new correspondent relationships;</w:t>
      </w:r>
    </w:p>
    <w:p w:rsidR="00110FF6"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document the respective responsibilities of each institution;</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in relation to accounts accessible directly by clients (</w:t>
      </w:r>
      <w:r>
        <w:rPr>
          <w:rFonts w:ascii="Times New Roman" w:eastAsia="Arial Unicode MS" w:hAnsi="Times New Roman" w:cs="Times New Roman"/>
          <w:i/>
          <w:sz w:val="24"/>
          <w:szCs w:val="24"/>
          <w:lang w:bidi="en-US"/>
        </w:rPr>
        <w:t>payable-through accounts</w:t>
      </w:r>
      <w:r>
        <w:rPr>
          <w:rFonts w:ascii="Times New Roman" w:eastAsia="Arial Unicode MS" w:hAnsi="Times New Roman" w:cs="Times New Roman"/>
          <w:sz w:val="24"/>
          <w:szCs w:val="24"/>
          <w:lang w:bidi="en-US"/>
        </w:rPr>
        <w:t>), ensure that the correspondent institution has verified the identity of the clients who have direct access to the accounts of the correspondent institution and has carried out with respect to them customer due diligence measures, as well as that it is able to provide the requesting correspondent institution with the relevant customer due diligence data, at the latter's request.</w:t>
      </w:r>
    </w:p>
    <w:p w:rsidR="00666E8A"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In cases where credit institutions and financial institutions decide to terminate cross-border correspondent relationships for reasons related to anti-money laundering and counter-terrorist financing policies, they document their decision.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w:t>
      </w:r>
      <w:r>
        <w:rPr>
          <w:rFonts w:ascii="Times New Roman" w:eastAsia="Arial Unicode MS" w:hAnsi="Times New Roman" w:cs="Times New Roman"/>
          <w:sz w:val="24"/>
          <w:szCs w:val="24"/>
          <w:lang w:bidi="en-US"/>
        </w:rPr>
        <w:t xml:space="preserve"> 118</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Specific enhanced due diligence measures for cross-border correspondent relationships of</w:t>
      </w:r>
      <w:bookmarkStart w:id="15" w:name="bookmark22"/>
      <w:r>
        <w:rPr>
          <w:rFonts w:ascii="Times New Roman" w:eastAsia="Arial Unicode MS" w:hAnsi="Times New Roman" w:cs="Times New Roman"/>
          <w:b/>
          <w:bCs/>
          <w:sz w:val="24"/>
          <w:szCs w:val="24"/>
          <w:lang w:bidi="en-US"/>
        </w:rPr>
        <w:t xml:space="preserve"> service providers of the services of </w:t>
      </w:r>
      <w:bookmarkEnd w:id="15"/>
      <w:r>
        <w:rPr>
          <w:rFonts w:ascii="Times New Roman" w:eastAsia="Arial Unicode MS" w:hAnsi="Times New Roman" w:cs="Times New Roman"/>
          <w:b/>
          <w:bCs/>
          <w:sz w:val="24"/>
          <w:szCs w:val="24"/>
          <w:lang w:bidi="en-US"/>
        </w:rPr>
        <w:t>crypto-assets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4F67A0" w:rsidRPr="007647A8" w:rsidRDefault="00666E8A"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With the exception of what is provided for in Article 117 of this law, in relation to </w:t>
      </w:r>
      <w:r>
        <w:rPr>
          <w:rFonts w:ascii="Times New Roman" w:hAnsi="Times New Roman" w:cs="Times New Roman"/>
          <w:sz w:val="24"/>
          <w:szCs w:val="24"/>
        </w:rPr>
        <w:t>cross-border correspondent relationships involving crypto-asset service providers with a correspondent entity not established in the territory of the Republic of Albania and that provides similar services, including transfers of crypto-assets, providers</w:t>
      </w:r>
      <w:r>
        <w:rPr>
          <w:rFonts w:ascii="Times New Roman" w:eastAsia="Arial Unicode MS" w:hAnsi="Times New Roman" w:cs="Times New Roman"/>
          <w:sz w:val="24"/>
          <w:szCs w:val="24"/>
          <w:lang w:bidi="en-US"/>
        </w:rPr>
        <w:t xml:space="preserve"> crypto-asset service providers, in addition to customer due diligence measures, defined in Article 102 of this law, when establishing a business relationship, must:</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determine whether the correspondent entity is licensed or registered;</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collect sufficient information on the correspondent institution to fully understand the nature of its activity and to determine, through publicly available information, the reputation of the institution and the quality of its supervision;</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assess the controls of the correspondent entity for the prevention of money laundering and terrorist financing; </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obtain the approval of senior management before establishing the new correspondent relationship;</w:t>
      </w:r>
    </w:p>
    <w:p w:rsidR="004F67A0" w:rsidRPr="007647A8" w:rsidRDefault="00666E8A"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document the respective responsibilities of each party in the correspondent relationship;</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in relation to crypto-asset accounts directly accessible by customers (</w:t>
      </w:r>
      <w:r>
        <w:rPr>
          <w:rFonts w:ascii="Times New Roman" w:eastAsia="Arial Unicode MS" w:hAnsi="Times New Roman" w:cs="Times New Roman"/>
          <w:i/>
          <w:sz w:val="24"/>
          <w:szCs w:val="24"/>
          <w:lang w:bidi="en-US"/>
        </w:rPr>
        <w:t>payable-through crypto-asset accounts</w:t>
      </w:r>
      <w:r>
        <w:rPr>
          <w:rFonts w:ascii="Times New Roman" w:eastAsia="Arial Unicode MS" w:hAnsi="Times New Roman" w:cs="Times New Roman"/>
          <w:sz w:val="24"/>
          <w:szCs w:val="24"/>
          <w:lang w:bidi="en-US"/>
        </w:rPr>
        <w:t>), ensure that the correspondent entity has verified the identity of the customers who have direct access to the accounts of the correspondent entity and has carried out in relation to them the ongoing customer due diligence measures, and that it is able to provide the correspondent entity with the relevant customer due diligence data, at the request of the latter.</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When crypto-asset service providers decide to terminate correspondent relationships for reasons related to anti-money laundering and countering the financing of terrorism policies, they document their decision. </w:t>
      </w:r>
    </w:p>
    <w:p w:rsidR="004F67A0" w:rsidRPr="007647A8" w:rsidRDefault="004F67A0" w:rsidP="002A39C9">
      <w:pPr>
        <w:widowControl w:val="0"/>
        <w:spacing w:after="0"/>
        <w:ind w:left="0" w:firstLine="567"/>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Crypto-asset service providers regularly update customer due diligence information for the correspondent relationship or whenever new risks emerge in relation to the correspondent entity. </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Crypto-asset service providers take into consideration the information collected in accordance with point 1 of this Article, for the purpose of determining on the basis</w:t>
      </w:r>
      <w:r>
        <w:rPr>
          <w:rFonts w:ascii="Times New Roman" w:hAnsi="Times New Roman" w:cs="Times New Roman"/>
          <w:sz w:val="24"/>
          <w:szCs w:val="24"/>
        </w:rPr>
        <w:t xml:space="preserve"> of risk-based supervision</w:t>
      </w:r>
      <w:r>
        <w:rPr>
          <w:rFonts w:ascii="Times New Roman" w:eastAsia="Arial Unicode MS" w:hAnsi="Times New Roman" w:cs="Times New Roman"/>
          <w:sz w:val="24"/>
          <w:szCs w:val="24"/>
          <w:lang w:bidi="en-US"/>
        </w:rPr>
        <w:t>, the appropriate measures that must be taken to mitigate the risks related to the correspondent entity.</w:t>
      </w:r>
    </w:p>
    <w:p w:rsidR="00666E8A" w:rsidRPr="007647A8" w:rsidRDefault="00666E8A" w:rsidP="004F67A0">
      <w:pPr>
        <w:widowControl w:val="0"/>
        <w:tabs>
          <w:tab w:val="left" w:pos="360"/>
        </w:tabs>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 3. The supervisory authority issues guidelines to specify the criteria and elements that crypto-asset service providers must take into consideration during the carrying out of the assessment referred to in point 1 of this Article and the risk mitigation measures referred to in point 2 of this Article, including the minimum measures that must be undertaken by crypto-asset service providers when it is established that the correspondent entity is not registered or licensed.</w:t>
      </w: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119</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Specific measures for the responsible institutions of third countries</w:t>
      </w:r>
    </w:p>
    <w:p w:rsidR="00666E8A" w:rsidRPr="007647A8" w:rsidRDefault="00666E8A" w:rsidP="002A39C9">
      <w:pPr>
        <w:widowControl w:val="0"/>
        <w:spacing w:after="0"/>
        <w:ind w:left="0" w:firstLine="0"/>
        <w:rPr>
          <w:rFonts w:ascii="Times New Roman" w:eastAsia="Arial Unicode MS" w:hAnsi="Times New Roman" w:cs="Times New Roman"/>
          <w:strike/>
          <w:sz w:val="24"/>
          <w:szCs w:val="24"/>
          <w:lang w:bidi="en-US"/>
        </w:rPr>
      </w:pPr>
    </w:p>
    <w:p w:rsidR="00CE684A" w:rsidRPr="007647A8" w:rsidRDefault="008131F3" w:rsidP="008131F3">
      <w:pPr>
        <w:widowControl w:val="0"/>
        <w:spacing w:after="0"/>
        <w:ind w:left="0" w:firstLine="720"/>
      </w:pPr>
      <w:r>
        <w:rPr>
          <w:rFonts w:ascii="Times New Roman" w:eastAsia="Arial Unicode MS" w:hAnsi="Times New Roman" w:cs="Times New Roman"/>
          <w:sz w:val="24"/>
          <w:szCs w:val="24"/>
          <w:lang w:bidi="en-US"/>
        </w:rPr>
        <w:t>1. Credit institutions and financial institutions apply the measures provided for in point 6 of this article in relation to the respondent institutions of third countries with which they have a correspondent relationship in accordance with Articles 117 or 118 of this law, for which the competent supervisory authority has issued a recommendation in accordance with point 2 of this article.</w:t>
      </w:r>
    </w:p>
    <w:p w:rsidR="00110FF6" w:rsidRPr="007647A8" w:rsidRDefault="00666E8A" w:rsidP="002A39C9">
      <w:pPr>
        <w:widowControl w:val="0"/>
        <w:spacing w:after="0"/>
        <w:ind w:left="0" w:firstLine="720"/>
      </w:pPr>
      <w:r>
        <w:rPr>
          <w:rFonts w:ascii="Times New Roman" w:eastAsia="Arial Unicode MS" w:hAnsi="Times New Roman" w:cs="Times New Roman"/>
          <w:sz w:val="24"/>
          <w:szCs w:val="24"/>
          <w:lang w:bidi="en-US"/>
        </w:rPr>
        <w:t>2. The competent supervisory authority, including AMLA when it exercises its supervisory functions, issues a recommendation addressed to credit institutions and financial institutions when there is information that the responsible institutions of third countries are in one of the following situations:</w:t>
      </w:r>
    </w:p>
    <w:p w:rsidR="00110FF6" w:rsidRPr="007647A8" w:rsidRDefault="00666E8A" w:rsidP="002A39C9">
      <w:pPr>
        <w:widowControl w:val="0"/>
        <w:spacing w:after="0"/>
        <w:ind w:left="0" w:firstLine="720"/>
      </w:pPr>
      <w:r>
        <w:rPr>
          <w:rFonts w:ascii="Times New Roman" w:eastAsia="Arial Unicode MS" w:hAnsi="Times New Roman" w:cs="Times New Roman"/>
          <w:sz w:val="24"/>
          <w:szCs w:val="24"/>
          <w:lang w:bidi="en-US"/>
        </w:rPr>
        <w:t>a) are in serious, repeated or systematic breach of the requirements for the prevention of money laundering and terrorist financing;</w:t>
      </w:r>
    </w:p>
    <w:p w:rsidR="00A47EA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have deficiencies in their internal policies, procedures and controls, which are likely to lead to serious, repeated or systematic breaches of the requirements for the prevention of money laundering and terrorist financing; </w:t>
      </w:r>
    </w:p>
    <w:p w:rsidR="00110FF6" w:rsidRPr="007647A8" w:rsidRDefault="00666E8A" w:rsidP="002A39C9">
      <w:pPr>
        <w:widowControl w:val="0"/>
        <w:spacing w:after="0"/>
        <w:ind w:left="0" w:firstLine="720"/>
      </w:pPr>
      <w:r>
        <w:rPr>
          <w:rFonts w:ascii="Times New Roman" w:eastAsia="Arial Unicode MS" w:hAnsi="Times New Roman" w:cs="Times New Roman"/>
          <w:sz w:val="24"/>
          <w:szCs w:val="24"/>
          <w:lang w:bidi="en-US"/>
        </w:rPr>
        <w:t>c) have established policies, procedures and internal controls that are not commensurate with the risks of money laundering, criminal offences related to them and terrorist financing, to which the responsible institution of the third country is exposed.</w:t>
      </w:r>
    </w:p>
    <w:p w:rsidR="00A47EA6" w:rsidRPr="007647A8" w:rsidRDefault="00666E8A" w:rsidP="00A47EA6">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recommendation referred to in point 2 of this Article shall be issued when all the following conditions are met:</w:t>
      </w:r>
    </w:p>
    <w:p w:rsidR="00A47EA6" w:rsidRPr="007647A8" w:rsidRDefault="00A47EA6" w:rsidP="00A47EA6">
      <w:pPr>
        <w:widowControl w:val="0"/>
        <w:spacing w:after="0"/>
        <w:ind w:left="0" w:firstLine="720"/>
      </w:pPr>
      <w:r>
        <w:rPr>
          <w:rFonts w:ascii="Times New Roman" w:eastAsia="Arial Unicode MS" w:hAnsi="Times New Roman" w:cs="Times New Roman"/>
          <w:sz w:val="24"/>
          <w:szCs w:val="24"/>
          <w:lang w:bidi="en-US"/>
        </w:rPr>
        <w:t>a) based on the information available within the framework of its supervisory activities, the financial supervisory authority, including AMLA when it exercises its supervisory activities, assesses that a responsible institution of a third country is in one of the situations defined in point 2 of this Article and may affect the risk exposure of the correspondent relationship;</w:t>
      </w:r>
    </w:p>
    <w:p w:rsidR="00A47EA6"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after the assessment of the information available from the financial supervisory authority referred to in letter "a" of this point, there is an agreement between the financial supervisory authorities and the supervisory authorities of the Member States that the responsible institution of the third country is in one of the situations defined in point 2 of this article and may affect the risk exposure of the correspondent relationship.</w:t>
      </w:r>
    </w:p>
    <w:p w:rsidR="00A47EA6"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 4. Before issuing the recommendation referred to in point 2 of this Article, AMLA shall consult the third-country supervisory authority responsible for the obliged entity and shall request that authority to present its position and the position of the obliged entity regarding the adequacy of the policies, procedures and controls for the prevention of money laundering and terrorist financing, as well as of the customer due diligence measures put in place by the obliged entity to mitigate the risks of money laundering, criminal offences related thereto and terrorist financing, as well as the corrective measures to be implemented.</w:t>
      </w:r>
    </w:p>
    <w:p w:rsidR="00B86A3E"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If no response is received within 2 months or if the response given does not indicate that the responsible institution of the third country can implement satisfactory policies, procedures and controls for the prevention of money laundering and terrorist financing, as well as apply appropriate customer due diligence measures to mitigate the risks to which it has been exposed and that may affect the correspondent relationship, AMLA shall proceed with issuing the recommendation.</w:t>
      </w:r>
    </w:p>
    <w:p w:rsidR="00110FF6" w:rsidRPr="007647A8" w:rsidRDefault="00666E8A" w:rsidP="00A47EA6">
      <w:pPr>
        <w:widowControl w:val="0"/>
        <w:spacing w:after="0"/>
        <w:ind w:left="0" w:firstLine="720"/>
      </w:pPr>
      <w:r>
        <w:rPr>
          <w:rFonts w:ascii="Times New Roman" w:eastAsia="Arial Unicode MS" w:hAnsi="Times New Roman" w:cs="Times New Roman"/>
          <w:sz w:val="24"/>
          <w:szCs w:val="24"/>
          <w:lang w:bidi="en-US"/>
        </w:rPr>
        <w:t>5. The supervisory authorities or AMLA shall withdraw the recommendation referred to in point 2 of this Article, as soon as it assesses that the responsible institution of the third country for which this recommendation has been issued no longer meets the conditions set out in point 3 of this Article</w:t>
      </w:r>
      <w:r>
        <w:rPr>
          <w:rFonts w:ascii="Times New Roman" w:hAnsi="Times New Roman" w:cs="Times New Roman"/>
          <w:sz w:val="24"/>
          <w:szCs w:val="24"/>
        </w:rPr>
        <w:t>.</w:t>
      </w:r>
      <w:r>
        <w:rPr>
          <w:rFonts w:ascii="Times New Roman" w:eastAsia="Arial Unicode MS" w:hAnsi="Times New Roman" w:cs="Times New Roman"/>
          <w:sz w:val="24"/>
          <w:szCs w:val="24"/>
          <w:lang w:bidi="en-US"/>
        </w:rPr>
        <w:t xml:space="preserve"> </w:t>
      </w:r>
    </w:p>
    <w:p w:rsidR="00B86A3E" w:rsidRPr="007647A8" w:rsidRDefault="00666E8A"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In relation to the responsible institutions of third countries referred to in point 1 of this Article, credit institutions and financial institutions:</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do not enter into new business relationships with the responsible institution of the third country, except in cases where, based on the information collected according to Article 117 or 118, they conclude that the mitigating measures applied to the business relationship with the responsible institution of the third country and the measures put in place by the responsible institution of the third country itself may appropriately mitigate the risks of money laundering and terrorist financing related to this business relationship;</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for existing business relationships with the responsible institution of the third country:</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review and update the information on the responsible institution in accordance with Articles 117 or 118;</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terminate the business relationship, except where, based on the information collected under point "i", they conclude that the mitigating measures applied to the business relationship with the responsible institution of the third country and the measures imposed by the responsible institution of the third country may appropriately mitigate the risks of money laundering and terrorist financing related to this business relationship;</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inform the institution responsible of the conclusions they have reached regarding the risks presented by the correspondent relationship, following the recommendation of the competent supervisory authority or AMLA, as well as of the measures taken in accordance with letters "a" or "b" of this point.</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AMLA or the competent supervisory authorities has withdrawn a recommendation pursuant to point 5 of this Article, credit institutions and financial institutions review their assessment of whether the responsible institutions of third countries meet any of the conditions set out in point 3 of this Article.</w:t>
      </w:r>
    </w:p>
    <w:p w:rsidR="00666E8A" w:rsidRPr="007647A8" w:rsidRDefault="00B86A3E" w:rsidP="00B86A3E">
      <w:pPr>
        <w:widowControl w:val="0"/>
        <w:spacing w:after="0"/>
        <w:ind w:left="0" w:firstLine="720"/>
        <w:rPr>
          <w:rFonts w:ascii="Times New Roman" w:eastAsia="Arial Unicode MS" w:hAnsi="Times New Roman" w:cs="Times New Roman"/>
          <w:i/>
          <w:iCs/>
          <w:sz w:val="24"/>
          <w:szCs w:val="24"/>
          <w:lang w:bidi="en-US"/>
        </w:rPr>
      </w:pPr>
      <w:r>
        <w:rPr>
          <w:rFonts w:ascii="Times New Roman" w:eastAsia="Arial Unicode MS" w:hAnsi="Times New Roman" w:cs="Times New Roman"/>
          <w:sz w:val="24"/>
          <w:szCs w:val="24"/>
          <w:lang w:bidi="en-US"/>
        </w:rPr>
        <w:t>7. Credit institutions and financial institutions document every decision taken in accordance with this Article.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120</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Prohibition of correspondent relationships with shell institutions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Credit institutions and financial institutions do not enter into or continue a correspondent relationship with a shell institution. Credit institutions and financial institutions take appropriate measures to ensure that they do not establish or continue correspondent relationships with a credit institution or financial institution which is known to permit the use of its accounts by a shell institution.</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In addition to the requirement set out in point 1, crypto-asset service providers ensure that their accounts are not used by shell institutions for the provision of crypto-asset services. For this purpose, crypto-asset service providers put in place internal policies, procedures and controls to detect any attempt to use their accounts for the provision of unregulated crypto-asset services.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121</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Measures to mitigate the risks related to transactions with a self-hosted address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Crypto-asset service providers identify and assess the risk of money laundering and terrorist financing associated with transfers of crypto-assets directed to a self-hosted address or originating from such an address. For this purpose, crypto-asset service providers adopt internal policies, procedures and controls.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Crypto-asset service providers apply mitigating measures proportionate to the identified risks. These mitigating measures include one or more of the following measures: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taking risk-based measures to identify and verify the identity of the originator or beneficiary of a transfer made from or to a self-hosted address, or the beneficial owner of the originator or beneficiary, including through reliance on third parties;</w:t>
      </w:r>
    </w:p>
    <w:p w:rsidR="00FD16CE" w:rsidRPr="007647A8" w:rsidRDefault="00666E8A" w:rsidP="00FD16C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obtaining of additional information on the origin and destination of crypto-assets;</w:t>
      </w:r>
    </w:p>
    <w:p w:rsidR="00FD16CE" w:rsidRPr="007647A8" w:rsidRDefault="00FD16CE" w:rsidP="00FD16CE">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carrying out enhanced and ongoing monitoring of transactions with a self-hosted address;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any other measure for the mitigation and management of the risks of money laundering and   terrorist financing, as well as the risk of non-implementation and circumvention of financial restrictive measures.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responsible supervisory authority, issues guidelines to specify the mitigating measures referred to in point 1 of this Article, including:</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criteria and means for the identification and verification of the identity of the originator or beneficiary of a transfer carried out from or to a self-hosted address, including through reliance on third parties, taking into account the latest technological developments;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criteria and methods for verifying whether the self-hosted address is or is not owned or under the control of a customer.</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122</w:t>
      </w:r>
    </w:p>
    <w:p w:rsidR="00666E8A" w:rsidRPr="007647A8" w:rsidRDefault="00692AF4"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Special provisions concerning applicants for residence-by-investment schemes</w:t>
      </w:r>
    </w:p>
    <w:p w:rsidR="00666E8A"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720"/>
        <w:rPr>
          <w:rFonts w:ascii="Times New Roman" w:hAnsi="Times New Roman" w:cs="Times New Roman"/>
          <w:sz w:val="24"/>
          <w:szCs w:val="24"/>
        </w:rPr>
      </w:pPr>
      <w:r>
        <w:rPr>
          <w:rFonts w:ascii="Times New Roman" w:eastAsia="Arial Unicode MS" w:hAnsi="Times New Roman" w:cs="Times New Roman"/>
          <w:iCs/>
          <w:sz w:val="24"/>
          <w:szCs w:val="24"/>
          <w:lang w:bidi="en-US"/>
        </w:rPr>
        <w:t>In addition to the customer due diligence measures provided for in Article 102 of this law, in relation to customers who are nationals of</w:t>
      </w:r>
      <w:r>
        <w:rPr>
          <w:rFonts w:ascii="Times New Roman" w:hAnsi="Times New Roman" w:cs="Times New Roman"/>
          <w:sz w:val="24"/>
          <w:szCs w:val="24"/>
        </w:rPr>
        <w:t xml:space="preserve"> third countries and who are in the process of applying for the right to a residence permit in exchange for any form of investment, including transfers, the purchase or leasing of immovable property, investment in government bonds, investment in commercial legal persons, the donation or financing of an activity in the public interest, as well as contributions to the state budget, obliged entities shall apply, at least, the enhanced due diligence measures defined in Article 115, point 4, letters “a”, “c”, “e” and “f”, of this law.</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trike/>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Special provisions for politically exposed persons</w:t>
      </w:r>
    </w:p>
    <w:p w:rsidR="00F14D87" w:rsidRPr="007647A8" w:rsidRDefault="00F14D87"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In addition to the customer due diligence measures laid down in Article 102 of this law, obliged entities shall apply the following measures in relation to occasional transactions or business relationships with politically exposed persons: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obtain the approval of senior management for carrying out occasional transactions or for establishing or continuing business relationships with politically exposed persons;</w:t>
      </w:r>
    </w:p>
    <w:p w:rsidR="00110FF6" w:rsidRPr="007647A8" w:rsidRDefault="00C63A4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take the necessary measures to determine the source of the property and the source of the funds involved in the business relationship or occasional transactions with politically exposed persons;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carry out enhanced and ongoing monitoring of these business relationships.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minister responsible for finance, upon the proposal of the responsible authority, issues guidelines regarding the following matters: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criteria for the identification of persons known as close associates;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level of risk associated with a certain category of politically exposed persons, family members or persons known as close associates, including guidance on how to assess these risks when the person is no longer entrusted with a prominent public function, for the purposes of implementing Article 126 of this law.</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6" w:name="bookmark23"/>
      <w:r>
        <w:rPr>
          <w:rFonts w:ascii="Times New Roman" w:eastAsia="Arial Unicode MS" w:hAnsi="Times New Roman" w:cs="Times New Roman"/>
          <w:b/>
          <w:bCs/>
          <w:sz w:val="24"/>
          <w:szCs w:val="24"/>
          <w:lang w:bidi="en-US"/>
        </w:rPr>
        <w:t>List of high public functions</w:t>
      </w:r>
      <w:bookmarkEnd w:id="16"/>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High Inspectorate for the Control of Assets and Conflict of Interests issues and keeps updated a list of the exact functions which, according to domestic laws, regulations and administrative provisions, qualify as high public functions for the purposes of the application of Article 85, point 49 of this law.</w:t>
      </w:r>
    </w:p>
    <w:p w:rsidR="0035061F" w:rsidRPr="007647A8" w:rsidRDefault="00C34AC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Financial Intelligence Agency requires international organisations accredited in the Republic of Albania to draw up and keep updated the list of high public functions related to that organisation, for the purposes of Article 85, point 49 of this law.</w:t>
      </w:r>
    </w:p>
    <w:p w:rsidR="0035061F"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These lists shall also include any function which may be entrusted to representatives of third countries and of international bodies accredited at European Union level.</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These lists, as well as any amendment made to them, shall be made available to the obliged entities for taking the measures provided for in this law</w:t>
      </w:r>
      <w:r>
        <w:rPr>
          <w:rFonts w:ascii="Times New Roman" w:hAnsi="Times New Roman" w:cs="Times New Roman"/>
          <w:sz w:val="24"/>
          <w:szCs w:val="24"/>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125</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Politically exposed persons who are beneficiaries of insurance policies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Obliged entities take reasonable measures to determine whether the beneficiaries of a life insurance policy or of another policy linked to investments, or, where applicable, the beneficial owner of the beneficiary, are politically exposed persons. </w:t>
      </w:r>
    </w:p>
    <w:p w:rsidR="00FB4543" w:rsidRPr="007647A8" w:rsidRDefault="00FB454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These measures shall be taken no later than at the time of payment of the benefit or at the time of transfer, in whole or in part, of the rights arising from the policy. </w:t>
      </w: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higher risks are identified, in addition to applying customer due diligence measures pursuant to Article 102 of this law, obliged entities:</w:t>
      </w:r>
    </w:p>
    <w:p w:rsidR="00FB4543" w:rsidRPr="007647A8" w:rsidRDefault="00666E8A" w:rsidP="00FB4543">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inform senior management before the payment of benefits arising from the policy;</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carry out an enhanced review of the entire business relationship with the policyholder.</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Measures for persons who are not politically exposed persons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When a politically exposed person is no longer entrusted with a prominent public function,</w:t>
      </w:r>
      <w:r>
        <w:t xml:space="preserve"> </w:t>
      </w:r>
      <w:r>
        <w:rPr>
          <w:rFonts w:ascii="Times New Roman" w:eastAsia="Arial Unicode MS" w:hAnsi="Times New Roman" w:cs="Times New Roman"/>
          <w:sz w:val="24"/>
          <w:szCs w:val="24"/>
          <w:lang w:bidi="en-US"/>
        </w:rPr>
        <w:t>from the Republic of Albania, from a Member State of the European Union, from a third country or an international organisation, the obliged entities take into consideration the continuing risk posed by this person, as a result of the previous function, during the assessment of the risks of money laundering and terrorist financing, in accordance with Article 102 of this law.</w:t>
      </w:r>
    </w:p>
    <w:p w:rsidR="0061629A" w:rsidRPr="007647A8" w:rsidRDefault="0061629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Obliged entities apply one or several of the measures set out in Article 115, point 4 of this law, for the mitigation of the risks posed by the politically exposed person, until the moment when the risks referred to in point 1 of this Article no longer exist, but in any case not less than 12 months after the date when the person has ceased to exercise the high public function.</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The obligation set out in point 2 of this Article shall apply accordingly also when an obliged entity carries out an occasional transaction or establishes a business relationship with a person who in the past has been </w:t>
      </w:r>
      <w:r>
        <w:rPr>
          <w:rFonts w:ascii="Times New Roman" w:hAnsi="Times New Roman" w:cs="Times New Roman"/>
          <w:sz w:val="24"/>
          <w:szCs w:val="24"/>
        </w:rPr>
        <w:t>entrusted with a prominent public function</w:t>
      </w:r>
      <w:r>
        <w:rPr>
          <w:rFonts w:ascii="Times New Roman" w:eastAsia="Arial Unicode MS" w:hAnsi="Times New Roman" w:cs="Times New Roman"/>
          <w:sz w:val="24"/>
          <w:szCs w:val="24"/>
          <w:lang w:bidi="en-US"/>
        </w:rPr>
        <w:t xml:space="preserve"> from the Republic of Albania, from a Member State of the European Union, from a third country or an international organisation.</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127</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Family members and persons who are known as close associates of politically exposed persons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measures referred to in Articles 123, 125 and 126 </w:t>
      </w:r>
      <w:r>
        <w:rPr>
          <w:rFonts w:ascii="Times New Roman" w:hAnsi="Times New Roman" w:cs="Times New Roman"/>
          <w:sz w:val="24"/>
          <w:szCs w:val="24"/>
        </w:rPr>
        <w:t>of this law shall also apply to family members and persons known as close associates of politically exposed persons</w:t>
      </w:r>
      <w:r>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941DD3" w:rsidRPr="007647A8" w:rsidRDefault="00941DD3"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5</w:t>
      </w:r>
    </w:p>
    <w:p w:rsidR="00666E8A" w:rsidRPr="007647A8" w:rsidRDefault="00621F9A"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Special provisions on customer due diligence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w:t>
      </w:r>
      <w:r>
        <w:rPr>
          <w:rFonts w:ascii="Times New Roman" w:eastAsia="Arial Unicode MS" w:hAnsi="Times New Roman" w:cs="Times New Roman"/>
          <w:sz w:val="24"/>
          <w:szCs w:val="24"/>
          <w:lang w:bidi="en-US"/>
        </w:rPr>
        <w:t xml:space="preserve"> 128</w:t>
      </w:r>
    </w:p>
    <w:p w:rsidR="00666E8A" w:rsidRPr="007647A8" w:rsidRDefault="00621F9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Specific requirements for the life insurance sector and other insurance linked to investments</w:t>
      </w:r>
    </w:p>
    <w:p w:rsidR="00621F9A" w:rsidRPr="007647A8" w:rsidRDefault="00621F9A" w:rsidP="002A39C9">
      <w:pPr>
        <w:widowControl w:val="0"/>
        <w:spacing w:after="0"/>
        <w:ind w:left="0" w:firstLine="0"/>
        <w:jc w:val="center"/>
        <w:rPr>
          <w:rFonts w:ascii="Times New Roman" w:eastAsia="Arial Unicode MS" w:hAnsi="Times New Roman" w:cs="Times New Roman"/>
          <w:sz w:val="24"/>
          <w:szCs w:val="24"/>
          <w:lang w:bidi="en-US"/>
        </w:rPr>
      </w:pPr>
    </w:p>
    <w:p w:rsidR="00805FF6" w:rsidRPr="007647A8" w:rsidRDefault="00C34AC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For life insurance activities or other insurance related to investments, in addition to the customer due diligence measures required for the customer and the beneficial owner, obliged entities apply the following customer due diligence measures for the beneficiaries of life insurance policies and other insurance related to investments, immediately as soon as the beneficiaries are identified or designated:</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 the case of beneficiaries identified as specifically designated persons or as legal arrangements, record the name of the person or legal arrangement;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in the case of beneficiaries determined on the basis of the characteristics, category or </w:t>
      </w:r>
      <w:r>
        <w:rPr>
          <w:rFonts w:ascii="Times New Roman" w:hAnsi="Times New Roman" w:cs="Times New Roman"/>
          <w:sz w:val="24"/>
          <w:szCs w:val="24"/>
        </w:rPr>
        <w:t xml:space="preserve"> other means, receive sufficient information on these beneficiaries, so that they are able to determine the identity of the beneficiary at the time of the payment of the benefit.</w:t>
      </w:r>
    </w:p>
    <w:p w:rsidR="00621F9A" w:rsidRPr="007647A8" w:rsidRDefault="00C34AC4" w:rsidP="00621F9A">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For the purposes of point 1 of this Article, the verification of the identity of the payees and, where applicable, of their beneficial owners, is carried out at the time of payment of the benefit. </w:t>
      </w:r>
    </w:p>
    <w:p w:rsidR="00666E8A" w:rsidRPr="007647A8" w:rsidRDefault="00621F9A" w:rsidP="00621F9A">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In the event of the transfer, wholly or partially, of a life insurance policy or another insurance linked to investments to a third party, the obliged entities that have knowledge of this transfer identify the beneficial owner at the time of the transfer, as the natural person, legal person or legal arrangement that receives for its own benefit the value of the transferred policy.</w:t>
      </w:r>
    </w:p>
    <w:p w:rsidR="00571D4D" w:rsidRPr="007647A8" w:rsidRDefault="00571D4D" w:rsidP="00621F9A">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6</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Pr>
          <w:rFonts w:ascii="Times New Roman" w:eastAsia="Arial Unicode MS" w:hAnsi="Times New Roman" w:cs="Times New Roman"/>
          <w:b/>
          <w:bCs/>
          <w:iCs/>
          <w:sz w:val="24"/>
          <w:szCs w:val="24"/>
          <w:lang w:bidi="en-US"/>
        </w:rPr>
        <w:t>Reliance on other obliged entities for the implementation of customer due diligence measures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129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General provisions regarding reliance on other obliged entities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805FF6" w:rsidRPr="007647A8" w:rsidRDefault="007E41F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may rely on other obliged entities, regardless of whether they are located in a Member State or in a third country, for the fulfilment of the customer due diligence requirements set out in Article 102, paragraph 1, letters "a", "b" and "c", provided that: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other obliged entities required to apply the requirements for customer due diligence and the requirements for data retention specified in Part II of the law, or requirements equivalent to them, when the other obliged entities are established in a third country;</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compliance of other obliged entities with the requirements for the prevention of money laundering and terrorist financing shall be supervised in a manner in accordance with Chapter III of Part I of this law.</w:t>
      </w:r>
    </w:p>
    <w:p w:rsidR="00E007B5" w:rsidRPr="007647A8" w:rsidRDefault="00E007B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Ultimate responsibility for meeting the requirements for customer due diligence remains with the obliged entity that relies on another obliged entity. </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When they decide to rely on other obliged entities located in third countries, obliged entities take into consideration the geographic risk factors listed in Annex II and Annex III of Part II of this law and any relevant information or guidance issued by the European Commission, AMLA and the competent authorities.</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In the case of obliged entities that are part of a group, compliance with the requirements of this article and Article 130 may be ensured through policies, procedures and controls at group level, provided that all the following conditions are met:</w:t>
      </w:r>
    </w:p>
    <w:p w:rsidR="00805FF6" w:rsidRPr="007647A8" w:rsidRDefault="00D76E5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obliged entity relies only on the information provided by an obliged entity that is part of the same group;</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group applies policies and procedures for the prevention of money laundering and terrorist financing, customer due diligence measures and rules for data retention, which are fully in compliance with Part II of this law or with equivalent rules in third countries;</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effective implementation of the requirements set out in letter "b" of this point shall be supervised at group level by the supervisory authority of the home Member State in accordance with Chapter III of Part I of this law or by the relevant authority of the third country in accordance with the rules of that third country.</w:t>
      </w:r>
    </w:p>
    <w:p w:rsidR="00D76E5E" w:rsidRPr="007647A8" w:rsidRDefault="00666E8A" w:rsidP="00D76E5E">
      <w:pPr>
        <w:widowControl w:val="0"/>
        <w:spacing w:after="0"/>
        <w:ind w:left="0" w:firstLine="720"/>
      </w:pPr>
      <w:r>
        <w:rPr>
          <w:rFonts w:ascii="Times New Roman" w:eastAsia="Arial Unicode MS" w:hAnsi="Times New Roman" w:cs="Times New Roman"/>
          <w:sz w:val="24"/>
          <w:szCs w:val="24"/>
          <w:lang w:bidi="en-US"/>
        </w:rPr>
        <w:t>4. Obliged entities may not rely on obliged entities established in third countries identified in accordance with Section 2 of this Chapter.</w:t>
      </w:r>
      <w:r>
        <w:t xml:space="preserve"> </w:t>
      </w:r>
    </w:p>
    <w:p w:rsidR="00666E8A" w:rsidRPr="007647A8" w:rsidRDefault="00D76E5E" w:rsidP="00D76E5E">
      <w:pPr>
        <w:widowControl w:val="0"/>
        <w:spacing w:after="0"/>
        <w:ind w:left="0" w:firstLine="720"/>
      </w:pPr>
      <w:r>
        <w:rPr>
          <w:rFonts w:ascii="Times New Roman" w:eastAsia="Arial Unicode MS" w:hAnsi="Times New Roman" w:cs="Times New Roman"/>
          <w:sz w:val="24"/>
          <w:szCs w:val="24"/>
          <w:lang w:bidi="en-US"/>
        </w:rPr>
        <w:t>However, obliged entities established in the European Union, the branches and subsidiaries of which are located in these third countries, may rely on these branches and subsidiaries, when all the conditions set out in point 3 of this article are fulfilled.</w:t>
      </w:r>
    </w:p>
    <w:p w:rsidR="00D76E5E" w:rsidRPr="007647A8" w:rsidRDefault="00D76E5E"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130</w:t>
      </w:r>
    </w:p>
    <w:p w:rsidR="00666E8A" w:rsidRPr="007647A8" w:rsidRDefault="00F76BC1"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7" w:name="bookmark24"/>
      <w:r>
        <w:rPr>
          <w:rFonts w:ascii="Times New Roman" w:eastAsia="Arial Unicode MS" w:hAnsi="Times New Roman" w:cs="Times New Roman"/>
          <w:b/>
          <w:bCs/>
          <w:sz w:val="24"/>
          <w:szCs w:val="24"/>
          <w:lang w:bidi="en-US"/>
        </w:rPr>
        <w:t>The process of relying on another obliged entity</w:t>
      </w:r>
      <w:bookmarkEnd w:id="17"/>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obtain from the obliged entity on which they rely all the necessary information regarding the customer due diligence measures specified in Article 102, paragraph 1, letters "a", "b" and "c",</w:t>
      </w:r>
      <w:r>
        <w:t xml:space="preserve"> </w:t>
      </w:r>
      <w:r>
        <w:rPr>
          <w:rFonts w:ascii="Times New Roman" w:eastAsia="Arial Unicode MS" w:hAnsi="Times New Roman" w:cs="Times New Roman"/>
          <w:sz w:val="24"/>
          <w:szCs w:val="24"/>
          <w:lang w:bidi="en-US"/>
        </w:rPr>
        <w:t>or related to the activity that has been presented to them.</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Obliged entities that rely on other obliged entities shall take all necessary measures to ensure that the obliged entity on which they rely provides them, upon request: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copies of the information collected to identify the client;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all supporting documents or reliable sources of information that have been used to verify the identity of the client and, where applicable, of its beneficial owners or of the persons on whose behalf the client acts, including the data obtained through electronic means of identification and trust services under the legislation in force; and</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any information collected regarding the purpose and intended nature of the business relationship.</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information referred to in points 1 and 2 of this article shall be provided to the obliged entity by the entity relied upon, without delay and, in any case, within 5 working days.</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conditions for the transmission of the information and documents referred to in points 1 and 2 of this Article shall be determined in a written agreement between the obliged entities.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When the obliged entity relies on another obliged entity that is part of the same group, the written agreement may be replaced by an internal procedure established at group level, provided that the requirements set out in Article 129, point 3 of this law are fulfilled.</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         </w:t>
      </w:r>
    </w:p>
    <w:p w:rsidR="00666E8A" w:rsidRPr="007647A8" w:rsidRDefault="009C2AFC"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131</w:t>
      </w:r>
    </w:p>
    <w:p w:rsidR="00666E8A" w:rsidRPr="007647A8" w:rsidRDefault="00E46D84"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Guidelines on reliance on other obliged entities</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p>
    <w:p w:rsidR="00F7305B" w:rsidRPr="007647A8" w:rsidRDefault="00805FF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minister responsible for finance, on the proposal of the responsible authority, issues guidelines for obliged entities regarding:</w:t>
      </w:r>
    </w:p>
    <w:p w:rsidR="00E46D84" w:rsidRPr="007647A8" w:rsidRDefault="00E46D84" w:rsidP="00E46D8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conditions that are considered acceptable for obliged entities to rely on the information collected by another obliged entity, including cases of carrying out customer due diligence measures exercised remotely;</w:t>
      </w:r>
    </w:p>
    <w:p w:rsidR="00E46D84" w:rsidRPr="007647A8" w:rsidRDefault="00E46D84" w:rsidP="00E46D8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roles and responsibilities of the obliged entities involved in a situation where they rely on another obliged entity;</w:t>
      </w:r>
    </w:p>
    <w:p w:rsidR="00666E8A" w:rsidRPr="007647A8" w:rsidRDefault="00666E8A" w:rsidP="00E46D84">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risk-based supervision in relation to</w:t>
      </w:r>
      <w:r>
        <w:rPr>
          <w:rFonts w:ascii="Times New Roman" w:hAnsi="Times New Roman" w:cs="Times New Roman"/>
          <w:sz w:val="24"/>
          <w:szCs w:val="24"/>
        </w:rPr>
        <w:t xml:space="preserve"> reliance on other obliged entities.</w:t>
      </w:r>
    </w:p>
    <w:p w:rsidR="00666E8A" w:rsidRPr="007647A8" w:rsidRDefault="00666E8A" w:rsidP="002A39C9">
      <w:pPr>
        <w:widowControl w:val="0"/>
        <w:spacing w:after="0"/>
        <w:ind w:left="0" w:firstLine="0"/>
        <w:jc w:val="left"/>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IV</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REPORTING OBLIGATIONS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8" w:name="bookmark39"/>
      <w:r>
        <w:rPr>
          <w:rFonts w:ascii="Times New Roman" w:eastAsia="Arial Unicode MS" w:hAnsi="Times New Roman" w:cs="Times New Roman"/>
          <w:b/>
          <w:bCs/>
          <w:sz w:val="24"/>
          <w:szCs w:val="24"/>
          <w:lang w:bidi="en-US"/>
        </w:rPr>
        <w:t>Reporting of suspicious activity</w:t>
      </w:r>
      <w:bookmarkEnd w:id="1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and, where appropriate, their directors and employees, cooperate fully with the responsible authority, by ensuring immediately:</w:t>
      </w: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reporting to the responsible authority, on their own initiative, when the obliged entity knows, suspects or has reasonable grounds to suspect that the funds or activities, regardless of the amount involved, are proceeds of criminal activity or are related to money laundering or the financing of terrorism, as well as responding to requests of the responsible authority for additional information in such cases;</w:t>
      </w:r>
    </w:p>
    <w:p w:rsidR="00F7305B" w:rsidRPr="007647A8" w:rsidRDefault="00E26906"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making available to the responsible authority, at its request, all necessary information, including information on transaction records, within the prescribed deadlines.</w:t>
      </w:r>
    </w:p>
    <w:p w:rsidR="00F7305B" w:rsidRPr="007647A8" w:rsidRDefault="000279D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All suspicious transactions, including transactions that are attempted to be carried out and suspicions arising from the inability to exercise due diligence toward the client, shall be reported in accordance with the provisions of point 1 of this article.</w:t>
      </w:r>
    </w:p>
    <w:p w:rsidR="00F7305B" w:rsidRPr="007647A8" w:rsidRDefault="000279D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In implementation of point 1 of this article, the obliged entities must respond to the requests for information of the responsible authority within 5 working days. In justified and urgent cases, the responsible authority may shorten this deadline, including to less than 24 hours.</w:t>
      </w:r>
    </w:p>
    <w:p w:rsidR="00F7305B" w:rsidRPr="007647A8" w:rsidRDefault="000F3DB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By way of exception to what is provided for in this point, the responsible authority may extend the response deadline beyond 5 working days when it considers this justified and provided that the extension does not prejudice the analyses carried out by it. </w:t>
      </w:r>
    </w:p>
    <w:p w:rsidR="00F7305B" w:rsidRPr="007647A8" w:rsidRDefault="004522C9"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4. For the purposes of point 1, obliged entities assess the transactions or activities carried out by their clients on the basis of all relevant facts and information of which they have knowledge or which they possess, in connection with these transactions or activities. When necessary, the entities give priority to this assessment by taking into consideration the urgency of the transaction or activity, as well as the risks affecting the state in which they are established. </w:t>
      </w: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suspicion, according to point 1, letter “a” of this article, is based, among other things, on the characteristics of the client and of the persons connected to him, on the size and nature of the transaction or activity, on the methods and patterns of carrying them out, on the link between several transactions or activities, on the origin, destination or use of the funds, as well as on any other circumstance known by the entity, including the compliance of the transaction or activity with the information collected in accordance with Chapter III of Part II of this law, including the risk profile of the client.</w:t>
      </w:r>
    </w:p>
    <w:p w:rsidR="00F7305B" w:rsidRPr="007647A8" w:rsidRDefault="0043572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minister responsible for finance, upon the proposal of the responsible authority, issues guidelines for the identification of indicators of suspicious activities or behaviour, which are updated periodically.</w:t>
      </w:r>
    </w:p>
    <w:p w:rsidR="00DA2967" w:rsidRPr="007647A8" w:rsidRDefault="0043572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The person responsible for compliance, appointed in accordance with Article 93, point 2, reports the information referred to in points 1 and 2 of this article to the responsible authority.</w:t>
      </w:r>
    </w:p>
    <w:p w:rsidR="00DA2967" w:rsidRPr="007647A8" w:rsidRDefault="00603FD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7. Obliged entities shall ensure that the person responsible for compliance, appointed in accordance with Article 93, point 2, as well as any employee or other person performing similar functions, including agents and distributors, who are involved in the performance of the duties provided for by this Article, are protected from any form of retaliation, discrimination or other unfair treatment due to the exercise of these duties.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implementation of this point shall not affect the additional protection that the persons referred to in the first paragraph of this point may enjoy under the legislation in force on the protection of whistleblowers.</w:t>
      </w:r>
    </w:p>
    <w:p w:rsidR="00DA2967" w:rsidRPr="007647A8" w:rsidRDefault="004B246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8. When obliged entities cooperate within the framework of an information-sharing partnership and this cooperation results in knowledge, suspicion or there are reasonable grounds to suspect that the funds, regardless of the amount involved, are proceeds of criminal activity or are related to money laundering and terrorist financing, the obliged entities that have identified suspicions in relation to the activities of their clients may designate among themselves the entity that will be charged with submitting the suspicious activity report to the financial intelligence unit pursuant to point 1, letter “a” of this article. The submitted report includes at least the name and contact details of all obliged entities that have participated in the activities of sending the suspicious activity report.</w:t>
      </w:r>
    </w:p>
    <w:p w:rsidR="00D0687F" w:rsidRPr="007647A8" w:rsidRDefault="00D0687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When the obliged entities referred to in this point have their activity established in several states, the information must be reported to each respective financial intelligence unit. For this purpose, the obliged entities must ensure that the report is submitted by an obliged entity within the territory of the state where the financial intelligence unit is located.</w:t>
      </w:r>
    </w:p>
    <w:p w:rsidR="00DA2967" w:rsidRPr="007647A8" w:rsidRDefault="00930A4C"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Where obliged entities decide not to use the option of submitting a single report, in accordance with the first subparagraph of this point, they shall include in their reports a reference that the suspicion is the result of a cooperative partnership for the exchange of information.</w:t>
      </w:r>
    </w:p>
    <w:p w:rsidR="00666E8A" w:rsidRPr="007647A8" w:rsidRDefault="00E1172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9. Obliged entities referred to in point 8 of this article must keep a copy of every report submitted pursuant to this article and in accordance with the provisions of Article 140.</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133</w:t>
      </w:r>
    </w:p>
    <w:p w:rsidR="00666E8A" w:rsidRPr="007647A8" w:rsidRDefault="0011375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Reporting of suspicious activity by certain categories of obliged entities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By way of derogation from Article 132, points 1 and 2, obliged entities provided for in Article 86, point 3, </w:t>
      </w:r>
      <w:r>
        <w:rPr>
          <w:rFonts w:ascii="Times New Roman" w:hAnsi="Times New Roman" w:cs="Times New Roman"/>
          <w:sz w:val="24"/>
          <w:szCs w:val="24"/>
        </w:rPr>
        <w:t>letters</w:t>
      </w:r>
      <w:r>
        <w:rPr>
          <w:rFonts w:ascii="Times New Roman" w:eastAsia="Arial Unicode MS" w:hAnsi="Times New Roman" w:cs="Times New Roman"/>
          <w:sz w:val="24"/>
          <w:szCs w:val="24"/>
          <w:lang w:bidi="en-US"/>
        </w:rPr>
        <w:t xml:space="preserve"> “a” and “b”, may report the information provided for in Article 132, points 1 and 2, through their self-regulatory body designated by law.</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self-regulatory body must transmit the information, in accordance with the provisions of this point, immediately and unaltered to the responsible authority.</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Notaries, lawyers, other independent legal professionals, statutory auditors, approved accountants and tax advisors are exempted from the requirements set out in Article 132, points 1 and 2, insofar as this exemption relates to the information that they receive from, or in relation to, a client, during the assessment of the legal position of the client, or during the performance of their duty for the defence or representation of that client in judicial proceedings, including advice concerning the initiation or avoidance of these proceedings, regardless of whether this information was received before, during or after these proceedings.</w:t>
      </w:r>
    </w:p>
    <w:p w:rsidR="00DA2967" w:rsidRPr="007647A8" w:rsidRDefault="00975A0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exemption referred to in point 2 of this article shall not apply in cases where the obliged entities mentioned therein:</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are involved in money laundering </w:t>
      </w:r>
      <w:r>
        <w:rPr>
          <w:rFonts w:ascii="Times New Roman" w:hAnsi="Times New Roman" w:cs="Times New Roman"/>
          <w:sz w:val="24"/>
          <w:szCs w:val="24"/>
        </w:rPr>
        <w:t>and products deriving from criminal offences,</w:t>
      </w:r>
      <w:r>
        <w:rPr>
          <w:rFonts w:ascii="Times New Roman" w:eastAsia="Arial Unicode MS" w:hAnsi="Times New Roman" w:cs="Times New Roman"/>
          <w:sz w:val="24"/>
          <w:szCs w:val="24"/>
          <w:lang w:bidi="en-US"/>
        </w:rPr>
        <w:t>financimin e terrorizmit ose financimin e përhapjes së armëve të dëmtimit në masë;</w:t>
      </w:r>
    </w:p>
    <w:p w:rsidR="00DA2967" w:rsidRPr="007647A8" w:rsidRDefault="0003747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provide legal advice for the purposes of money laundering, related predicate offences, terrorist financing or the financing of the proliferation of weapons of mass destruction;</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they know that the client is seeking legal advice for the purposes of money laundering </w:t>
      </w:r>
      <w:r>
        <w:rPr>
          <w:rFonts w:ascii="Times New Roman" w:hAnsi="Times New Roman" w:cs="Times New Roman"/>
          <w:sz w:val="24"/>
          <w:szCs w:val="24"/>
        </w:rPr>
        <w:t>and of proceeds deriving from criminal offences,</w:t>
      </w:r>
      <w:r>
        <w:rPr>
          <w:rFonts w:ascii="Times New Roman" w:eastAsia="Arial Unicode MS" w:hAnsi="Times New Roman" w:cs="Times New Roman"/>
          <w:sz w:val="24"/>
          <w:szCs w:val="24"/>
          <w:lang w:bidi="en-US"/>
        </w:rPr>
        <w:t>financimit të terrorizmit ose financimit të përhapjes së armëve të dëmtimit në masë; dijenia ose qëllimi mund të nxirren nga rrethana fakti objektive.</w:t>
      </w:r>
    </w:p>
    <w:p w:rsidR="00666E8A" w:rsidRPr="007647A8" w:rsidRDefault="0092250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Except for the cases specified in point 3 of this article, when justified on the basis of the higher risk of money laundering, criminal offences related thereto, terrorist financing or the financing of the proliferation of weapons of mass destruction linked to certain types of transactions, by decision of the Council of Ministers it may be established that the exemption provided for under point 2 of this article shall not apply to those types of transactions and, as the case may be, impose additional reporting obligations for the obliged entities mentioned in that point.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9" w:name="bookmark40"/>
      <w:r>
        <w:rPr>
          <w:rFonts w:ascii="Times New Roman" w:eastAsia="Arial Unicode MS" w:hAnsi="Times New Roman" w:cs="Times New Roman"/>
          <w:b/>
          <w:bCs/>
          <w:sz w:val="24"/>
          <w:szCs w:val="24"/>
          <w:lang w:bidi="en-US"/>
        </w:rPr>
        <w:t>Non-performance of transactions</w:t>
      </w:r>
      <w:bookmarkEnd w:id="19"/>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ED1EFC" w:rsidRPr="007647A8" w:rsidRDefault="00DA296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Obliged entities shall not carry out the transactions in respect of which they know or suspect that they are related to proceeds of crime or to the financing of terrorism until they have sent a suspicious activity report in accordance with Article 132, point 1, letter “a” and have complied with any further specific instruction from the responsible authority or other competent authorities in accordance with the legislation in force. </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Obliged entities may carry out the transaction in question after having assessed the risks q</w:t>
      </w:r>
      <w:r>
        <w:rPr>
          <w:rFonts w:ascii="Times New Roman" w:hAnsi="Times New Roman" w:cs="Times New Roman"/>
          <w:sz w:val="24"/>
          <w:szCs w:val="24"/>
        </w:rPr>
        <w:t>relate to the continuation of carrying out the transaction</w:t>
      </w:r>
      <w:r>
        <w:rPr>
          <w:rFonts w:ascii="Times New Roman" w:eastAsia="Arial Unicode MS" w:hAnsi="Times New Roman" w:cs="Times New Roman"/>
          <w:sz w:val="24"/>
          <w:szCs w:val="24"/>
          <w:lang w:bidi="en-US"/>
        </w:rPr>
        <w:t xml:space="preserve"> if they have not been instructed otherwise by the responsible authority within 3 working days from the submission of the report.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2</w:t>
      </w:r>
      <w:r>
        <w:rPr>
          <w:rFonts w:ascii="Times New Roman" w:eastAsia="Arial Unicode MS" w:hAnsi="Times New Roman" w:cs="Times New Roman"/>
          <w:i/>
          <w:iCs/>
          <w:sz w:val="24"/>
          <w:szCs w:val="24"/>
          <w:lang w:bidi="en-US"/>
        </w:rPr>
        <w:t xml:space="preserve">. </w:t>
      </w:r>
      <w:r>
        <w:rPr>
          <w:rFonts w:ascii="Times New Roman" w:eastAsia="Arial Unicode MS" w:hAnsi="Times New Roman" w:cs="Times New Roman"/>
          <w:iCs/>
          <w:sz w:val="24"/>
          <w:szCs w:val="24"/>
          <w:lang w:bidi="en-US"/>
        </w:rPr>
        <w:t>In cases where it is not possible to avoid carrying out the transaction, according to the definition of point 1 of this article, or when not carrying out the transaction is likely to hinder efforts to trace the beneficiaries of a suspicious transaction, the subject shall immediately notify the responsible authority after carrying out the transaction.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0" w:name="bookmark41"/>
      <w:r>
        <w:rPr>
          <w:rFonts w:ascii="Times New Roman" w:eastAsia="Arial Unicode MS" w:hAnsi="Times New Roman" w:cs="Times New Roman"/>
          <w:b/>
          <w:bCs/>
          <w:sz w:val="24"/>
          <w:szCs w:val="24"/>
          <w:lang w:bidi="en-US"/>
        </w:rPr>
        <w:t xml:space="preserve">Exemption from legal liability for reporting to the </w:t>
      </w:r>
      <w:bookmarkEnd w:id="20"/>
      <w:r>
        <w:rPr>
          <w:rFonts w:ascii="Times New Roman" w:eastAsia="Arial Unicode MS" w:hAnsi="Times New Roman" w:cs="Times New Roman"/>
          <w:b/>
          <w:bCs/>
          <w:sz w:val="24"/>
          <w:szCs w:val="24"/>
          <w:lang w:bidi="en-US"/>
        </w:rPr>
        <w:t>responsible authority</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3007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reporting of information to the responsible authority, carried out in good faith by an obliged entity or by an employee or manager of this entity, in accordance with Articles 132 and 133 of this law, does not constitute a breach of any restriction on the disclosure of information provided for by contract or in legal, sublegal or administrative provisions, and does not impose on the obliged entity, its managers or employees any kind of criminal, administrative or civil liability even in circumstances where they have not been precisely aware of the criminal activity underlying the case and regardless of whether the illegal activity has actually occurred.</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w:t>
      </w:r>
      <w:r>
        <w:rPr>
          <w:rFonts w:ascii="Times New Roman" w:eastAsia="Arial Unicode MS" w:hAnsi="Times New Roman" w:cs="Times New Roman"/>
          <w:sz w:val="24"/>
          <w:szCs w:val="24"/>
          <w:lang w:bidi="en-US"/>
        </w:rPr>
        <w:t xml:space="preserve"> 136</w:t>
      </w:r>
    </w:p>
    <w:p w:rsidR="00856494" w:rsidRPr="007647A8" w:rsidRDefault="00856494"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Prohibition of information</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and their senior management, employees or persons in similar positions, including agents and distributors, shall not inform the relevant client or other third persons of the fact that the transactions or activities are being assessed, have been assessed or will be assessed in accordance with Article 132, that the information is being sent, will be sent or has been sent in accordance with Article 132 or 133, or that a money laundering or terrorist financing analysis is being carried out or may be carried out.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prohibition provided for in point 1 shall not apply to the transmission of information to the competent authorities and to the self-regulatory bodies, when these exercise supervisory functions, as well as to the transmission of information for the purpose of the investigation and prosecutions of offences of money laundering, terrorist financing or other criminal activities.</w:t>
      </w:r>
    </w:p>
    <w:p w:rsidR="00DA2967" w:rsidRPr="007647A8" w:rsidRDefault="00266AB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By way of exception to point 1 of this article, the exchange of information may be carried out between obliged entities belonging to the same group, or between these entities and their branches and subsidiaries established in third countries, provided that those branches and subsidiaries fully comply with group-level policies and procedures, including procedures for the exchange of information within the group, in accordance with Article 98 of this law, and that the group-level policies and procedures are in compliance with the requirements set out in this law.</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By way of exception to point 1 of this article, the exchange of information may be carried out between the obliged entities referred to in Article 86, point 3, letters "a" and "b", or between entities from third countries that are subject to requirements equivalent to those set out in this law, which exercise their professional activities, whether as employees or not, within the same legal person or within a broader structure to which the person belongs and which shares common ownership, management or compliance control, including networks or partnerships.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5. For obliged entities provided for in Article 86, points 1, 2, 3, </w:t>
      </w:r>
      <w:r>
        <w:rPr>
          <w:rFonts w:ascii="Times New Roman" w:hAnsi="Times New Roman" w:cs="Times New Roman"/>
          <w:sz w:val="24"/>
          <w:szCs w:val="24"/>
        </w:rPr>
        <w:t>germ</w:t>
      </w:r>
      <w:r>
        <w:rPr>
          <w:rFonts w:ascii="Times New Roman" w:eastAsia="Arial Unicode MS" w:hAnsi="Times New Roman" w:cs="Times New Roman"/>
          <w:sz w:val="24"/>
          <w:szCs w:val="24"/>
          <w:lang w:bidi="en-US"/>
        </w:rPr>
        <w:t xml:space="preserve">in points “a” and “b”, in cases related to the same transaction involving two or more obliged entities, and by way of derogation from point 1 of this Article, the exchange of information may be carried out between the respective entities, provided that they are established </w:t>
      </w:r>
      <w:r>
        <w:rPr>
          <w:rFonts w:ascii="Times New Roman" w:hAnsi="Times New Roman" w:cs="Times New Roman"/>
          <w:sz w:val="24"/>
          <w:szCs w:val="24"/>
        </w:rPr>
        <w:t xml:space="preserve">in a Member State, or in a third country </w:t>
      </w:r>
      <w:r>
        <w:rPr>
          <w:rFonts w:ascii="Times New Roman" w:eastAsia="Arial Unicode MS" w:hAnsi="Times New Roman" w:cs="Times New Roman"/>
          <w:sz w:val="24"/>
          <w:szCs w:val="24"/>
          <w:lang w:bidi="en-US"/>
        </w:rPr>
        <w:t>that applies requirements equivalent to those provided for in Part II of this law, and that they be subject to the obligations for the preservation of professional secrecy and the protection of personal data.</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hAnsi="Times New Roman" w:cs="Times New Roman"/>
          <w:sz w:val="24"/>
          <w:szCs w:val="24"/>
        </w:rPr>
        <w:t>6. When obliged entities provided for in Article 86, point 3, letters “a” and “b”, attempt to stop or prevent a client from carrying out an illegal activity, this shall not be considered disclosure within the meaning of point 1 of this article.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Article 137</w:t>
      </w:r>
    </w:p>
    <w:p w:rsidR="00666E8A" w:rsidRPr="007647A8" w:rsidRDefault="00217CC2"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Threshold-based reporting for certain high-value goods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Persons trading in high-value goods shall report to the responsible authority all transactions involving the sale of the following high-value goods, when these goods are purchased for non-commercial purposes: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motor vehicles with a price of at least 25 000 000 (twenty-five million) lek or its equivalent in other foreign currencies;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vessels with a price of at least 750 000 000 (seven hundred and fifty million) lek or its equivalent in other foreign currencies;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aircraft with a price of at least 750 000 000 (seven hundred and fifty million) lek or its equivalent in other foreign currencies.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t>2</w:t>
      </w:r>
      <w:r>
        <w:rPr>
          <w:rFonts w:ascii="Times New Roman" w:hAnsi="Times New Roman" w:cs="Times New Roman"/>
          <w:sz w:val="24"/>
          <w:szCs w:val="24"/>
        </w:rPr>
        <w:t xml:space="preserve">. Credit institutions and financial institutions, as well as other obliged entities provided for in Article 86, point 3 of the law, that provide services in connection with the purchase or transfer of the right of ownership over the goods referred to in point 1 of this article shall report to </w:t>
      </w:r>
      <w:r>
        <w:rPr>
          <w:rFonts w:ascii="Times New Roman" w:eastAsia="Arial Unicode MS" w:hAnsi="Times New Roman" w:cs="Times New Roman"/>
          <w:sz w:val="24"/>
          <w:szCs w:val="24"/>
          <w:lang w:bidi="en-US"/>
        </w:rPr>
        <w:t>the responsible authority</w:t>
      </w:r>
      <w:r>
        <w:rPr>
          <w:rFonts w:ascii="Times New Roman" w:hAnsi="Times New Roman" w:cs="Times New Roman"/>
          <w:sz w:val="24"/>
          <w:szCs w:val="24"/>
        </w:rPr>
        <w:t xml:space="preserve"> all transactions that they carry out for their clients in connection with these goods.</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Reporting of transactions according to points 1 and 2 of this article shall be carried out within the deadlines and according to the procedures set out in Article 22 of this law.</w:t>
      </w:r>
    </w:p>
    <w:p w:rsidR="00715CB8" w:rsidRPr="007647A8" w:rsidRDefault="00715CB8"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55060"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V</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EXCHANGE OF INFORMATION</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138</w:t>
      </w:r>
    </w:p>
    <w:p w:rsidR="00666E8A" w:rsidRPr="007647A8" w:rsidRDefault="003D6E31"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b/>
          <w:bCs/>
          <w:sz w:val="24"/>
          <w:szCs w:val="24"/>
          <w:lang w:bidi="en-US"/>
        </w:rPr>
        <w:t>Partnerships for the exchange of information</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The members of the information-sharing partnerships may exchange information among themselves only to the extent necessary and indispensable for the fulfilment of the obligations provided for in Chapter III of Part II and in Article 132 of this law, in accordance with the fundamental rights and judicial procedural safeguards provided for by the legislation in force.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Obliged entities that seek to participate in an information-sharing partnership notify the relevant supervisory authorities, which, as the case may be, in consultation with each other and with the authorities responsible for verifying compliance with the legislation on the protection of personal data, verify that the information-sharing partnership has mechanisms to ensure compliance with this article and that the data protection impact assessment as referred to in point 4, letter "h" of this article has been carried out.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verification is carried out before the start of the activities of the information-sharing partnership. As appropriate, the supervisory authorities also consult the responsible authority.</w:t>
      </w:r>
    </w:p>
    <w:p w:rsidR="00E12112" w:rsidRPr="007647A8" w:rsidRDefault="001F034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Responsibility for compliance with the requirements of the Albanian legal framework belongs to the participants in the information exchange partnership.</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information exchanged within the framework of an information exchange partnership is limited to:</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information on the client, including any information obtained during the identification and verification of the identity of the client and, as the case may be, the beneficial owner of the client;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information on the purpose and intended nature of the business relationship or occasional transaction between the client and the obliged entity, as well as, where appropriate, the source of the client's property and the source of the client's funds;</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information on customers' transactions;</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information on the higher-risk and lower-risk factors related to the customer;</w:t>
      </w:r>
    </w:p>
    <w:p w:rsidR="00F6254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the risk analysis related to the customer, carried out by the obliged entity in accordance with Article 102, point 2 of this law;</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the information held by the obliged entity in accordance with Article 140, point 1 of this law;</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information on suspicions of money laundering or financing of terrorism, in accordance with Article 132 of this law.</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information referred to in this point shall be exchanged only to the extent necessary for carrying out the activities of the information-sharing partnership.</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The following conditions apply to the exchange of information in the context of an information-sharing partnership:</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obliged entities record all cases of information exchange within the partnership;</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obliged entities must not rely solely on the information received within the framework of the partnership for the exchange of information for the fulfilment of the obligations </w:t>
      </w:r>
      <w:bookmarkStart w:id="21" w:name="bookmark43"/>
      <w:r>
        <w:rPr>
          <w:rFonts w:ascii="Times New Roman" w:eastAsia="Arial Unicode MS" w:hAnsi="Times New Roman" w:cs="Times New Roman"/>
          <w:sz w:val="24"/>
          <w:szCs w:val="24"/>
          <w:lang w:bidi="en-US"/>
        </w:rPr>
        <w:t>their under this law;</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obliged entities do not draw conclusions or make decisions that affect the business relationship with the customer or the carrying out of occasional transactions for the customer on the basis of information received from the other participants in the information-sharing partnership without assessing that information; any information received in the context of the partnership that is used in an assessment resulting in a decision to refuse or terminate the business relationship or to carry out an occasional transaction is included in the records kept in accordance with Article 103, point 3 of this law and in these records the fact is specified that the information originates from an information-sharing partnership;</w:t>
      </w:r>
      <w:bookmarkEnd w:id="21"/>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obliged entities carry out their assessment of transactions involving clients to assess which of them may be linked to money laundering or terrorist financing or that involve proceeds deriving from criminal activity;</w:t>
      </w:r>
    </w:p>
    <w:p w:rsidR="0062003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obliged entities take appropriate technical and organisational measures, including measures that enable pseudonymisation, to ensure a level of security and confidentiality proportionate to the nature and scope of the information exchanged;</w:t>
      </w:r>
    </w:p>
    <w:p w:rsidR="00E12112" w:rsidRPr="007647A8" w:rsidRDefault="009E0413"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the exchange of information is carried out only in relation to clients, when:</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 the conduct or activities of whose transactions are associated with a higher level of risk for money laundering </w:t>
      </w:r>
      <w:r>
        <w:rPr>
          <w:rFonts w:ascii="Times New Roman" w:hAnsi="Times New Roman" w:cs="Times New Roman"/>
          <w:sz w:val="24"/>
          <w:szCs w:val="24"/>
        </w:rPr>
        <w:t xml:space="preserve">and criminal offences related to it </w:t>
      </w:r>
      <w:r>
        <w:rPr>
          <w:rFonts w:ascii="Times New Roman" w:eastAsia="Arial Unicode MS" w:hAnsi="Times New Roman" w:cs="Times New Roman"/>
          <w:sz w:val="24"/>
          <w:szCs w:val="24"/>
          <w:lang w:bidi="en-US"/>
        </w:rPr>
        <w:t>or financing of terrorism, according to the national risk assessment in accordance with Article 10 of this law and, where appropriate, other risk assessments carried out within the framework of international cooperation mechanisms;</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are included in any of the situations provided for in Articles 111, 112, and 117 to 127 of this law;</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iii. for whom obliged entities need to collect additional information to determine whether they are associated with a higher level of risk for money laundering and </w:t>
      </w:r>
      <w:r>
        <w:rPr>
          <w:rFonts w:ascii="Times New Roman" w:hAnsi="Times New Roman" w:cs="Times New Roman"/>
          <w:sz w:val="24"/>
          <w:szCs w:val="24"/>
        </w:rPr>
        <w:t xml:space="preserve">criminal offences related to it </w:t>
      </w:r>
      <w:r>
        <w:rPr>
          <w:rFonts w:ascii="Times New Roman" w:eastAsia="Arial Unicode MS" w:hAnsi="Times New Roman" w:cs="Times New Roman"/>
          <w:sz w:val="24"/>
          <w:szCs w:val="24"/>
          <w:lang w:bidi="en-US"/>
        </w:rPr>
        <w:t>ose financim të terrorizmit.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information generated through the use of artificial intelligence, machine learning technologies or algorithms may be exchanged only when these processes have been subject to appropriate human oversight;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 before the processing of any personal data within the framework of information-sharing partnerships, a data protection impact assessment is carried out, in accordance with the legislation in force on the protection of personal data;</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competent authorities participating in information-sharing partnerships ensure, make available and exchange information only to the extent that this is necessary for the fulfilment of their legal duties and competences, in accordance with the legislation in force;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j) when the competent authorities referred to in Article 85, point 1, letter "c" participate in an information-sharing partnership, they receive, provide or exchange personal data and operational information only in accordance with the legislation on the protection of personal data and with the applicable provisions of national criminal procedural legislation, including prior judicial authorisation or any other national procedural protection measure as necessary;</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k) the exchange of information on suspicious transactions pursuant to point 3, letter "g" of this article shall be carried out only when the responsible authority, to which the suspicious transaction report has been submitted pursuant to Articles 132 or 133, has agreed to its disclosure.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Information obtained within the framework of an information-sharing partnership shall not be transmitted further, except in cases where: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information is given to another obliged entity in accordance with Article 129, point 1, of this law;</w:t>
      </w:r>
    </w:p>
    <w:p w:rsidR="009510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information must be included in a report submitted to the responsible authority or be provided in response to a request of the responsible authority pursuant to Article 132, point 1 and 2 of this law;</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when the information is made available to AMLA in accordance with the regulatory framework of the European Union;</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the information received within the framework of information-sharing partnerships may be made available to law enforcement officials or judicial authorities only upon their request and in accordance with the criminal procedural legislation in force, subject, where required, to prior authorisations or other procedural safeguards provided for by the legislation in force.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6. Obliged entities participating in information-sharing partnerships establish policies and procedures for the exchange of information,  within the framework of their internal policies  and procedures approved in accordance with Article 91 of this law. </w:t>
      </w:r>
      <w:r>
        <w:rPr>
          <w:rFonts w:ascii="Times New Roman" w:hAnsi="Times New Roman" w:cs="Times New Roman"/>
          <w:sz w:val="24"/>
          <w:szCs w:val="24"/>
        </w:rPr>
        <w:t xml:space="preserve">These policies and procedures must: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specify the assessment carried out to determine the type, scope and level of information that may be exchanged within the framework of the partnership, and provide, where necessary in view of the nature of the information or the applicable procedural protection measures, differentiated or restricted access to information for the members of the partnership;</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clearly define the roles, responsibilities and obligations of the participants in the information-sharing partnership, including responsibility for the processing, use, storage and transmission of information;</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identify the risk assessments, including the national risk assessment and the internal risk assessments of the obliged entity, that are taken into consideration to determine the higher-risk situations in which the exchange of information is permitted.</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internal policies and procedures for the exchange of information are drafted and approved before the obliged entity participates in an information-sharing partnership.</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7. When the supervisory authorities deem it necessary, obliged entities participating in an information-sharing partnership </w:t>
      </w:r>
      <w:r>
        <w:rPr>
          <w:rFonts w:ascii="Times New Roman" w:hAnsi="Times New Roman" w:cs="Times New Roman"/>
          <w:sz w:val="24"/>
          <w:szCs w:val="24"/>
        </w:rPr>
        <w:t>ensure the carrying out of an independent audit</w:t>
      </w:r>
      <w:r>
        <w:t xml:space="preserve"> </w:t>
      </w:r>
      <w:r>
        <w:rPr>
          <w:rFonts w:ascii="Times New Roman" w:eastAsia="Arial Unicode MS" w:hAnsi="Times New Roman" w:cs="Times New Roman"/>
          <w:sz w:val="24"/>
          <w:szCs w:val="24"/>
          <w:lang w:bidi="en-US"/>
        </w:rPr>
        <w:t>on the functioning of this partnership and exchange the results with the supervisory authorities.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55060"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VI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DATA PROTECTION AND DATA RETENTION</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139</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2" w:name="bookmark44"/>
      <w:r>
        <w:rPr>
          <w:rFonts w:ascii="Times New Roman" w:eastAsia="Arial Unicode MS" w:hAnsi="Times New Roman" w:cs="Times New Roman"/>
          <w:b/>
          <w:bCs/>
          <w:sz w:val="24"/>
          <w:szCs w:val="24"/>
          <w:lang w:bidi="en-US"/>
        </w:rPr>
        <w:t>Processing of personal data</w:t>
      </w:r>
      <w:bookmarkEnd w:id="22"/>
    </w:p>
    <w:p w:rsidR="00E12112" w:rsidRPr="007647A8" w:rsidRDefault="00E12112" w:rsidP="002A39C9">
      <w:pPr>
        <w:widowControl w:val="0"/>
        <w:spacing w:after="0"/>
        <w:ind w:left="0" w:firstLine="0"/>
        <w:rPr>
          <w:rFonts w:ascii="Times New Roman" w:eastAsia="Arial Unicode MS" w:hAnsi="Times New Roman" w:cs="Times New Roman"/>
          <w:sz w:val="24"/>
          <w:szCs w:val="24"/>
          <w:lang w:bidi="en-US"/>
        </w:rPr>
      </w:pP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The processing of personal data in implementation of this law is carried out in accordance with the legislation in force on the protection of personal data.</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as long as it is strictly necessary for the purposes of the prevention of money laundering and terrorist financing, obliged entities may also process special categories of personal data, as well as personal data relating to criminal convictions and criminal offences, in accordance with the legislation in force on the protection of personal data and</w:t>
      </w:r>
      <w:r>
        <w:rPr>
          <w:rFonts w:ascii="Times New Roman" w:hAnsi="Times New Roman" w:cs="Times New Roman"/>
          <w:sz w:val="24"/>
          <w:szCs w:val="24"/>
        </w:rPr>
        <w:t xml:space="preserve"> being subject to the conditions and protection measures set out in points 2 and 3 of this Article</w:t>
      </w:r>
      <w:r>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In cases where, in implementation of this law, obliged entities process special categories of personal data, they are obliged to:</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to inform their clients or prospective clients that these categories of data may be processed for the purposes of fulfilling the requirements of the </w:t>
      </w:r>
      <w:r>
        <w:rPr>
          <w:rFonts w:ascii="Times New Roman" w:hAnsi="Times New Roman"/>
          <w:sz w:val="24"/>
          <w:szCs w:val="24"/>
        </w:rPr>
        <w:t>this law</w:t>
      </w:r>
      <w:r>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data originate from reliable sources and be accurate and up to date;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not to take decisions that may lead to biased and discriminatory results on the basis of these data;</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apply measures of a high level of security for the protection of personal data, especially for guaranteeing their confidentiality, in accordance with the legislation in force on the protection of personal data.</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In cases where, in implementation of this law, the subjects process personal data relating to criminal convictions or criminal offences, this processing is permitted only in cases where: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these personal data are related to money laundering </w:t>
      </w:r>
      <w:r>
        <w:rPr>
          <w:rFonts w:ascii="Times New Roman" w:hAnsi="Times New Roman" w:cs="Times New Roman"/>
          <w:sz w:val="24"/>
          <w:szCs w:val="24"/>
        </w:rPr>
        <w:t xml:space="preserve">and criminal offences related to it </w:t>
      </w:r>
      <w:r>
        <w:rPr>
          <w:rFonts w:ascii="Times New Roman" w:eastAsia="Arial Unicode MS" w:hAnsi="Times New Roman" w:cs="Times New Roman"/>
          <w:sz w:val="24"/>
          <w:szCs w:val="24"/>
          <w:lang w:bidi="en-US"/>
        </w:rPr>
        <w:t>or terrorist financing;</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obliged entities are obliged to adopt special procedures that guarantee, during the processing of these data, the clear distinction between claims, investigations, proceedings and convictions, while respecting the right to a fair trial, the right of defence and the presumption of innocence.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Personal data processed by obliged entities in implementation of this law shall be processed only for the purposes of the prevention of money laundering, terrorist financing or the financing of the proliferation of weapons of mass destruction and shall not be further processed in a manner that is contrary to these purposes.</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processing or use of personal data collected in implementation of this law for commercial purposes or for any other purpose incompatible with the purposes of the prevention of money laundering, terrorist financing or the financing of the proliferation of weapons of mass destruction is prohibited.</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Obliged entities may take decisions on the basis of automated processes, including profiling, or processes involving artificial intelligence systems, provided that: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data processed by such systems are limited to the data obtained in accordance with Chapter III of Part II of this law;</w:t>
      </w:r>
    </w:p>
    <w:p w:rsidR="00377BA3" w:rsidRDefault="00E12112" w:rsidP="00130825">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any decision to enter into or refuse to enter into or maintain a business relationship with a client or to carry out or refuse to carry out an occasional transaction for a client, or to increase or reduce the degree of customer due diligence measures, is subject to human intervention to ensure the accuracy and appropriateness of such a decision; and</w:t>
      </w:r>
    </w:p>
    <w:p w:rsidR="00666E8A" w:rsidRPr="007647A8" w:rsidRDefault="00666E8A" w:rsidP="00130825">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w:t>
      </w:r>
      <w:r>
        <w:rPr>
          <w:rFonts w:ascii="Times New Roman" w:hAnsi="Times New Roman" w:cs="Times New Roman"/>
          <w:sz w:val="24"/>
          <w:szCs w:val="24"/>
        </w:rPr>
        <w:t xml:space="preserve">the client has the right to receive an explanation for the decision taken and to challenge that decision, </w:t>
      </w:r>
      <w:r>
        <w:rPr>
          <w:rFonts w:ascii="Times New Roman" w:eastAsia="Arial Unicode MS" w:hAnsi="Times New Roman" w:cs="Times New Roman"/>
          <w:sz w:val="24"/>
          <w:szCs w:val="24"/>
          <w:lang w:bidi="en-US"/>
        </w:rPr>
        <w:t>except for cases related to the reporting of suspicious transactions under this law.</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w:t>
      </w:r>
      <w:r>
        <w:rPr>
          <w:rFonts w:ascii="Times New Roman" w:eastAsia="Arial Unicode MS" w:hAnsi="Times New Roman" w:cs="Times New Roman"/>
          <w:sz w:val="24"/>
          <w:szCs w:val="24"/>
          <w:lang w:bidi="en-US"/>
        </w:rPr>
        <w:t xml:space="preserve"> 140</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Storage of data</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Obliged entities keep the following documents and information:</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a copy of the documents and information obtained during the conduct of customer due diligence in accordance with Chapter III of Part II of this law, including information obtained by means of electronic identification means;</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data of the assessment carried out according to Article 132, point 4, including the information and circumstances reviewed and the results of this assessment, regardless of whether or not this assessment results in a suspicious transaction report to the responsible authority, as well as a copy of the suspicious transaction report, if there is such a report;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supporting evidence and transaction data, consisting of original documents or copies admissible in judicial proceedings under the legislation in force, which are necessary to identify the transactions;</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when they participate in partnerships for information exchange under Chapter V, of Part II of this law, copies of the documents and information received within the framework of these partnerships and data on all cases of information exchange.</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Obliged entities must ensure that the documents, information and data held in accordance with this Article </w:t>
      </w:r>
      <w:r>
        <w:rPr>
          <w:rFonts w:ascii="Times New Roman" w:hAnsi="Times New Roman" w:cs="Times New Roman"/>
          <w:sz w:val="24"/>
          <w:szCs w:val="24"/>
        </w:rPr>
        <w:t>are not altered</w:t>
      </w:r>
      <w:r>
        <w:rPr>
          <w:rFonts w:ascii="Times New Roman" w:eastAsia="Arial Unicode MS" w:hAnsi="Times New Roman" w:cs="Times New Roman"/>
          <w:sz w:val="24"/>
          <w:szCs w:val="24"/>
          <w:lang w:bidi="en-US"/>
        </w:rPr>
        <w: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By way of exception to the provisions of point 1 of this article, obliged entities may decide to replace the retention of copies of the information with the retention of references to this information, provided that the nature and manner of retention of this information ensure that obliged entities can provide the information immediately to the competent authorities and that the information cannot be modified or altered.</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Obliged entities that use the exception referred to in this point must define in their internal procedures drafted in accordance with Article 91 of this law, the categories of information for which they will keep a reference instead of a copy or </w:t>
      </w:r>
      <w:r>
        <w:rPr>
          <w:rFonts w:ascii="Times New Roman" w:hAnsi="Times New Roman" w:cs="Times New Roman"/>
          <w:sz w:val="24"/>
          <w:szCs w:val="24"/>
        </w:rPr>
        <w:t xml:space="preserve">document </w:t>
      </w:r>
      <w:r>
        <w:rPr>
          <w:rFonts w:ascii="Times New Roman" w:eastAsia="Arial Unicode MS" w:hAnsi="Times New Roman" w:cs="Times New Roman"/>
          <w:sz w:val="24"/>
          <w:szCs w:val="24"/>
          <w:lang w:bidi="en-US"/>
        </w:rPr>
        <w:t>the original, as well as the procedures for obtaining the information so that it may be provided to the competent authorities upon request.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information referred to in points 1 and 2 shall be kept for a period of 5 years starting from the date of termination of the business relationship or from the date of carrying out the occasional transaction, or from the date of refusal to enter into a business relationship or to carry out an occasional transaction. Without prejudice to the data retention periods determined by other legislation in force for the protection of personal data, obliged entities must erase personal data after the expiry of the 5-year period.</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competent authorities may request the further retention of the information referred to in this point on a case-by-case basis, provided that such retention is necessary for the prevention, detection, investigation or prosecutions of offences of money laundering or terrorist financing. This further retention period shall not exceed five years.</w:t>
      </w:r>
    </w:p>
    <w:p w:rsidR="003229F6" w:rsidRPr="007647A8" w:rsidRDefault="0030625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In cases where, on 10 July 2027, investigative or judicial proceedings are being conducted in the Republic of Albania that relate to the prevention, detection, investigation or prosecutions of offences for money laundering or terrorist financing, and an obliged entity possesses or holds information or documents related to these ongoing proceedings, the obliged entity may retain this information or documents for a period of 5 years from the date of 10 July 2027.</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By decision of the competent authorities, without prejudice to the provisions of the criminal legislation in force, the retention of the information or documents referred to in the above paragraph of this point, may be permitted or required for an additional period of up to 5 years, where the need and proportionality of this retention have been assessed as necessary for the prevention, detection, investigation or prosecutions of offences of suspicions of money laundering or terrorist financing.</w:t>
      </w: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141</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3" w:name="bookmark47"/>
      <w:r>
        <w:rPr>
          <w:rFonts w:ascii="Times New Roman" w:eastAsia="Arial Unicode MS" w:hAnsi="Times New Roman" w:cs="Times New Roman"/>
          <w:b/>
          <w:bCs/>
          <w:sz w:val="24"/>
          <w:szCs w:val="24"/>
          <w:lang w:bidi="en-US"/>
        </w:rPr>
        <w:t>Providing data to the competent authorities</w:t>
      </w:r>
      <w:bookmarkEnd w:id="23"/>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7F760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Obliged entities must have appropriate systems and mechanisms that enable them to respond fully and promptly to requests for information from </w:t>
      </w:r>
      <w:r>
        <w:rPr>
          <w:rFonts w:ascii="Times New Roman" w:hAnsi="Times New Roman" w:cs="Times New Roman"/>
          <w:sz w:val="24"/>
          <w:szCs w:val="24"/>
        </w:rPr>
        <w:t xml:space="preserve">The Intelligence Agency </w:t>
      </w:r>
      <w:r>
        <w:rPr>
          <w:rFonts w:ascii="Times New Roman" w:eastAsia="Arial Unicode MS" w:hAnsi="Times New Roman" w:cs="Times New Roman"/>
          <w:sz w:val="24"/>
          <w:szCs w:val="24"/>
          <w:lang w:bidi="en-US"/>
        </w:rPr>
        <w:t xml:space="preserve">Financial or by the other competent authorities, in accordance with the legislation in force, if </w:t>
      </w:r>
      <w:r>
        <w:rPr>
          <w:rFonts w:ascii="Times New Roman" w:hAnsi="Times New Roman" w:cs="Times New Roman"/>
          <w:sz w:val="24"/>
          <w:szCs w:val="24"/>
        </w:rPr>
        <w:t>maintain or have maintained</w:t>
      </w:r>
      <w:r>
        <w:rPr>
          <w:rFonts w:ascii="Times New Roman" w:eastAsia="Arial Unicode MS" w:hAnsi="Times New Roman" w:cs="Times New Roman"/>
          <w:sz w:val="24"/>
          <w:szCs w:val="24"/>
          <w:lang w:bidi="en-US"/>
        </w:rPr>
        <w:t>, during a 5-year period prior to the request, a business relationship with certain persons, as well as on the nature of this relationship.</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These replies are provided through secure channels and in a manner that guarantees the full confidentiality of the requests and of the information exchanged.</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left"/>
        <w:rPr>
          <w:rFonts w:ascii="Times New Roman" w:eastAsia="Arial Unicode MS" w:hAnsi="Times New Roman" w:cs="Times New Roman"/>
          <w:sz w:val="24"/>
          <w:szCs w:val="24"/>
          <w:lang w:bidi="en-US"/>
        </w:rPr>
      </w:pPr>
    </w:p>
    <w:p w:rsidR="00666E8A" w:rsidRPr="007647A8" w:rsidRDefault="00A12A59"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VII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MEASURES FOR MITIGATING THE RISKS ARISING FROM ANONYMOUS INSTRUMENTS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142</w:t>
      </w:r>
    </w:p>
    <w:p w:rsidR="00666E8A" w:rsidRPr="007647A8" w:rsidRDefault="00514E8A"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Anonymous accounts, bearer shares and bearer share warrants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DD4B0F" w:rsidRPr="007647A8" w:rsidRDefault="00B862E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Credit institutions, financial institutions and crypto-asset service providers </w:t>
      </w:r>
      <w:r>
        <w:rPr>
          <w:rFonts w:ascii="Times New Roman" w:eastAsia="EUAlbertina" w:hAnsi="Times New Roman" w:cs="Times New Roman"/>
          <w:sz w:val="24"/>
          <w:szCs w:val="24"/>
        </w:rPr>
        <w:t>are prohibited from maintaining anonymous bank accounts and payment accounts, anonymous passbooks, anonymous safe deposit boxes or anonymous crypto-asset accounts, as well as any account that in any other way allows the anonymisation of the holder of the client's account or the anonymisation or increase of the difficulty in tracing transactions or their concealment, including through crypto-assets with features that enhance anonymity (</w:t>
      </w:r>
      <w:r>
        <w:rPr>
          <w:rFonts w:ascii="Times New Roman" w:eastAsia="EUAlbertina" w:hAnsi="Times New Roman" w:cs="Times New Roman"/>
          <w:i/>
          <w:sz w:val="24"/>
          <w:szCs w:val="24"/>
        </w:rPr>
        <w:t>anonymity-enhancing coins)</w:t>
      </w:r>
      <w:r>
        <w:rPr>
          <w:rFonts w:ascii="Times New Roman" w:eastAsia="EUAlbertina" w:hAnsi="Times New Roman" w:cs="Times New Roman"/>
          <w:sz w:val="24"/>
          <w:szCs w:val="24"/>
        </w:rPr>
        <w: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The owners and beneficiaries of existing anonymous bank or payment accounts, anonymous passbooks, anonymous safe deposit boxes </w:t>
      </w:r>
      <w:r>
        <w:rPr>
          <w:rFonts w:ascii="Times New Roman" w:eastAsia="EUAlbertina" w:hAnsi="Times New Roman" w:cs="Times New Roman"/>
          <w:sz w:val="24"/>
          <w:szCs w:val="24"/>
        </w:rPr>
        <w:t>of safe deposit boxes held by the</w:t>
      </w:r>
      <w:r>
        <w:rPr>
          <w:rFonts w:ascii="Times New Roman" w:eastAsia="Arial Unicode MS" w:hAnsi="Times New Roman" w:cs="Times New Roman"/>
          <w:sz w:val="24"/>
          <w:szCs w:val="24"/>
          <w:lang w:bidi="en-US"/>
        </w:rPr>
        <w:t>credit institutions or financial institutions, or crypto-asset accounts, must be subject to customer due diligence measures before these accounts, passbooks or safe deposit boxes are used in any way.</w:t>
      </w:r>
    </w:p>
    <w:p w:rsidR="00E226A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Credit institutions and financial institutions acting as payment acquirers (</w:t>
      </w:r>
      <w:r>
        <w:rPr>
          <w:rFonts w:ascii="Times New Roman" w:eastAsia="Arial Unicode MS" w:hAnsi="Times New Roman" w:cs="Times New Roman"/>
          <w:i/>
          <w:sz w:val="24"/>
          <w:szCs w:val="24"/>
          <w:lang w:bidi="en-US"/>
        </w:rPr>
        <w:t>acquirer)</w:t>
      </w:r>
      <w:r>
        <w:rPr>
          <w:rFonts w:ascii="Times New Roman" w:eastAsia="Arial Unicode MS" w:hAnsi="Times New Roman" w:cs="Times New Roman"/>
          <w:sz w:val="24"/>
          <w:szCs w:val="24"/>
          <w:lang w:bidi="en-US"/>
        </w:rPr>
        <w:t xml:space="preserve"> according to the legislation in force, do not accept payments made with anonymous prepaid cards issued in third countries, except </w:t>
      </w:r>
      <w:r>
        <w:rPr>
          <w:rFonts w:ascii="Times New Roman" w:eastAsia="EUAlbertina" w:hAnsi="Times New Roman" w:cs="Times New Roman"/>
          <w:sz w:val="24"/>
          <w:szCs w:val="24"/>
        </w:rPr>
        <w:t>if otherwise provided in the regulatory technical standards adopted in accordance with Article 110 of this law, when a low level of risk has been proven.</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Commercial companies are prohibited from issuing bearer shares and are obliged to convert all existing bearer shares into registered shares, to immobilise them in accordance with the legislation in force on capital markets or to deposit them with a financial institution by 10 July 2029.</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Companies with securities listed on a regulated market, or the shares of which are issued in intermediated form either through immobilisation or in dematerialised form in accordance with the legislation in force, shall be permitted to issue new shares and maintain existing bearer shares.</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For the holder's existing shares that have not been converted, immobilised or deposited by 10 July 2029, all voting rights and rights to benefit from the distribution of dividends shall be suspended automatically until these requirements are fulfilled. All such shares that have not been converted, immobilised or deposited by 10 July 2030 shall be cancelled, resulting in the corresponding reduction of the share capital.</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Companies are prohibited from issuing bearer shares that are not in intermediated form.</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bookmarkStart w:id="24" w:name="bookmark48"/>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 xml:space="preserve">Article </w:t>
      </w:r>
      <w:bookmarkEnd w:id="24"/>
      <w:r>
        <w:rPr>
          <w:rFonts w:ascii="Times New Roman" w:eastAsia="Arial Unicode MS" w:hAnsi="Times New Roman" w:cs="Times New Roman"/>
          <w:iCs/>
          <w:sz w:val="24"/>
          <w:szCs w:val="24"/>
          <w:lang w:bidi="en-US"/>
        </w:rPr>
        <w:t>143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Limits on large payments in cash for goods or services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Persons trading goods or providing services may accept or make a payment in cash only up to </w:t>
      </w:r>
      <w:r>
        <w:rPr>
          <w:rFonts w:ascii="Times New Roman" w:hAnsi="Times New Roman" w:cs="Times New Roman"/>
          <w:sz w:val="24"/>
          <w:szCs w:val="24"/>
        </w:rPr>
        <w:t>at a value that does not exceed 1 000 000 (one million) lek or the equivalent in foreign currencies</w:t>
      </w:r>
      <w:r>
        <w:rPr>
          <w:rFonts w:ascii="Times New Roman" w:eastAsia="Arial Unicode MS" w:hAnsi="Times New Roman" w:cs="Times New Roman"/>
          <w:sz w:val="24"/>
          <w:szCs w:val="24"/>
          <w:lang w:bidi="en-US"/>
        </w:rPr>
        <w:t>, regardless of whether the payment is made in a single transaction or in several transactions that turn out to be linked to each other.</w:t>
      </w:r>
    </w:p>
    <w:p w:rsidR="00D90F0C" w:rsidRPr="007647A8" w:rsidRDefault="00666E8A"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2. By law, lower thresholds may be defined than those provided for in point 1 of this Article.</w:t>
      </w:r>
    </w:p>
    <w:p w:rsidR="00055CBB" w:rsidRPr="007647A8" w:rsidRDefault="00055CBB" w:rsidP="002A39C9">
      <w:pPr>
        <w:widowControl w:val="0"/>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Where restrictions already exist at national level which are below the threshold laid down in point 1 of this Article, they shall continue to apply. </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The limit referred to in point 1 of this Article shall not apply to:</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payments between natural persons, who do not act within the framework of a professional activity;</w:t>
      </w:r>
    </w:p>
    <w:p w:rsidR="003229F6" w:rsidRPr="007647A8" w:rsidRDefault="0035389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payments or deposits in cash carried out at credit institutions, electronic money issuers and payment service providers.</w:t>
      </w:r>
    </w:p>
    <w:p w:rsidR="003229F6" w:rsidRPr="007647A8" w:rsidRDefault="0035389E"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Payments or deposits in cash, specified in point 3, letter “b” of this article, must be reported to the responsible authority in accordance with Article 22 of this law.</w:t>
      </w:r>
    </w:p>
    <w:p w:rsidR="003229F6" w:rsidRPr="007647A8" w:rsidRDefault="007D4F3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The acceptance or execution of payments, contrary to the limit provided for in point 1 of this article, by natural or legal persons acting within the framework of a professional activity constitutes an administrative contravention and is punishable by a fine pursuant to Article 65 of this law.</w:t>
      </w:r>
    </w:p>
    <w:p w:rsidR="003229F6" w:rsidRPr="007647A8" w:rsidRDefault="007D4F3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6. When, due to force majeure, the means of payment using funds, according to the legislation in force on payment service, other than banknotes and coins, become unavailable at national level, the application of the restrictions provided for in point 1 of this article may be temporarily suspended by law.</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The suspension applies only for as long as the circumstances of force majeure continue and ends immediately as soon as these circumstances cease to exist.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bookmarkStart w:id="25" w:name="bookmark49"/>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A12A59"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CHAPTER VIII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Pr>
          <w:rFonts w:ascii="Times New Roman" w:eastAsia="Arial Unicode MS" w:hAnsi="Times New Roman" w:cs="Times New Roman"/>
          <w:b/>
          <w:bCs/>
          <w:sz w:val="24"/>
          <w:szCs w:val="24"/>
          <w:lang w:bidi="en-US"/>
        </w:rPr>
        <w:t>FINAL PROVISIONS</w:t>
      </w:r>
      <w:bookmarkEnd w:id="25"/>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Cooperation between</w:t>
      </w:r>
      <w:r>
        <w:rPr>
          <w:rFonts w:ascii="Times New Roman" w:eastAsia="Arial Unicode MS" w:hAnsi="Times New Roman" w:cs="Times New Roman"/>
          <w:b/>
          <w:bCs/>
          <w:sz w:val="24"/>
          <w:szCs w:val="24"/>
          <w:lang w:bidi="en-US"/>
        </w:rPr>
        <w:t xml:space="preserve"> </w:t>
      </w:r>
      <w:r>
        <w:rPr>
          <w:rFonts w:ascii="Times New Roman" w:eastAsia="Arial Unicode MS" w:hAnsi="Times New Roman" w:cs="Times New Roman"/>
          <w:iCs/>
          <w:sz w:val="24"/>
          <w:szCs w:val="24"/>
          <w:lang w:bidi="en-US"/>
        </w:rPr>
        <w:t>the financial intelligence unit and EPPO</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6" w:name="bookmark50"/>
      <w:r>
        <w:rPr>
          <w:rFonts w:ascii="Times New Roman" w:eastAsia="Arial Unicode MS" w:hAnsi="Times New Roman" w:cs="Times New Roman"/>
          <w:b/>
          <w:bCs/>
          <w:sz w:val="24"/>
          <w:szCs w:val="24"/>
          <w:lang w:bidi="en-US"/>
        </w:rPr>
        <w:t>Cooperation between the responsible authority and EPP</w:t>
      </w:r>
      <w:bookmarkEnd w:id="26"/>
      <w:r>
        <w:rPr>
          <w:rFonts w:ascii="Times New Roman" w:eastAsia="Arial Unicode MS" w:hAnsi="Times New Roman" w:cs="Times New Roman"/>
          <w:b/>
          <w:bCs/>
          <w:sz w:val="24"/>
          <w:szCs w:val="24"/>
          <w:lang w:bidi="en-US"/>
        </w:rPr>
        <w:t>O</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3229F6" w:rsidRPr="007647A8" w:rsidRDefault="002666F8" w:rsidP="002A39C9">
      <w:pPr>
        <w:widowControl w:val="0"/>
        <w:spacing w:after="0"/>
        <w:ind w:left="0" w:firstLine="720"/>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1. The Financial Intelligence Agency shall report, without delay, to the European Public Prosecutor's Office (EPPO) the results of its analyses and any relevant additional information when there are reasonable grounds to suspect that money laundering or other criminal activities have been committed or are being committed, for which EPPO may exercise its competences, in accordance with the relevant acts of the European Union.</w:t>
      </w:r>
    </w:p>
    <w:p w:rsidR="003229F6" w:rsidRPr="007647A8" w:rsidRDefault="00411A71" w:rsidP="002A39C9">
      <w:pPr>
        <w:widowControl w:val="0"/>
        <w:spacing w:after="0"/>
        <w:ind w:left="0" w:firstLine="720"/>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2. The Financial Intelligence Agency shall respond in a timely manner to EPPO's requests for information regarding money laundering and other criminal activities, in accordance with the provisions of point 1 of this article.</w:t>
      </w:r>
    </w:p>
    <w:p w:rsidR="003229F6" w:rsidRPr="007647A8" w:rsidRDefault="00C25093" w:rsidP="002A39C9">
      <w:pPr>
        <w:widowControl w:val="0"/>
        <w:spacing w:after="0"/>
        <w:ind w:left="0" w:firstLine="720"/>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 xml:space="preserve">3. The Financial Intelligence Agency and EPPO may exchange the results of strategic analyses, including typologies and risk indicators, when these analyses relate to money laundering and other criminal activities, according to the provisions of point 1 of this article.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7" w:name="bookmark51"/>
      <w:r>
        <w:rPr>
          <w:rFonts w:ascii="Times New Roman" w:eastAsia="Arial Unicode MS" w:hAnsi="Times New Roman" w:cs="Times New Roman"/>
          <w:b/>
          <w:bCs/>
          <w:sz w:val="24"/>
          <w:szCs w:val="24"/>
          <w:lang w:bidi="en-US"/>
        </w:rPr>
        <w:t>Requests for information addressed to the EPPO</w:t>
      </w:r>
      <w:bookmarkEnd w:id="27"/>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66E8A" w:rsidRPr="007647A8" w:rsidRDefault="00582C2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EPPO responds without delay to reasoned requests for information </w:t>
      </w:r>
      <w:r>
        <w:rPr>
          <w:rFonts w:ascii="Times New Roman" w:hAnsi="Times New Roman" w:cs="Times New Roman"/>
          <w:sz w:val="24"/>
          <w:szCs w:val="24"/>
        </w:rPr>
        <w:t>of the Financial Intelligence Agency</w:t>
      </w:r>
      <w:r>
        <w:rPr>
          <w:rFonts w:ascii="Times New Roman" w:eastAsia="Arial Unicode MS" w:hAnsi="Times New Roman" w:cs="Times New Roman"/>
          <w:sz w:val="24"/>
          <w:szCs w:val="24"/>
          <w:lang w:bidi="en-US"/>
        </w:rPr>
        <w:t>, when this information is necessary for the exercise of its functions under Chapter II of Part I of this law.</w:t>
      </w:r>
    </w:p>
    <w:p w:rsidR="00666E8A" w:rsidRPr="007647A8" w:rsidRDefault="00582C2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The EPPO may postpone or refuse the provision of the information referred to in point 1 of this Article, where its provision may prejudice the proper conduct and confidentiality of an ongoing investigation. </w:t>
      </w:r>
    </w:p>
    <w:p w:rsidR="00666E8A" w:rsidRPr="007647A8" w:rsidRDefault="00FE57F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EPPO communicates in due time </w:t>
      </w:r>
      <w:r>
        <w:rPr>
          <w:rFonts w:ascii="Times New Roman" w:hAnsi="Times New Roman" w:cs="Times New Roman"/>
          <w:sz w:val="24"/>
          <w:szCs w:val="24"/>
        </w:rPr>
        <w:t xml:space="preserve">Financial Intelligence Agency </w:t>
      </w:r>
      <w:r>
        <w:rPr>
          <w:rFonts w:ascii="Times New Roman" w:eastAsia="Arial Unicode MS" w:hAnsi="Times New Roman" w:cs="Times New Roman"/>
          <w:sz w:val="24"/>
          <w:szCs w:val="24"/>
          <w:lang w:bidi="en-US"/>
        </w:rPr>
        <w:t>the postponement or refusal to provide the requested information, including the relevant reasons.</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hAnsi="Times New Roman" w:cs="Times New Roman"/>
          <w:sz w:val="24"/>
          <w:szCs w:val="24"/>
        </w:rPr>
        <w:t>Section</w:t>
      </w:r>
      <w:r>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Cooperation between the responsible authority and OLAF</w:t>
      </w:r>
    </w:p>
    <w:p w:rsidR="00666E8A" w:rsidRPr="007647A8" w:rsidRDefault="00666E8A" w:rsidP="002A39C9">
      <w:pPr>
        <w:widowControl w:val="0"/>
        <w:spacing w:after="0"/>
        <w:ind w:left="0" w:firstLine="0"/>
        <w:jc w:val="center"/>
        <w:rPr>
          <w:rFonts w:ascii="Times New Roman" w:eastAsia="Arial Unicode MS" w:hAnsi="Times New Roman" w:cs="Times New Roman"/>
          <w:b/>
          <w:sz w:val="24"/>
          <w:szCs w:val="24"/>
          <w:lang w:bidi="en-US"/>
        </w:rPr>
      </w:pPr>
    </w:p>
    <w:p w:rsidR="00666E8A" w:rsidRPr="007647A8" w:rsidRDefault="00D85C8F"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146</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8" w:name="bookmark52"/>
      <w:r>
        <w:rPr>
          <w:rFonts w:ascii="Times New Roman" w:eastAsia="Arial Unicode MS" w:hAnsi="Times New Roman" w:cs="Times New Roman"/>
          <w:b/>
          <w:bCs/>
          <w:sz w:val="24"/>
          <w:szCs w:val="24"/>
          <w:lang w:bidi="en-US"/>
        </w:rPr>
        <w:t>Cooperation between the responsible authority and OLAF</w:t>
      </w:r>
      <w:bookmarkEnd w:id="2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550A61"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r>
        <w:rPr>
          <w:rFonts w:ascii="Times New Roman" w:eastAsia="Arial Unicode MS" w:hAnsi="Times New Roman" w:cs="Times New Roman"/>
          <w:iCs/>
          <w:sz w:val="24"/>
          <w:szCs w:val="24"/>
          <w:lang w:bidi="en-US"/>
        </w:rPr>
        <w:t xml:space="preserve">1. Financial Intelligence Agency </w:t>
      </w:r>
      <w:r>
        <w:rPr>
          <w:rFonts w:ascii="Times New Roman" w:eastAsia="Arial Unicode MS" w:hAnsi="Times New Roman" w:cs="Times New Roman"/>
          <w:sz w:val="24"/>
          <w:szCs w:val="24"/>
          <w:lang w:bidi="en-US"/>
        </w:rPr>
        <w:t xml:space="preserve">transmits, without delay, the results of its analyses and any relevant supplementary information to OLAF, when there are reasonable grounds to suspect that fraud, corruption or other illegal activities affecting the financial interests of the European Union have been or are being committed, for which OLAF </w:t>
      </w:r>
      <w:r>
        <w:rPr>
          <w:rFonts w:ascii="Times New Roman" w:eastAsia="Arial Unicode MS" w:hAnsi="Times New Roman" w:cs="Times New Roman"/>
          <w:iCs/>
          <w:sz w:val="24"/>
          <w:szCs w:val="24"/>
          <w:lang w:bidi="en-US"/>
        </w:rPr>
        <w:t>may exercise its competences, in accordance with the relevant acts of the European Union.</w:t>
      </w:r>
    </w:p>
    <w:p w:rsidR="003229F6" w:rsidRPr="007647A8" w:rsidRDefault="00550A6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w:t>
      </w:r>
      <w:r>
        <w:rPr>
          <w:rFonts w:ascii="Times New Roman" w:eastAsia="Arial Unicode MS" w:hAnsi="Times New Roman" w:cs="Times New Roman"/>
          <w:iCs/>
          <w:sz w:val="24"/>
          <w:szCs w:val="24"/>
          <w:lang w:bidi="en-US"/>
        </w:rPr>
        <w:t xml:space="preserve">Financial Intelligence Agency </w:t>
      </w:r>
      <w:r>
        <w:rPr>
          <w:rFonts w:ascii="Times New Roman" w:eastAsia="Arial Unicode MS" w:hAnsi="Times New Roman" w:cs="Times New Roman"/>
          <w:sz w:val="24"/>
          <w:szCs w:val="24"/>
          <w:lang w:bidi="en-US"/>
        </w:rPr>
        <w:t xml:space="preserve">responds in a timely manner to requests for information from OLAF regarding fraud, </w:t>
      </w:r>
      <w:r>
        <w:rPr>
          <w:rFonts w:ascii="Times New Roman" w:eastAsia="Arial Unicode MS" w:hAnsi="Times New Roman" w:cs="Times New Roman"/>
          <w:iCs/>
          <w:sz w:val="24"/>
          <w:szCs w:val="24"/>
          <w:lang w:bidi="en-US"/>
        </w:rPr>
        <w:t>corruption or any activity</w:t>
      </w:r>
      <w:r>
        <w:rPr>
          <w:rFonts w:ascii="Times New Roman" w:eastAsia="Arial Unicode MS" w:hAnsi="Times New Roman" w:cs="Times New Roman"/>
          <w:sz w:val="24"/>
          <w:szCs w:val="24"/>
          <w:lang w:bidi="en-US"/>
        </w:rPr>
        <w:t xml:space="preserve"> other illegal activity, according to the definitions of point 1 of this article. </w:t>
      </w:r>
    </w:p>
    <w:p w:rsidR="00666E8A" w:rsidRPr="007647A8" w:rsidRDefault="00633077"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w:t>
      </w:r>
      <w:r>
        <w:rPr>
          <w:rFonts w:ascii="Times New Roman" w:eastAsia="Arial Unicode MS" w:hAnsi="Times New Roman" w:cs="Times New Roman"/>
          <w:iCs/>
          <w:sz w:val="24"/>
          <w:szCs w:val="24"/>
          <w:lang w:bidi="en-US"/>
        </w:rPr>
        <w:t xml:space="preserve">Financial Intelligence Agency </w:t>
      </w:r>
      <w:r>
        <w:rPr>
          <w:rFonts w:ascii="Times New Roman" w:eastAsia="Arial Unicode MS" w:hAnsi="Times New Roman" w:cs="Times New Roman"/>
          <w:sz w:val="24"/>
          <w:szCs w:val="24"/>
          <w:lang w:bidi="en-US"/>
        </w:rPr>
        <w:t xml:space="preserve">and OLAF may exchange the results of strategic analyses, including typologies and risk indicators, when these analyses relate to fraud, corruption or other illegal activities, as defined in point 1 of this Article. </w:t>
      </w:r>
    </w:p>
    <w:p w:rsidR="003D6289" w:rsidRPr="007647A8" w:rsidRDefault="003D6289"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iCs/>
          <w:sz w:val="24"/>
          <w:szCs w:val="24"/>
          <w:lang w:bidi="en-US"/>
        </w:rPr>
        <w:t>Article 147</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29" w:name="bookmark53"/>
      <w:r>
        <w:rPr>
          <w:rFonts w:ascii="Times New Roman" w:eastAsia="Arial Unicode MS" w:hAnsi="Times New Roman" w:cs="Times New Roman"/>
          <w:b/>
          <w:bCs/>
          <w:sz w:val="24"/>
          <w:szCs w:val="24"/>
          <w:lang w:bidi="en-US"/>
        </w:rPr>
        <w:t>Requests for information addressed to OLAF</w:t>
      </w:r>
      <w:bookmarkEnd w:id="29"/>
      <w:r>
        <w:rPr>
          <w:rFonts w:ascii="Times New Roman" w:eastAsia="Arial Unicode MS" w:hAnsi="Times New Roman" w:cs="Times New Roman"/>
          <w:b/>
          <w:bCs/>
          <w:sz w:val="24"/>
          <w:szCs w:val="24"/>
          <w:lang w:bidi="en-US"/>
        </w:rPr>
        <w:t xml:space="preserve"> </w:t>
      </w:r>
    </w:p>
    <w:p w:rsidR="001E16FE" w:rsidRPr="007647A8" w:rsidRDefault="001E16FE"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BF0C9D"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OLAF responds to </w:t>
      </w:r>
      <w:r>
        <w:rPr>
          <w:rFonts w:ascii="Times New Roman" w:hAnsi="Times New Roman" w:cs="Times New Roman"/>
          <w:sz w:val="24"/>
          <w:szCs w:val="24"/>
        </w:rPr>
        <w:t xml:space="preserve">without delay </w:t>
      </w:r>
      <w:r>
        <w:rPr>
          <w:rFonts w:ascii="Times New Roman" w:eastAsia="Arial Unicode MS" w:hAnsi="Times New Roman" w:cs="Times New Roman"/>
          <w:sz w:val="24"/>
          <w:szCs w:val="24"/>
          <w:lang w:bidi="en-US"/>
        </w:rPr>
        <w:t xml:space="preserve">reasoned requests for information from </w:t>
      </w:r>
      <w:r>
        <w:rPr>
          <w:rFonts w:ascii="Times New Roman" w:eastAsia="Arial Unicode MS" w:hAnsi="Times New Roman" w:cs="Times New Roman"/>
          <w:iCs/>
          <w:sz w:val="24"/>
          <w:szCs w:val="24"/>
          <w:lang w:bidi="en-US"/>
        </w:rPr>
        <w:t>Financial Intelligence Agency</w:t>
      </w:r>
      <w:r>
        <w:rPr>
          <w:rFonts w:ascii="Times New Roman" w:eastAsia="Arial Unicode MS" w:hAnsi="Times New Roman" w:cs="Times New Roman"/>
          <w:sz w:val="24"/>
          <w:szCs w:val="24"/>
          <w:lang w:bidi="en-US"/>
        </w:rPr>
        <w:t>, when this information is necessary for the exercise of its functions under Chapter II of Part I of this law.</w:t>
      </w:r>
    </w:p>
    <w:p w:rsidR="006A670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OLAF may postpone or refuse the provision of the information referred to in point 1 of this Article, when its provision may adversely affect the proper conduct of an ongoing investigation.</w:t>
      </w:r>
    </w:p>
    <w:p w:rsidR="00666E8A" w:rsidRPr="007647A8" w:rsidRDefault="00FE57F4"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3. OLAF communicates </w:t>
      </w:r>
      <w:r>
        <w:rPr>
          <w:rFonts w:ascii="Times New Roman" w:hAnsi="Times New Roman" w:cs="Times New Roman"/>
          <w:sz w:val="24"/>
          <w:szCs w:val="24"/>
        </w:rPr>
        <w:t>Financial Intelligence Agency</w:t>
      </w:r>
      <w:r>
        <w:t xml:space="preserve"> </w:t>
      </w:r>
      <w:r>
        <w:rPr>
          <w:rFonts w:ascii="Times New Roman" w:eastAsia="Arial Unicode MS" w:hAnsi="Times New Roman" w:cs="Times New Roman"/>
          <w:sz w:val="24"/>
          <w:szCs w:val="24"/>
          <w:lang w:bidi="en-US"/>
        </w:rPr>
        <w:t>this postponement or refusal in due time, including the relevant reasons.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trike/>
          <w:sz w:val="24"/>
          <w:szCs w:val="24"/>
          <w:lang w:bidi="en-US"/>
        </w:rPr>
      </w:pPr>
    </w:p>
    <w:p w:rsidR="00703889" w:rsidRPr="007647A8" w:rsidRDefault="00703889" w:rsidP="002A39C9">
      <w:pPr>
        <w:widowControl w:val="0"/>
        <w:spacing w:after="0"/>
        <w:ind w:left="0" w:firstLine="567"/>
        <w:rPr>
          <w:rFonts w:ascii="Times New Roman" w:hAnsi="Times New Roman" w:cs="Times New Roman"/>
          <w:sz w:val="24"/>
          <w:szCs w:val="24"/>
        </w:rPr>
      </w:pPr>
    </w:p>
    <w:p w:rsidR="007457FB" w:rsidRPr="007647A8" w:rsidRDefault="007457FB" w:rsidP="002A39C9">
      <w:pPr>
        <w:widowControl w:val="0"/>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PART III</w:t>
      </w:r>
    </w:p>
    <w:p w:rsidR="007457FB" w:rsidRPr="007647A8" w:rsidRDefault="007457FB" w:rsidP="002A39C9">
      <w:pPr>
        <w:widowControl w:val="0"/>
        <w:spacing w:after="0"/>
        <w:ind w:firstLine="567"/>
        <w:rPr>
          <w:rFonts w:ascii="Times New Roman" w:eastAsia="Calibri" w:hAnsi="Times New Roman" w:cs="Times New Roman"/>
          <w:sz w:val="24"/>
          <w:szCs w:val="24"/>
        </w:rPr>
      </w:pPr>
    </w:p>
    <w:p w:rsidR="007457FB" w:rsidRPr="007647A8" w:rsidRDefault="006A6DEE" w:rsidP="002A39C9">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ON THE IMPLEMENTATION OF MEASURES FOR INFORMATION ACCOMPANYING TRANSFERS OF FUNDS AND CERTAIN CRYPTO-ASSETS</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I</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Subject matter, scope and definitions</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148</w:t>
      </w:r>
    </w:p>
    <w:p w:rsidR="007457FB" w:rsidRPr="007647A8" w:rsidRDefault="007457FB" w:rsidP="002A39C9">
      <w:pPr>
        <w:spacing w:after="0"/>
        <w:jc w:val="center"/>
        <w:outlineLvl w:val="0"/>
        <w:rPr>
          <w:rFonts w:ascii="Times New Roman" w:eastAsia="Calibri" w:hAnsi="Times New Roman" w:cs="Times New Roman"/>
          <w:sz w:val="24"/>
          <w:szCs w:val="24"/>
        </w:rPr>
      </w:pPr>
      <w:bookmarkStart w:id="30" w:name="bookmark0"/>
      <w:r>
        <w:rPr>
          <w:rFonts w:ascii="Times New Roman" w:eastAsia="Calibri" w:hAnsi="Times New Roman" w:cs="Times New Roman"/>
          <w:b/>
          <w:bCs/>
          <w:sz w:val="24"/>
          <w:szCs w:val="24"/>
        </w:rPr>
        <w:t>Subject matter</w:t>
      </w:r>
      <w:bookmarkEnd w:id="30"/>
    </w:p>
    <w:p w:rsidR="007457FB" w:rsidRPr="007647A8" w:rsidRDefault="007457FB" w:rsidP="002A39C9">
      <w:pPr>
        <w:spacing w:after="0"/>
        <w:rPr>
          <w:rFonts w:ascii="Times New Roman" w:eastAsia="Calibri" w:hAnsi="Times New Roman" w:cs="Times New Roman"/>
          <w:sz w:val="24"/>
          <w:szCs w:val="24"/>
        </w:rPr>
      </w:pPr>
      <w:bookmarkStart w:id="31" w:name="bookmark1"/>
      <w:bookmarkStart w:id="32" w:name="bookmark2"/>
    </w:p>
    <w:p w:rsidR="007457FB" w:rsidRPr="007647A8" w:rsidRDefault="00543FD3" w:rsidP="002A39C9">
      <w:pPr>
        <w:spacing w:after="0"/>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Part III of this law lays down the rules on: </w:t>
      </w:r>
    </w:p>
    <w:bookmarkEnd w:id="31"/>
    <w:bookmarkEnd w:id="32"/>
    <w:p w:rsidR="007457FB" w:rsidRPr="007647A8" w:rsidRDefault="007457FB" w:rsidP="002A39C9">
      <w:pPr>
        <w:tabs>
          <w:tab w:val="left" w:pos="0"/>
          <w:tab w:val="left" w:pos="450"/>
        </w:tabs>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a) the information on the payer and the payee accompanying transfers of funds, in any currency, as well as the information on the originator and the beneficiary accompanying transfers of crypto-assets, for the purpose of preventing, identifying and investigating money laundering and terrorist financing, where at least one of the payment service providers or crypto-asset service providers involved in the transfer of funds or transfer of crypto-assets is established or has its registered office in the territory of the Republic of Albania;</w:t>
      </w:r>
    </w:p>
    <w:p w:rsidR="007457FB" w:rsidRPr="007647A8" w:rsidRDefault="007457FB" w:rsidP="002A39C9">
      <w:pPr>
        <w:tabs>
          <w:tab w:val="left" w:pos="0"/>
        </w:tabs>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b) internal policies, procedures and controls to ensure the implementation of restrictive measures, where at least one of the payment service providers or crypto-asset service providers involved in the transfer of funds or transfer of crypto-assets is established or has its registered office in the territory of the Republic of Albania.</w:t>
      </w:r>
    </w:p>
    <w:p w:rsidR="007457FB" w:rsidRPr="007647A8" w:rsidRDefault="007457FB" w:rsidP="002A39C9">
      <w:pPr>
        <w:tabs>
          <w:tab w:val="left" w:pos="0"/>
        </w:tabs>
        <w:spacing w:after="0"/>
        <w:ind w:left="90" w:firstLine="72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149</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Scope of application</w:t>
      </w:r>
    </w:p>
    <w:p w:rsidR="00703889" w:rsidRPr="007647A8" w:rsidRDefault="00253B2E" w:rsidP="002A39C9">
      <w:pPr>
        <w:tabs>
          <w:tab w:val="left" w:pos="0"/>
        </w:tabs>
        <w:spacing w:after="0"/>
        <w:ind w:left="0" w:firstLine="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p>
    <w:p w:rsidR="007457FB" w:rsidRPr="007647A8" w:rsidRDefault="00703889" w:rsidP="002A39C9">
      <w:pPr>
        <w:tabs>
          <w:tab w:val="left" w:pos="0"/>
        </w:tabs>
        <w:spacing w:after="0"/>
        <w:ind w:left="0" w:firstLine="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r>
        <w:rPr>
          <w:rFonts w:ascii="Times New Roman" w:eastAsia="Calibri" w:hAnsi="Times New Roman" w:cs="Times New Roman"/>
          <w:sz w:val="24"/>
          <w:szCs w:val="24"/>
        </w:rPr>
        <w:t>1. Part III of this law applies to:</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transfers of funds, in any currency, which are sent or received by a payment service provider or by an intermediary payment service provider, established in the territory of the Republic of Albania;</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crypto-asset transfers, including transfers carried out through crypto-asset automated teller machines (crypto-ATMs), when the crypto-asset service provider or the intermediary crypto-asset service provider of the originator or of the beneficiary has its registered office in the territory of the Republic of Albania.</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Part III of this law does not apply to services which, according to the legislation in force on payment services, are not considered payment services and are excluded from the scope of application of that legislation.</w:t>
      </w:r>
    </w:p>
    <w:p w:rsidR="00253B2E" w:rsidRPr="007647A8" w:rsidRDefault="00543FD3" w:rsidP="002A39C9">
      <w:pPr>
        <w:tabs>
          <w:tab w:val="left" w:pos="0"/>
          <w:tab w:val="left" w:pos="72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3. Part III of this law does not apply to transfers of funds or to transfers of </w:t>
      </w:r>
      <w:r>
        <w:rPr>
          <w:rFonts w:ascii="Times New Roman" w:eastAsia="Calibri" w:hAnsi="Times New Roman" w:cs="Times New Roman"/>
          <w:sz w:val="24"/>
        </w:rPr>
        <w:t>electronic money token</w:t>
      </w:r>
      <w:r>
        <w:rPr>
          <w:rFonts w:ascii="Times New Roman" w:eastAsia="Calibri" w:hAnsi="Times New Roman" w:cs="Times New Roman"/>
          <w:sz w:val="24"/>
          <w:szCs w:val="24"/>
        </w:rPr>
        <w:t>, as defined in the law on crypto-asset markets, carried out using a payment card, electronic money instrument, mobile phone, or any other digital device or information technology with prepaid or postpaid characteristics with similar characteristics, provided that the following conditions are fulfilled simultaneously:</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card, instrument or device is used exclusively for the payment of goods or services; and</w:t>
      </w:r>
    </w:p>
    <w:p w:rsidR="00253B2E" w:rsidRPr="007647A8" w:rsidRDefault="007457FB" w:rsidP="002A39C9">
      <w:pPr>
        <w:tabs>
          <w:tab w:val="num" w:pos="360"/>
        </w:tabs>
        <w:spacing w:after="0"/>
        <w:ind w:left="0" w:firstLine="9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r>
        <w:rPr>
          <w:rFonts w:ascii="Times New Roman" w:eastAsia="Calibri" w:hAnsi="Times New Roman" w:cs="Times New Roman"/>
          <w:sz w:val="24"/>
          <w:szCs w:val="24"/>
        </w:rPr>
        <w:tab/>
        <w:t>b) the number of the card, instrument or device accompanies all transfers resulting from the transaction.</w:t>
      </w:r>
    </w:p>
    <w:p w:rsidR="007457FB" w:rsidRPr="007647A8" w:rsidRDefault="007457FB" w:rsidP="002A39C9">
      <w:pPr>
        <w:tabs>
          <w:tab w:val="num" w:pos="360"/>
        </w:tab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Regardless of the provisions of the first paragraph and points “a” and “b” of this point, this law applies when a payment card, an electronic money instrument, a mobile phone or any other digital or information technology device, prepaid or postpaid, with similar characteristics, is used to carry out a transfer of funds or electronic money tokens between natural persons acting as consumers, for purposes not related to commercial, economic or professional activity.</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bCs/>
          <w:sz w:val="24"/>
          <w:szCs w:val="24"/>
        </w:rPr>
        <w:t>4</w:t>
      </w:r>
      <w:r>
        <w:rPr>
          <w:rFonts w:ascii="Times New Roman" w:eastAsia="Calibri" w:hAnsi="Times New Roman" w:cs="Times New Roman"/>
          <w:b/>
          <w:bCs/>
          <w:sz w:val="24"/>
          <w:szCs w:val="24"/>
        </w:rPr>
        <w:t xml:space="preserve">. </w:t>
      </w:r>
      <w:r>
        <w:rPr>
          <w:rFonts w:ascii="Times New Roman" w:eastAsia="Times New Roman" w:hAnsi="Times New Roman" w:cs="Times New Roman"/>
          <w:sz w:val="24"/>
          <w:szCs w:val="24"/>
        </w:rPr>
        <w:t xml:space="preserve">Part III of this law </w:t>
      </w:r>
      <w:r>
        <w:rPr>
          <w:rFonts w:ascii="Times New Roman" w:eastAsia="Calibri" w:hAnsi="Times New Roman" w:cs="Times New Roman"/>
          <w:bCs/>
          <w:sz w:val="24"/>
          <w:szCs w:val="24"/>
        </w:rPr>
        <w:t xml:space="preserve">does not apply to persons who have no activity other than converting paper documents into electronic data and who carry out this activity on the basis of a contract with a payment service provider, or to persons who have no activity other than </w:t>
      </w:r>
      <w:r>
        <w:rPr>
          <w:rFonts w:ascii="Times New Roman" w:eastAsia="Times New Roman" w:hAnsi="Times New Roman" w:cs="Times New Roman"/>
          <w:sz w:val="24"/>
          <w:szCs w:val="24"/>
        </w:rPr>
        <w:t>offering to payment service providers messaging transmission systems or other support systems for the transfer of funds, or clearing and settlement systems.</w:t>
      </w:r>
    </w:p>
    <w:p w:rsidR="00253B2E" w:rsidRPr="007647A8" w:rsidRDefault="00543FD3"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5. Part III of this law shall not apply to a transfer of funds when one of the following conditions is met:</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includes the withdrawal of physical cash from the payer from his payment account;</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constitutes a transfer of funds to a public authority as payment for taxes, fines or other obligations within the territory of the Republic of Albania;</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both the payer and the payee are payment service providers acting in their own name and on their own account;</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d) is carried out through the exchange of images of cheques, including cheques processed in a truncated manner (truncated cheques).</w:t>
      </w:r>
    </w:p>
    <w:p w:rsidR="00253B2E" w:rsidRPr="007647A8" w:rsidRDefault="00543FD3"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6. Part III of this law does not apply to a transfer of crypto-assets when one of the following conditions is met:</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both the originator and the beneficiary are crypto-asset service providers acting in their own name and on their own behalf;</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when the transfer of crypto-assets is carried out between persons, without the involvement of a crypto-asset service provider.</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Electronic money tokens, according to the definition provided for in the legislation in force on crypto-asset markets, are treated as crypto-assets for the purposes of the application of Part III of this law.</w:t>
      </w:r>
    </w:p>
    <w:p w:rsidR="00253B2E" w:rsidRPr="007647A8" w:rsidRDefault="00C22003"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7. The Council of Ministers may decide that Part III of this law shall not apply to transfers of funds within the territory of the Republic of Albania to a payment account of the payee, allowing payment exclusively for the provision of goods or services when all of the following conditions are met simultaneously:</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payee's payment service provider is subject to the obligations provided for in the legislation in force on the prevention of money laundering and terrorist financing;</w:t>
      </w:r>
    </w:p>
    <w:p w:rsidR="00253B2E"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payee's payment service provider is able to trace, through the payee, by means of the unique transaction identifier, transfers of funds from the person who has an agreement with the payee for the provision of goods or services;</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the amount of the transfer of funds does not exceed the amount of 100,000 lek (one hundred thousand lek).</w:t>
      </w:r>
    </w:p>
    <w:p w:rsidR="007457FB" w:rsidRPr="007647A8" w:rsidRDefault="007457FB" w:rsidP="002A39C9">
      <w:pPr>
        <w:spacing w:after="0"/>
        <w:ind w:left="0" w:firstLine="0"/>
        <w:rPr>
          <w:rFonts w:ascii="Times New Roman" w:eastAsia="Calibri" w:hAnsi="Times New Roman" w:cs="Times New Roman"/>
          <w:sz w:val="24"/>
          <w:szCs w:val="24"/>
        </w:rPr>
      </w:pPr>
    </w:p>
    <w:p w:rsidR="007457FB" w:rsidRPr="007647A8" w:rsidRDefault="00AC12CB"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150</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Definitions</w:t>
      </w:r>
    </w:p>
    <w:p w:rsidR="007457FB" w:rsidRPr="007647A8" w:rsidRDefault="007457FB" w:rsidP="002A39C9">
      <w:pPr>
        <w:spacing w:after="0"/>
        <w:jc w:val="center"/>
        <w:rPr>
          <w:rFonts w:ascii="Times New Roman" w:eastAsia="Calibri" w:hAnsi="Times New Roman" w:cs="Times New Roman"/>
          <w:sz w:val="24"/>
          <w:szCs w:val="24"/>
        </w:rPr>
      </w:pPr>
    </w:p>
    <w:p w:rsidR="00A6436E" w:rsidRPr="007647A8" w:rsidRDefault="00A6436E" w:rsidP="002A39C9">
      <w:pPr>
        <w:spacing w:after="0"/>
        <w:ind w:left="0" w:firstLine="720"/>
        <w:rPr>
          <w:rFonts w:ascii="Times New Roman" w:eastAsia="Calibri" w:hAnsi="Times New Roman" w:cs="Times New Roman"/>
          <w:sz w:val="24"/>
          <w:szCs w:val="24"/>
        </w:rPr>
      </w:pPr>
      <w:r>
        <w:rPr>
          <w:rFonts w:ascii="Times New Roman" w:hAnsi="Times New Roman" w:cs="Times New Roman"/>
          <w:sz w:val="24"/>
          <w:szCs w:val="24"/>
        </w:rPr>
        <w:t xml:space="preserve">For the purposes of implementing Part III of this law, the definitions set out in Part I and Part II of this law and the following definitions shall apply: </w:t>
      </w:r>
    </w:p>
    <w:p w:rsidR="00253B2E" w:rsidRPr="007647A8" w:rsidRDefault="00CC66C1"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1. “payer” means the person who holds a payment account from which the transfer of funds is authorised, or, in the absence of a payment account, the person who gives the order for the transfer of funds; </w:t>
      </w:r>
    </w:p>
    <w:p w:rsidR="00253B2E" w:rsidRPr="007647A8" w:rsidRDefault="00CC66C1"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“payee” means the person who is the intended recipient of the transfer of funds;</w:t>
      </w:r>
    </w:p>
    <w:p w:rsidR="00253B2E"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Pr>
          <w:rFonts w:ascii="Times New Roman" w:eastAsia="Calibri" w:hAnsi="Times New Roman" w:cs="Times New Roman"/>
          <w:bCs/>
          <w:sz w:val="24"/>
          <w:szCs w:val="24"/>
        </w:rPr>
        <w:t xml:space="preserve">“payment service provider” </w:t>
      </w:r>
      <w:r>
        <w:rPr>
          <w:rFonts w:ascii="Times New Roman" w:eastAsia="Calibri" w:hAnsi="Times New Roman" w:cs="Times New Roman"/>
          <w:sz w:val="24"/>
          <w:szCs w:val="24"/>
        </w:rPr>
        <w:t>has the same meaning as the definition given in the law on payment services;</w:t>
      </w:r>
    </w:p>
    <w:p w:rsidR="00253B2E" w:rsidRPr="007647A8" w:rsidRDefault="0093441F" w:rsidP="002A39C9">
      <w:pPr>
        <w:spacing w:after="0"/>
        <w:ind w:left="0" w:firstLine="720"/>
        <w:rPr>
          <w:rFonts w:ascii="Times New Roman" w:eastAsia="Calibri" w:hAnsi="Times New Roman" w:cs="Times New Roman"/>
          <w:bCs/>
          <w:sz w:val="24"/>
          <w:szCs w:val="24"/>
        </w:rPr>
      </w:pPr>
      <w:r>
        <w:rPr>
          <w:rFonts w:ascii="Times New Roman" w:eastAsia="Calibri" w:hAnsi="Times New Roman" w:cs="Times New Roman"/>
          <w:sz w:val="24"/>
          <w:szCs w:val="24"/>
        </w:rPr>
        <w:t xml:space="preserve">4. “intermediary payment service provider” </w:t>
      </w:r>
      <w:r>
        <w:rPr>
          <w:rFonts w:ascii="Times New Roman" w:eastAsia="Calibri" w:hAnsi="Times New Roman" w:cs="Times New Roman"/>
          <w:bCs/>
          <w:sz w:val="24"/>
          <w:szCs w:val="24"/>
        </w:rPr>
        <w:t>means the payment service provider, which is not the payer's or the payee's payment service provider and which, on behalf of the payer's or the payee's payment service provider or of another intermediary payment service provider, receives and transmits a transfer of funds;</w:t>
      </w:r>
    </w:p>
    <w:p w:rsidR="00253B2E"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5. “payment account” has the same meaning as the definition given in the law on payment services;</w:t>
      </w:r>
    </w:p>
    <w:p w:rsidR="00253B2E"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6. “funds” has the same meaning as the definition given in the law on payment services;</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bCs/>
          <w:sz w:val="24"/>
          <w:szCs w:val="24"/>
        </w:rPr>
        <w:t>7. “transfer of funds”</w:t>
      </w:r>
      <w:r>
        <w:rPr>
          <w:rFonts w:ascii="Times New Roman" w:eastAsia="Calibri" w:hAnsi="Times New Roman" w:cs="Times New Roman"/>
          <w:sz w:val="24"/>
          <w:szCs w:val="24"/>
        </w:rPr>
        <w:t xml:space="preserve"> is every transaction that is carried out, at least partially, by electronic means, for the account of a payer through a payment service provider, with the aim of making funds available to a payee through a payment service provider, regardless of whether the payer and the payee are the same person and regardless of whether the payer's payment service provider and that of the payee are the same entity, including:</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credit transfer, according to the definition given in the law on payment service;</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direct debit, according to the definition given in the law on payment service;</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money remittance, domestic or cross-border, as defined in the law on payment service;</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d) the transfer carried out by means of a payment card, an electronic money instrument, a mobile phone or any other digital or information technology device with prepayment or postpayment, with similar characteristics;</w:t>
      </w:r>
    </w:p>
    <w:p w:rsidR="0093441F"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8. “</w:t>
      </w:r>
      <w:r>
        <w:rPr>
          <w:rFonts w:ascii="Times New Roman" w:eastAsia="Calibri" w:hAnsi="Times New Roman" w:cs="Times New Roman"/>
          <w:bCs/>
          <w:sz w:val="24"/>
          <w:szCs w:val="24"/>
        </w:rPr>
        <w:t>originator</w:t>
      </w:r>
      <w:r>
        <w:rPr>
          <w:rFonts w:ascii="Times New Roman" w:eastAsia="Calibri" w:hAnsi="Times New Roman" w:cs="Times New Roman"/>
          <w:sz w:val="24"/>
          <w:szCs w:val="24"/>
        </w:rPr>
        <w:t>” means a person who holds a crypto-asset account with a crypto-asset service provider, a distributed ledger address, or a device that allows the storage of crypto-assets, and who authorises a transfer of crypto-assets from that account, distributed ledger address or device, or, in the absence of the above elements, a person who orders or initiates a transfer of crypto-assets;</w:t>
      </w:r>
    </w:p>
    <w:p w:rsidR="0093441F"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9. “payee” means a person identified as the intended recipient of the transfer of crypto-assets;</w:t>
      </w:r>
    </w:p>
    <w:p w:rsidR="000A4517" w:rsidRPr="007647A8" w:rsidRDefault="0093441F"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Calibri" w:hAnsi="Times New Roman" w:cs="Times New Roman"/>
          <w:sz w:val="24"/>
          <w:szCs w:val="24"/>
        </w:rPr>
        <w:t>10. “crypto-asset” has the same meaning as the definition provided in the legislation on the markets in crypto-assets. This definition does not include the categories of crypto-assets which are excluded from the scope of application of that law;</w:t>
      </w:r>
    </w:p>
    <w:p w:rsidR="0093441F"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11. “crypto-asset service provider” has the same meaning as the definition given in the legislation on crypto-asset markets when one or more crypto-asset services defined under that law are carried out;</w:t>
      </w:r>
    </w:p>
    <w:p w:rsidR="0093441F"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12. “intermediary crypto-asset service provider” means a crypto-asset service provider which is not the originator’s or the beneficiary’s crypto-asset service provider and which receives and transmits a transfer of crypto-assets on behalf of the originator’s or the beneficiary’s crypto-asset service provider, or of another intermediary crypto-asset service provider;</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13. “transfer of crypto-assets” means any transaction for the purpose of moving crypto-assets from a distributed ledger address, crypto-asset account or any other device that enables the storage of crypto-assets, to another such address, account or device, which is carried out by at least one crypto-asset service provider acting on behalf of an originator or beneficiary, regardless of whether the originator and the beneficiary are the same person and regardless of whether the crypto-asset service provider of the originator and that of the beneficiary are the same entity;</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14. “batch transfer” means a grouping consisting of several individual transfers of funds or transfers of crypto-assets, grouped together for joint transmission;</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15. “unique transaction identifier” means a combination of letters, characters, numbers, or symbols determined by the payment service provider, in accordance with the protocols of payment and settlement systems, or of the messaging systems used for transfers of funds, or determined by a crypto-asset service provider, which allows the traceability of the transaction to the sender and the payee, or the traceability of the transfer of crypto-assets to the originator and the beneficiary;</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16. “transfer of crypto-assets between persons” means the transfer of crypto-assets carried out without the involvement of a crypto-asset service provider;</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17.  “crypto-asset ATMs” or “crypto-asset ATMs” means physical or online electronic terminals that enable a crypto-asset service provider to offer, in particular, crypto-asset transfer services as defined in the law on crypto-asset markets;</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18. “address in the distributed ledger” means an alphanumeric code which identifies an address in a network that uses distributed ledger technology (DLT), or a similar technology where crypto-assets can be sent or received;</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19. “crypto-asset account” means an account maintained by a crypto-asset service provider, in the name and on behalf of one or more natural persons or legal persons and which may be used for carrying out transfers of crypto-assets;</w:t>
      </w:r>
    </w:p>
    <w:p w:rsidR="00416412"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20.  “self-hosted address” means</w:t>
      </w:r>
      <w:r>
        <w:rPr>
          <w:rFonts w:ascii="Times New Roman" w:eastAsia="Arial Unicode MS" w:hAnsi="Times New Roman" w:cs="Times New Roman"/>
          <w:sz w:val="24"/>
          <w:szCs w:val="24"/>
          <w:lang w:bidi="en-US"/>
        </w:rPr>
        <w:t xml:space="preserve"> a distributed ledger address that is not linked to any of the following:</w:t>
      </w:r>
    </w:p>
    <w:p w:rsidR="00416412" w:rsidRPr="007647A8" w:rsidRDefault="00264556" w:rsidP="002A39C9">
      <w:pPr>
        <w:spacing w:after="0"/>
        <w:ind w:left="0" w:firstLine="720"/>
        <w:rPr>
          <w:rFonts w:ascii="Times New Roman" w:eastAsia="Calibri" w:hAnsi="Times New Roman" w:cs="Times New Roman"/>
          <w:sz w:val="24"/>
          <w:szCs w:val="24"/>
        </w:rPr>
      </w:pPr>
      <w:r>
        <w:rPr>
          <w:rFonts w:ascii="Times New Roman" w:eastAsia="Arial Unicode MS" w:hAnsi="Times New Roman" w:cs="Times New Roman"/>
          <w:sz w:val="24"/>
          <w:szCs w:val="24"/>
          <w:lang w:bidi="en-US"/>
        </w:rPr>
        <w:t>a) with a crypto-asset service provider;</w:t>
      </w:r>
    </w:p>
    <w:p w:rsidR="00416412" w:rsidRPr="007647A8" w:rsidRDefault="00804579" w:rsidP="002A39C9">
      <w:pPr>
        <w:spacing w:after="0"/>
        <w:ind w:left="0" w:firstLine="720"/>
        <w:rPr>
          <w:rFonts w:ascii="Times New Roman" w:eastAsia="Calibri" w:hAnsi="Times New Roman" w:cs="Times New Roman"/>
          <w:sz w:val="24"/>
          <w:szCs w:val="24"/>
        </w:rPr>
      </w:pPr>
      <w:r>
        <w:rPr>
          <w:rFonts w:ascii="Times New Roman" w:eastAsia="Arial Unicode MS" w:hAnsi="Times New Roman" w:cs="Times New Roman"/>
          <w:sz w:val="24"/>
          <w:szCs w:val="24"/>
          <w:lang w:bidi="en-US"/>
        </w:rPr>
        <w:t>b) with an entity that is not established in the European Union and that provides the same or similar services to those of a crypto-asset service provider.</w:t>
      </w:r>
    </w:p>
    <w:p w:rsidR="007457FB" w:rsidRPr="007647A8" w:rsidRDefault="0093441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21.  “distributed ledger technology” or “DLT” means distributed ledger technology as defined in the law on crypto-asset markets.</w:t>
      </w:r>
    </w:p>
    <w:p w:rsidR="007457FB" w:rsidRPr="007647A8" w:rsidRDefault="007457FB" w:rsidP="002A39C9">
      <w:pPr>
        <w:spacing w:after="0"/>
        <w:ind w:left="0" w:firstLine="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II</w:t>
      </w:r>
    </w:p>
    <w:p w:rsidR="007457FB" w:rsidRPr="007647A8" w:rsidRDefault="007457FB" w:rsidP="002A39C9">
      <w:pPr>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Obligations of payment service providers</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1</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Obligations of the payer's payment service provider</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151</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The information accompanying transfers of funds</w:t>
      </w:r>
    </w:p>
    <w:p w:rsidR="007457FB" w:rsidRPr="007647A8" w:rsidRDefault="007457FB" w:rsidP="002A39C9">
      <w:pPr>
        <w:spacing w:after="0"/>
        <w:jc w:val="center"/>
        <w:rPr>
          <w:rFonts w:ascii="Times New Roman" w:eastAsia="Calibri" w:hAnsi="Times New Roman" w:cs="Times New Roman"/>
          <w:sz w:val="24"/>
          <w:szCs w:val="24"/>
        </w:rPr>
      </w:pP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payer's payment service provider shall ensure that the transfer of funds is accompanied by the following information on the payer:</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first name and surname of the payer;</w:t>
      </w:r>
    </w:p>
    <w:p w:rsidR="00416412" w:rsidRPr="007647A8" w:rsidRDefault="008A4598"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number of the payer's payment account;</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the payer's address, including the name of the state, the number of the official identification document and the customer identification number, or, alternatively, the payer's date and place of birth;</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where the relevant field exists in the format of the payment message and where this information has been made available by the payer, the legal entity identifier (LEI) of the payer or, in the absence thereof, any other equivalent official identifier.</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The payer's payment service provider must ensure that the transfer of funds is accompanied by the following information for the payee:</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first name and surname or the name of the payee;</w:t>
      </w:r>
    </w:p>
    <w:p w:rsidR="00416412" w:rsidRPr="007647A8" w:rsidRDefault="007F5143"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number of the payment account of the payee;</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where the relevant field exists in the format of the payment message and where this information has been made available by the payer, the legal person identifier (LEI) of the payee or, in the absence thereof, any other equivalent official identifier.</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3. By way of exception from point 1, letter “b”, and point 2, letter “b” of this Article, in the case of a transfer that is not carried out from or to a payment account, the payer's payment service provider must ensure that the transfer of funds is accompanied by a unique transaction identifier, instead of the payment account number. </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4. The payer's payment service provider, prior to the transfer of funds, shall verify the accuracy of the information specified in point 1 of this article and, where applicable, in point 3 of this article, on the basis of documents, data or information obtained from reliable and independent sources.</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5. The verification provided for in point 4 of this article shall be considered completed when one of the following conditions is met:</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identity of the payer has been verified in accordance with the provisions of Part II of this law on customer identification and verification, and the information obtained within the framework of this verification is kept in accordance with the provisions of this law on the retention of documentation;</w:t>
      </w:r>
    </w:p>
    <w:p w:rsidR="00416412"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provisions of Part II of this law that allow the verification of identity after the establishment of the business relationship shall apply.</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6. Without prejudice to the exceptions provided for in Articles 152 and 153 of Part III of this law, the payer's payment service provider shall not execute any transfer of funds before ensuring full compliance with this Article.</w:t>
      </w:r>
    </w:p>
    <w:p w:rsidR="007457FB" w:rsidRPr="007647A8" w:rsidRDefault="007457FB" w:rsidP="002A39C9">
      <w:pPr>
        <w:spacing w:after="0"/>
        <w:ind w:left="0" w:firstLine="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152</w:t>
      </w:r>
    </w:p>
    <w:p w:rsidR="007457FB" w:rsidRPr="007647A8" w:rsidRDefault="007457FB" w:rsidP="002A39C9">
      <w:pPr>
        <w:spacing w:after="0"/>
        <w:jc w:val="center"/>
        <w:outlineLvl w:val="0"/>
        <w:rPr>
          <w:rFonts w:ascii="Times New Roman" w:eastAsia="Calibri" w:hAnsi="Times New Roman" w:cs="Times New Roman"/>
          <w:b/>
          <w:bCs/>
          <w:sz w:val="24"/>
          <w:szCs w:val="24"/>
        </w:rPr>
      </w:pPr>
      <w:bookmarkStart w:id="33" w:name="bookmark5"/>
      <w:r>
        <w:rPr>
          <w:rFonts w:ascii="Times New Roman" w:eastAsia="Calibri" w:hAnsi="Times New Roman" w:cs="Times New Roman"/>
          <w:b/>
          <w:bCs/>
          <w:sz w:val="24"/>
          <w:szCs w:val="24"/>
        </w:rPr>
        <w:t xml:space="preserve">Transfers of funds </w:t>
      </w:r>
      <w:bookmarkEnd w:id="33"/>
      <w:r>
        <w:rPr>
          <w:rFonts w:ascii="Times New Roman" w:eastAsia="Calibri" w:hAnsi="Times New Roman" w:cs="Times New Roman"/>
          <w:b/>
          <w:bCs/>
          <w:sz w:val="24"/>
          <w:szCs w:val="24"/>
        </w:rPr>
        <w:t>at country level</w:t>
      </w:r>
    </w:p>
    <w:p w:rsidR="007457FB" w:rsidRPr="007647A8" w:rsidRDefault="007457FB" w:rsidP="002A39C9">
      <w:pPr>
        <w:spacing w:after="0"/>
        <w:jc w:val="center"/>
        <w:outlineLvl w:val="0"/>
        <w:rPr>
          <w:rFonts w:ascii="Times New Roman" w:eastAsia="Calibri" w:hAnsi="Times New Roman" w:cs="Times New Roman"/>
          <w:sz w:val="24"/>
          <w:szCs w:val="24"/>
        </w:rPr>
      </w:pP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With the exception of the requirements provided for in Article 151, points 1 and 2, when all payment service providers involved in the payment chain are registered, licensed or have their headquarters in the territory of the Republic of Albania, transfers of funds shall be accompanied at least by:</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number of the payment account of the payer and of the payee; or</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unique transaction identifier, in cases where Article 151, point 3, applies, without prejudice to the other information requirements provided for in the law on payment services, where applicable.</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Notwithstanding point 1 of this Article, the payer's payment service provider shall, within 3 working days from receipt of the request for information from the payee's payment service provider or from an intermediary payment service provider, make available as follows:</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for transfers of funds over 100 000 (one hundred thousand) lek or its equivalent in other foreign currencies, regardless of whether these transfers are carried out in a single transaction or in several transactions that appear to be linked to one another, the information regarding the payer or the payee in accordance with Article 151 of the law;</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for transfers of funds that do not exceed 100 000 (one hundred thousand) lek, or its equivalent in other foreign currencies, which do not appear to be linked to other transfers of funds which, together with the transfer in question, exceed 100 000 (one hundred thousand) lek or its equivalent in other foreign currencies, at least:</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 the names of the payer and the payee; and</w:t>
      </w:r>
    </w:p>
    <w:p w:rsidR="00093F96" w:rsidRPr="007647A8" w:rsidRDefault="001823E1"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ii. the payment account numbers of the payer and the payee, or, in cases where Article 151, point 3, applies, the unique transaction identifier.</w:t>
      </w:r>
    </w:p>
    <w:p w:rsidR="00093F96" w:rsidRPr="007647A8" w:rsidRDefault="00E74DFD"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3. By way of exception from Article 151, point 4, in the case of transfers of funds specified in point 2, letter “b”, of this Article, the payer's payment service provider is not required to verify the information on the payer, except in cases where the payer's payment service provider:</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a) has received the funds to be transferred in cash or in anonymous electronic money, or</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there are reasonable suspicions of money laundering or financing of terrorism.</w:t>
      </w:r>
    </w:p>
    <w:p w:rsidR="007457FB" w:rsidRPr="007647A8" w:rsidRDefault="007457FB" w:rsidP="002A39C9">
      <w:pPr>
        <w:spacing w:after="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153</w:t>
      </w:r>
    </w:p>
    <w:p w:rsidR="007457FB" w:rsidRPr="007647A8" w:rsidRDefault="001A500F"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Cross-border transfers of funds </w:t>
      </w:r>
    </w:p>
    <w:p w:rsidR="00093F96" w:rsidRPr="007647A8" w:rsidRDefault="00093F96" w:rsidP="002A39C9">
      <w:pPr>
        <w:spacing w:after="0"/>
        <w:ind w:left="0" w:firstLine="0"/>
        <w:rPr>
          <w:rFonts w:ascii="Times New Roman" w:eastAsia="Calibri" w:hAnsi="Times New Roman" w:cs="Times New Roman"/>
          <w:sz w:val="24"/>
          <w:szCs w:val="24"/>
        </w:rPr>
      </w:pP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In the case of a batch transfer from a single payer, when the payment service providers of the payees are registered, licensed or have their headquarters outside the territory of the Republic of Albania, Article 151, point 1, of this law, shall not apply to the individual transfers included together therein, provided that:</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transfer within the group shall contain the information specified in Article 151, points 1, 2 and 3;</w:t>
      </w:r>
    </w:p>
    <w:p w:rsidR="00093F96"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this information has been verified in accordance with Article 151, points 4 and 5; and</w:t>
      </w:r>
    </w:p>
    <w:p w:rsidR="00714977" w:rsidRPr="007647A8" w:rsidRDefault="00205C0C"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individual transfers shall carry the payer's payment account number or, where Article 151(3) applies, the unique transaction identifier.</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By way of exception to Article 151, point 1, and, where applicable, without prejudice to the information required by the law on payment service, when the payment service provider of the payee is registered, licensed or has its registered office outside the territory of the Republic of Albania, transfers of funds that do not exceed 100 000 (one hundred thousand) lek, or its equivalent in other foreign currencies, and which do not appear to be linked to other transfers of funds which, together with the transfer in question, exceed 100 000 (one hundred thousand) lek, or its equivalent in other foreign currencies, must be accompanied at least by:</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a) the names of the payer and of the payee; and</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the payment account numbers of the payer and the payee or, when Article 151, point 3, applies, the unique transaction identifier.</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3. By way of derogation from Article 151, point 4 of this law, the payer's payment service provider is not obliged to verify the information on the payer under this point, unless the payer's payment service provider:</w:t>
      </w:r>
    </w:p>
    <w:p w:rsidR="00714977"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has received funds that will be transmitted in cash or in anonymous electronic money;</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there are reasonable suspicions of money laundering or financing of terrorism.</w:t>
      </w:r>
    </w:p>
    <w:p w:rsidR="007457FB" w:rsidRPr="007647A8" w:rsidRDefault="007457FB" w:rsidP="002A39C9">
      <w:pPr>
        <w:spacing w:after="0"/>
        <w:ind w:left="0" w:firstLine="0"/>
        <w:rPr>
          <w:rFonts w:ascii="Times New Roman" w:eastAsia="Times New Roman" w:hAnsi="Times New Roman" w:cs="Times New Roman"/>
          <w:sz w:val="24"/>
          <w:szCs w:val="24"/>
        </w:rPr>
      </w:pPr>
    </w:p>
    <w:p w:rsidR="007457FB" w:rsidRPr="007647A8" w:rsidRDefault="007457FB" w:rsidP="002A39C9">
      <w:pPr>
        <w:spacing w:after="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2</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Obligations of the payee's payment service provider</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154</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Identification of cases of absence of information about the payer or the payee</w:t>
      </w:r>
    </w:p>
    <w:p w:rsidR="007457FB" w:rsidRPr="007647A8" w:rsidRDefault="007457FB" w:rsidP="002A39C9">
      <w:pPr>
        <w:spacing w:after="0"/>
        <w:jc w:val="center"/>
        <w:rPr>
          <w:rFonts w:ascii="Times New Roman" w:eastAsia="Calibri" w:hAnsi="Times New Roman" w:cs="Times New Roman"/>
          <w:sz w:val="24"/>
          <w:szCs w:val="24"/>
        </w:rPr>
      </w:pP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payment service provider of the payee must implement effective procedures to identify whether the fields relating to the information on the payer and the payee in the messaging system or the payment and settlement system used to carry out the transfer of funds have been completed using characters or data accepted in accordance with the rules and procedures of that system.</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The payment service provider of the payee must apply effective procedures, including, where appropriate, monitoring during or after transfers, to identify whether the following information on the payer or the payee is missing:</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a)   for transfers of funds where the payer's payment service provider is licensed, registered or carries out activity in the territory of the Republic of Albania, the information provided for in Article 152 of this law;</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for transfers of funds in cases where the payer's payment service provider is licensed, registered or carries out activity outside the territory of the Republic of Albania, the information provided for in Article 151, paragraph 1, letters “a”, “b” and “c” and in Article 151, paragraph 2, letters “a” and “b”;</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c)    for bundled transfers, in cases where the payer's payment service provider is licensed, registered or carries out activity outside the territory of the Republic of Albania, the information provided for in Article 151, paragraph 1, letters “a”, “b” and “c” and in Article 151, paragraph 2, letters “a” and “b”, in relation to the respective transfer included in the bundle.</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3. In the case of transfers of funds exceeding 100 000 (one hundred thousand) lek, or its equivalent in other foreign currencies, regardless of whether these transfers are carried out in a single transaction or in several transactions that appear to be linked to each other, before crediting the payment account of the payee or before making the funds available to him, the payment service provider of the payee must verify the accuracy of the information on the payee provided for in point 2 of this article, on the basis of documents, data or information obtained from reliable and independent sources, without prejudice to the requirements provided for in the law on payment service.</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4. In the case of transfers of funds that do not exceed 100 000 (one hundred thousand) lek, or its equivalent in other foreign currencies, which do not appear to be linked to other transfers of funds which, together with the transfer in question, exceed 100 000 (one hundred thousand) lek, or its equivalent in other foreign currencies, the payment service provider of the payee does not need to verify the accuracy of the information on the payee, except in cases where the payment service provider of the payee:</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makes the payment of funds in cash or in anonymous electronic money; or</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there are reasonable suspicions of money laundering or financing of terrorism.</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5. The verification process provided for in points 3 and 4 of this article shall be deemed completed when one of the following conditions is met:</w:t>
      </w:r>
    </w:p>
    <w:p w:rsidR="00714977"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identity of the payee has been verified and the relevant data have been retained in accordance with the requirements of Part II of this law;</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for the payee, the provisions of Part II of this law shall apply which allow the carrying out of verification at a later time or within the framework of an existing business relationship, in accordance with the risk-based approach.</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ind w:left="-9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155</w:t>
      </w:r>
    </w:p>
    <w:p w:rsidR="007457FB" w:rsidRPr="007647A8" w:rsidRDefault="007457FB" w:rsidP="002A39C9">
      <w:pPr>
        <w:spacing w:after="0"/>
        <w:ind w:left="-90"/>
        <w:jc w:val="center"/>
        <w:rPr>
          <w:rFonts w:ascii="Times New Roman" w:eastAsia="Calibri" w:hAnsi="Times New Roman" w:cs="Times New Roman"/>
          <w:sz w:val="24"/>
          <w:szCs w:val="24"/>
        </w:rPr>
      </w:pPr>
      <w:r>
        <w:rPr>
          <w:rFonts w:ascii="Times New Roman" w:eastAsia="Calibri" w:hAnsi="Times New Roman" w:cs="Times New Roman"/>
          <w:b/>
          <w:bCs/>
          <w:sz w:val="24"/>
          <w:szCs w:val="24"/>
        </w:rPr>
        <w:t>Transfers of funds for which information is missing or there is incomplete information regarding the payer or the payee</w:t>
      </w:r>
    </w:p>
    <w:p w:rsidR="007457FB" w:rsidRPr="007647A8" w:rsidRDefault="007457FB" w:rsidP="002A39C9">
      <w:pPr>
        <w:spacing w:after="0"/>
        <w:ind w:left="-9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payment service provider of the payee must apply effective risk-based procedures, including the procedures specified in Part II of this law, to determine whether a transfer of funds that does not contain the full required information on the payer and the payee should be carried out, refused or suspended and to undertake the appropriate subsequent actions.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When the payment service provider of the payee establishes, at the moment of receipt of a transfer of funds, that the information provided for in Article 151, paragraph 1, letters “a”, “b” and “c”, Article 151 paragraph 2, letters “a” and “b”, Article 152, paragraph 1, or Article 153 of this law, is missing or incomplete or this information has not been completed using characters or data acceptable according to the rules of the messaging system or the payment and settlement system, according to the provisions in Article 154 paragraph 1, the payment service provider of the payee, in accordance with the risk-based approach, shall:</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refuse the transfer; or</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to request the necessary information on the payer and the payee before or after the crediting of the payee's payment account or the making available of funds to the payee.</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When a payment service provider repeatedly fails to provide the required information on the payer or the payee, the payee's payment service provider shall:</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take measures, which may initially include giving warnings and setting deadlines for the fulfilment of the obligation, before proceeding with refusal, restriction or interruption in accordance with letter “b” of this point if the requested information has still not been provided;</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directly refuse any future transfer of funds from that payment service provider, or restrict or terminate its business relationship with that payment service provider.</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payee's payment service provider must report non-fulfilment of the information obligation under this point and the measures taken to the competent authority responsible for supervising the implementation of the legal requirements for the prevention of money laundering and terrorist financing.</w:t>
      </w:r>
    </w:p>
    <w:p w:rsidR="007457FB" w:rsidRPr="007647A8" w:rsidRDefault="007457FB" w:rsidP="002A39C9">
      <w:pPr>
        <w:spacing w:after="0"/>
        <w:ind w:left="-90"/>
        <w:jc w:val="center"/>
        <w:rPr>
          <w:rFonts w:ascii="Times New Roman" w:eastAsia="Calibri" w:hAnsi="Times New Roman" w:cs="Times New Roman"/>
          <w:i/>
          <w:iCs/>
          <w:sz w:val="24"/>
          <w:szCs w:val="24"/>
        </w:rPr>
      </w:pPr>
    </w:p>
    <w:p w:rsidR="007457FB" w:rsidRPr="007647A8" w:rsidRDefault="00E52043" w:rsidP="002A39C9">
      <w:pPr>
        <w:spacing w:after="0"/>
        <w:ind w:left="-9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156</w:t>
      </w:r>
    </w:p>
    <w:p w:rsidR="007457FB" w:rsidRPr="007647A8" w:rsidRDefault="007457FB" w:rsidP="002A39C9">
      <w:pPr>
        <w:spacing w:after="0"/>
        <w:ind w:left="-90"/>
        <w:jc w:val="center"/>
        <w:outlineLvl w:val="0"/>
        <w:rPr>
          <w:rFonts w:ascii="Times New Roman" w:eastAsia="Calibri" w:hAnsi="Times New Roman" w:cs="Times New Roman"/>
          <w:sz w:val="24"/>
          <w:szCs w:val="24"/>
        </w:rPr>
      </w:pPr>
      <w:r>
        <w:rPr>
          <w:rFonts w:ascii="Times New Roman" w:eastAsia="Calibri" w:hAnsi="Times New Roman" w:cs="Times New Roman"/>
          <w:b/>
          <w:bCs/>
          <w:sz w:val="24"/>
          <w:szCs w:val="24"/>
        </w:rPr>
        <w:t>Assessment and reporting</w:t>
      </w:r>
    </w:p>
    <w:p w:rsidR="007457FB" w:rsidRPr="007647A8" w:rsidRDefault="007457FB" w:rsidP="002A39C9">
      <w:pPr>
        <w:spacing w:after="0"/>
        <w:ind w:left="-9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payment service provider of the payee must take into consideration missing or incomplete information on the payer or the payee as a possible risk indicator when assessing whether a transfer of funds, or any transaction related to it, is suspicious and whether it should be reported to the Financial Intelligence Agency in accordance with Part I and Part II of this law. </w:t>
      </w:r>
    </w:p>
    <w:p w:rsidR="007457FB" w:rsidRPr="007647A8" w:rsidRDefault="007457FB" w:rsidP="002A39C9">
      <w:pPr>
        <w:spacing w:after="0"/>
        <w:ind w:left="-9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3</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Obligations for intermediary providers of payment services </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157</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Retention of information on the payer and the payee accompanying the transfer</w:t>
      </w:r>
    </w:p>
    <w:p w:rsidR="007457FB" w:rsidRPr="007647A8" w:rsidRDefault="007457FB" w:rsidP="002A39C9">
      <w:pPr>
        <w:spacing w:after="0"/>
        <w:rPr>
          <w:rFonts w:ascii="Times New Roman" w:eastAsia="Calibri" w:hAnsi="Times New Roman" w:cs="Times New Roman"/>
          <w:strike/>
          <w:sz w:val="24"/>
          <w:szCs w:val="24"/>
        </w:rPr>
      </w:pP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intermediary payment service provider must ensure that all information received on the payer and the payee accompanying a transfer of funds is retained together with the transfer.</w:t>
      </w:r>
    </w:p>
    <w:p w:rsidR="007457FB" w:rsidRPr="007647A8" w:rsidRDefault="007457FB" w:rsidP="002A39C9">
      <w:pPr>
        <w:spacing w:after="0"/>
        <w:ind w:firstLine="72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158</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Identification of cases of lack of information on the payer or the payee</w:t>
      </w:r>
    </w:p>
    <w:p w:rsidR="007457FB" w:rsidRPr="007647A8" w:rsidRDefault="007457FB" w:rsidP="002A39C9">
      <w:pPr>
        <w:spacing w:after="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intermediary payment service provider must apply effective procedures to identify whether the fields related to the information on the payer and the payee in the messaging or payment and settlement system used for carrying out the transfer of funds have been completed using acceptable characters or data in accordance with the technical rules of that system.</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The intermediary payment service provider must apply effective procedures, including, where appropriate, monitoring during or after transfers, to identify whether the following information on the payer or the payee is missing:</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a) for transfers of funds when the payment service providers of the payer and the payee are licensed, registered or carry out activity in the territory of the Republic of Albania, the information provided for in Article 152 of this law;</w:t>
      </w:r>
    </w:p>
    <w:p w:rsidR="00727354" w:rsidRPr="007647A8" w:rsidRDefault="00727354"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for transfers of funds in cases where the payment service provider of the payer or of the payee is licensed, registered or carries out activity outside the territory of the Republic of Albania, the information provided for in Article 151, point 1, letters “a”, “b” and “c” and in Article 151, point 2, letters “a” and “b”;</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c) for batch transfers, in cases where the payer's or the payee's payment service provider is licensed, registered or carries out activity outside the territory of the Republic of Albania, the information provided for in Article 151, paragraph 1, letters “a”, “b” and “c” and in Article 151, paragraph 2, letters “a” and “b”, in relation to the respective transfer included in the batch.</w:t>
      </w:r>
    </w:p>
    <w:p w:rsidR="007457FB" w:rsidRPr="007647A8" w:rsidRDefault="007457FB" w:rsidP="002A39C9">
      <w:pPr>
        <w:spacing w:after="0"/>
        <w:ind w:left="0" w:firstLine="0"/>
        <w:rPr>
          <w:rFonts w:ascii="Times New Roman" w:eastAsia="Times New Roman"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159</w:t>
      </w:r>
    </w:p>
    <w:p w:rsidR="007457FB" w:rsidRPr="007647A8" w:rsidRDefault="007457FB"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Transfers of funds for which information on the payer or payee is missing</w:t>
      </w:r>
    </w:p>
    <w:p w:rsidR="007457FB" w:rsidRPr="007647A8" w:rsidRDefault="007457FB" w:rsidP="002A39C9">
      <w:pPr>
        <w:spacing w:after="0"/>
        <w:jc w:val="center"/>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intermediary payment service provider shall approve effective risk-based procedures to determine whether a transfer of funds for which the required information on the payer or the payee is missing should be executed, rejected or suspended and to undertake the appropriate follow-up actions.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When the intermediary payment service provider establishes, at the moment of receipt of a transfer of funds, that the information provided for in Article 151, points 1, letters “a”,” b” and “c”, Article 151 point 2, letters “a” and “b”, Article 152, point 1 or Article 153 of this law, is missing or has not been completed using characters or data acceptable according to the rules of the messaging system or of the payment and settlement system, according to the provisions in Article 158, point 1, the intermediary payment service provider, in accordance with the risk-based approach, shall:</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refuse the transfer; or</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to request the information on the payer and the payee before or after sending the transfer of funds.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When a payment service provider repeatedly fails to provide the required information on the payer or the payee, the intermediary payment service provider, must:</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take measures, which may initially include giving warnings and setting deadlines for the fulfilment of the obligation, before proceeding with refusal, restriction or discontinuation in accordance with letter “b” of this point if the requested information has still not been provided; or</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directly refuse any future transfer of funds from that payment service provider or restrict or terminate its business relationship  with that payment service provider.</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intermediary payment service provider must report non-fulfilment of the obligation to provide information under this point and the measures taken, to the competent authority responsible for supervising the implementation of the legal requirements for the prevention of money laundering and terrorist financing.</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160</w:t>
      </w:r>
    </w:p>
    <w:p w:rsidR="007457FB" w:rsidRPr="007647A8" w:rsidRDefault="007457FB"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Assessment and reporting</w:t>
      </w:r>
    </w:p>
    <w:p w:rsidR="007457FB" w:rsidRPr="007647A8" w:rsidRDefault="007457FB" w:rsidP="002A39C9">
      <w:pPr>
        <w:spacing w:after="0"/>
        <w:ind w:left="-90" w:firstLine="810"/>
        <w:rPr>
          <w:rFonts w:ascii="Times New Roman" w:eastAsia="Times New Roman"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intermediary payment service provider shall take into consideration the missing information relating to the payer or the payee as a possible risk indicator when assessing whether a transfer of funds, or any transaction related thereto, is suspicious and whether it should be reported to the Financial Intelligence Agency in accordance with Part I and Part II of this law. </w:t>
      </w:r>
    </w:p>
    <w:p w:rsidR="007457FB" w:rsidRPr="007647A8" w:rsidRDefault="007457FB" w:rsidP="002A39C9">
      <w:pPr>
        <w:tabs>
          <w:tab w:val="left" w:pos="90"/>
        </w:tabs>
        <w:spacing w:after="0"/>
        <w:ind w:left="0" w:firstLine="0"/>
        <w:rPr>
          <w:rFonts w:ascii="Times New Roman" w:eastAsia="Calibri" w:hAnsi="Times New Roman" w:cs="Times New Roman"/>
          <w:sz w:val="24"/>
          <w:szCs w:val="24"/>
        </w:rPr>
      </w:pPr>
    </w:p>
    <w:p w:rsidR="007457FB" w:rsidRPr="007647A8" w:rsidRDefault="007457FB" w:rsidP="002A39C9">
      <w:pPr>
        <w:tabs>
          <w:tab w:val="left" w:pos="90"/>
        </w:tabs>
        <w:spacing w:after="0"/>
        <w:jc w:val="center"/>
        <w:rPr>
          <w:rFonts w:ascii="Times New Roman" w:eastAsia="Calibri" w:hAnsi="Times New Roman" w:cs="Times New Roman"/>
          <w:i/>
          <w:iCs/>
          <w:sz w:val="24"/>
          <w:szCs w:val="24"/>
        </w:rPr>
      </w:pPr>
    </w:p>
    <w:p w:rsidR="007457FB" w:rsidRPr="007647A8" w:rsidRDefault="007457FB"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III</w:t>
      </w:r>
    </w:p>
    <w:p w:rsidR="007457FB" w:rsidRPr="007647A8" w:rsidRDefault="0033281A"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Obligations of crypto-asset service providers</w:t>
      </w:r>
    </w:p>
    <w:p w:rsidR="007457FB" w:rsidRPr="007647A8" w:rsidRDefault="007457FB" w:rsidP="002A39C9">
      <w:pPr>
        <w:tabs>
          <w:tab w:val="left" w:pos="90"/>
        </w:tabs>
        <w:spacing w:after="0"/>
        <w:jc w:val="center"/>
        <w:rPr>
          <w:rFonts w:ascii="Times New Roman" w:eastAsia="Calibri" w:hAnsi="Times New Roman" w:cs="Times New Roman"/>
          <w:sz w:val="24"/>
          <w:szCs w:val="24"/>
        </w:rPr>
      </w:pPr>
    </w:p>
    <w:p w:rsidR="007457FB" w:rsidRPr="007647A8" w:rsidRDefault="007457FB"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1</w:t>
      </w:r>
    </w:p>
    <w:p w:rsidR="007457FB" w:rsidRPr="007647A8" w:rsidRDefault="007457FB"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Obligations of the initiator's crypto-asset service provider</w:t>
      </w:r>
    </w:p>
    <w:p w:rsidR="007457FB" w:rsidRPr="007647A8" w:rsidRDefault="007457FB" w:rsidP="002A39C9">
      <w:pPr>
        <w:tabs>
          <w:tab w:val="left" w:pos="90"/>
        </w:tabs>
        <w:spacing w:after="0"/>
        <w:jc w:val="center"/>
        <w:rPr>
          <w:rFonts w:ascii="Times New Roman" w:eastAsia="Calibri" w:hAnsi="Times New Roman" w:cs="Times New Roman"/>
          <w:iCs/>
          <w:sz w:val="24"/>
          <w:szCs w:val="24"/>
        </w:rPr>
      </w:pPr>
    </w:p>
    <w:p w:rsidR="007457FB" w:rsidRPr="007647A8" w:rsidRDefault="00E52043" w:rsidP="002A39C9">
      <w:pPr>
        <w:tabs>
          <w:tab w:val="left" w:pos="90"/>
        </w:tabs>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161</w:t>
      </w:r>
    </w:p>
    <w:p w:rsidR="007457FB" w:rsidRPr="007647A8" w:rsidRDefault="007457FB" w:rsidP="002A39C9">
      <w:pPr>
        <w:tabs>
          <w:tab w:val="left" w:pos="90"/>
        </w:tabs>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Information accompanying transfers of crypto-assets</w:t>
      </w:r>
    </w:p>
    <w:p w:rsidR="007457FB" w:rsidRPr="007647A8" w:rsidRDefault="007457FB" w:rsidP="002A39C9">
      <w:pPr>
        <w:tabs>
          <w:tab w:val="left" w:pos="90"/>
        </w:tabs>
        <w:spacing w:after="0"/>
        <w:jc w:val="center"/>
        <w:rPr>
          <w:rFonts w:ascii="Times New Roman" w:eastAsia="Calibri" w:hAnsi="Times New Roman" w:cs="Times New Roman"/>
          <w:sz w:val="24"/>
          <w:szCs w:val="24"/>
        </w:rPr>
      </w:pP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originator's crypto-asset service provider shall ensure that transfers of crypto-assets are accompanied by the following information on the originator:</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name of the initiator;</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address in the originator's distributed ledger, in cases where a transfer of crypto-assets has been recorded on a network that uses DLT or a similar technology, and the number of the originator's crypto-asset account, in cases where such an account exists and is used to process the transaction;</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the crypto-asset account number of the originator, in cases where a transfer of crypto-assets has not been recorded on a network that uses DLT or similar technology; and</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d) the address of the originator, including the name of the state, the official number of the personal document and the customer identification number, or, alternatively, the date and place of birth of the originator; and</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e) depending on the existence of the necessary field in the relevant message format, and when it is given by the originator to his crypto-asset service provider, the Unique Entity Identification Number (NUIS) or current LEI or, in the absence thereof, any other equivalent official identifier available from the originator.</w:t>
      </w:r>
      <w:r w:rsidRPr="007647A8">
        <w:rPr>
          <w:rFonts w:ascii="Times New Roman" w:eastAsia="Calibri" w:hAnsi="Times New Roman" w:cs="Times New Roman"/>
          <w:sz w:val="24"/>
          <w:szCs w:val="24"/>
        </w:rPr>
        <w:tab/>
      </w:r>
      <w:r w:rsidRPr="007647A8">
        <w:rPr>
          <w:rFonts w:ascii="Times New Roman" w:eastAsia="Calibri" w:hAnsi="Times New Roman" w:cs="Times New Roman"/>
          <w:sz w:val="24"/>
          <w:szCs w:val="24"/>
        </w:rPr>
        <w:tab/>
      </w:r>
      <w:r w:rsidRPr="007647A8">
        <w:rPr>
          <w:rFonts w:ascii="Times New Roman" w:eastAsia="Calibri" w:hAnsi="Times New Roman" w:cs="Times New Roman"/>
          <w:sz w:val="24"/>
          <w:szCs w:val="24"/>
        </w:rPr>
        <w:tab/>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The originator's crypto-asset service provider must ensure that transfers of crypto-assets are accompanied by information on the beneficiary as follows:</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name of the payee;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address of the beneficiary's distributed ledger, in cases where a transfer of crypto-assets has been recorded on a network that uses DLT or a similar technology, and the number of the beneficiary's crypto-asset account, in cases where such an account exists and is used to process the transaction;</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the number of the payee's crypto-asset account, in cases where a transfer of crypto-assets has not been recorded on a network that uses DLT or a similar technology; and</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d) depending on the existence of the necessary field in the relevant message format, and when it is provided by the originator to his crypto-asset service provider, the Unique Subject Identification Number (NUIS) or current LEI or, in the absence thereof, any other equivalent official identifier available from the payees.</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3. By way of exception to the provisions of point 1, letter “c” and point 2 letter “c” of this article, in the case of a transfer of crypto-assets not registered on a network that uses DLT or a similar technology and that has not been made to or from a crypto-asset account, the crypto-asset service provider of the originator must ensure that the transfer of crypto-assets is accompanied by a unique transaction identifier.</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4. The information provided for in points 1 and 2 of this Article must be sent </w:t>
      </w:r>
      <w:r>
        <w:rPr>
          <w:rFonts w:ascii="Times New Roman" w:eastAsia="Calibri" w:hAnsi="Times New Roman" w:cs="Times New Roman"/>
          <w:iCs/>
          <w:sz w:val="24"/>
          <w:szCs w:val="24"/>
        </w:rPr>
        <w:t>in advance, simultaneously or in parallel</w:t>
      </w:r>
      <w:r>
        <w:rPr>
          <w:rFonts w:ascii="Times New Roman" w:eastAsia="Calibri" w:hAnsi="Times New Roman" w:cs="Times New Roman"/>
          <w:sz w:val="24"/>
          <w:szCs w:val="24"/>
        </w:rPr>
        <w:t xml:space="preserve"> with the transfer of crypto-assets, in a secure manner and in accordance with the provisions of Part I of this law and with the applicable legislation in the field of protection of personal data.</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This information is not required to be attached directly to the transfer of crypto-assets nor to be included in the transfer itself.</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5. In the case of a transfer of crypto-assets made to a self-hosted address, the originator's crypto-asset service provider obtains and retains the information referred to in points 1 and 2 of this article and ensures that the transfer of crypto-assets can be identified individually.</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Without prejudice to the application of the specific risk mitigation measures provided for in Part I and Part II of this law, in the case of a transfer with a value exceeding 100 000 lek (one hundred thousand), or its equivalent in other foreign currencies, to a self-hosted address, the originator's crypto-asset service provider shall take appropriate measures to assess whether that address is owned or controlled by the originator.</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6. Prior to the transfer of crypto-assets, the originator's crypto-asset service provider verifies the accuracy of the information referred to in point 1 of this Article, based on documents, data or information obtained from a reliable and independent source.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7. The verification process, according to point 6 of this article, is considered completed if one of the following conditions is fulfilled:</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identity of the originator has been verified and the information obtained from this verification has been retained in accordance with the provisions of Part II of this law;</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provisions of Part II of this law on the verification of his identity at a later moment apply to the originator.</w:t>
      </w:r>
    </w:p>
    <w:p w:rsidR="007457FB" w:rsidRPr="007647A8" w:rsidRDefault="007457FB" w:rsidP="002A39C9">
      <w:pPr>
        <w:tabs>
          <w:tab w:val="left" w:pos="90"/>
        </w:tabs>
        <w:suppressAutoHyphens/>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8. The originator's crypto-asset service provider shall not allow the initiation, nor shall it execute any transfer of crypto-assets, before ensuring full compliance with this Article.</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162</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Transfers of crypto-assets within a group</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EA192F"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In the case of a batch transfer of crypto-assets from a single originator, Article 161, point 1 shall not apply to the individual transfers included together therein, provided that the batch transfer contains the information provided for in Article 161, according to points 1, 2 and 3, that this information has been verified in accordance with Article 161, points 6 and 7, and that the individual transfers contain, as the case may be, the distributed ledger address of the originator, where Article 161, point 1, letter “b”, applies, the crypto-asset account number of the originator, where Article 161, point 1, letter “c”, applies, or the unique transaction identifier, where Article 161, point 3 of this law applies.</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2</w:t>
      </w:r>
    </w:p>
    <w:p w:rsidR="007457FB" w:rsidRPr="007647A8" w:rsidRDefault="00A534AA"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Obligations of the payee's crypto-asset service provider</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163</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Identification of cases of missing information about the originator or the beneficiary </w:t>
      </w:r>
    </w:p>
    <w:p w:rsidR="007457FB" w:rsidRPr="007647A8" w:rsidRDefault="007457FB" w:rsidP="002A39C9">
      <w:pPr>
        <w:spacing w:after="0"/>
        <w:ind w:firstLine="72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beneficiary's crypto-asset service provider must apply effective procedures, including, where appropriate, monitoring during or after the transfer,  to identify whether the information specified in Article 161, points 1 and 2 on the originator and the beneficiary is included or accompanies the transfer or the batch transfer of crypto-assets.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In the case of a transfer of crypto-assets carried out from a self-hosted address, the beneficiary's crypto-asset service provider must obtain and retain the information provided for in Article 161, in points 1 and 2 and must ensure that the transfer of  crypto-assets can be identified individually.</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Without prejudice to the application of the specific risk mitigation measures provided for in Part I and Part II of this law, in the case of a transfer with a value above 100 000 lek (one hundred thousand), or its equivalent in other foreign currencies, to a self-hosted address, the crypto-asset service provider of the payee must take appropriate measures to assess whether this address is owned or controlled by the payee.</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3. The payee's crypto-asset service provider, before making the crypto-assets available to the payee, shall verify the accuracy of the information on the payee in accordance with the provisions in Article 161, point 2, on the basis of documents, data or information obtained from a reliable and independent source.</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4. The verification process referred to in points 2 and 3 of this Article shall be considered to have been carried out when one of the following applies: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the identity of the payee has been verified and the information obtained from this verification has been retained in accordance with the provisions of Part II of this law;</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the provisions of Part II of this law on the verification of the identity of the payee at a later stage apply to the payee.</w:t>
      </w:r>
    </w:p>
    <w:p w:rsidR="007457FB" w:rsidRPr="007647A8" w:rsidRDefault="007457FB" w:rsidP="002A39C9">
      <w:pPr>
        <w:spacing w:after="0"/>
        <w:ind w:left="0" w:firstLine="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164</w:t>
      </w:r>
    </w:p>
    <w:p w:rsidR="007457FB" w:rsidRPr="007647A8" w:rsidRDefault="004B78A6"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Transfers of crypto-assets with missing or incomplete information on the originator or the beneficiary</w:t>
      </w:r>
    </w:p>
    <w:p w:rsidR="007457FB" w:rsidRPr="007647A8" w:rsidRDefault="007457FB" w:rsidP="002A39C9">
      <w:pPr>
        <w:spacing w:after="0"/>
        <w:jc w:val="center"/>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payee's crypto-asset service provider must apply effective risk-based procedures, including the procedures in risk-based supervision set out in Part I and Part II of this law, to determine whether a transfer of crypto-assets that does not contain the full required information on the originator and the payee should be executed, rejected or suspended and to take the appropriate further actions.</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In cases where the payee's crypto-asset service provider finds that the information specified in Article 161, points 1 and 2, or in Article 162, is missing or incomplete, then this provider, based on the risk assessment and without unjustified delay, must:</w:t>
      </w:r>
    </w:p>
    <w:p w:rsidR="00727354" w:rsidRPr="007647A8" w:rsidRDefault="004B78A6"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refuse the transfer, or to return the transferred crypto-assets to the originator's crypto-asset account; or</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to require the information on the originator and the payee before making the crypto-assets available to the payee.</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In cases where a crypto-asset service provider repeatedly fails to provide the required information on the originator or the payee, then the payee's crypto-asset service provider must:</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take measures, which may initially include issuing warnings and setting deadlines for the fulfilment of the obligation, before proceeding with refusal, limitation or interruption in accordance with letter “b” of this point, if the requested information has still not been provided;</w:t>
      </w:r>
    </w:p>
    <w:p w:rsidR="00727354"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directly refuse any future transfers of crypto-assets to or from, or restrict or terminate its business relationship with that crypto-asset service provider.</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payee's crypto-asset service provider must report to the Albanian Financial Supervisory Authority all cases of non-fulfilment of the information obligation under this point and the measures taken in relation to them. </w:t>
      </w:r>
    </w:p>
    <w:p w:rsidR="007457FB" w:rsidRPr="007647A8" w:rsidRDefault="007457FB" w:rsidP="002A39C9">
      <w:pPr>
        <w:spacing w:after="0"/>
        <w:ind w:left="0" w:firstLine="0"/>
        <w:jc w:val="left"/>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165</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Assessment and reporting</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The payee's crypto-asset service provider must take into consideration missing or incomplete information on the originator or the payee as a possible risk indicator when assessing whether a transfer of crypto-assets, or any transaction related to it, is suspicious and whether it should be reported to the Financial Intelligence Agency in accordance with Part I and Part II of this law. </w:t>
      </w:r>
    </w:p>
    <w:p w:rsidR="007457FB" w:rsidRPr="007647A8" w:rsidRDefault="007457FB" w:rsidP="002A39C9">
      <w:pPr>
        <w:spacing w:after="0"/>
        <w:ind w:left="0" w:firstLine="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Section 3</w:t>
      </w:r>
    </w:p>
    <w:p w:rsidR="007457FB" w:rsidRPr="007647A8" w:rsidRDefault="00A30161"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Obligations of intermediary providers of crypto-asset services</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166</w:t>
      </w:r>
    </w:p>
    <w:p w:rsidR="007457FB" w:rsidRPr="007647A8" w:rsidRDefault="007457FB" w:rsidP="002A39C9">
      <w:pPr>
        <w:spacing w:after="0"/>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Retention of information on the originator and the beneficiary accompanying the transfer of crypto-assets</w:t>
      </w:r>
    </w:p>
    <w:p w:rsidR="007457FB" w:rsidRPr="007647A8" w:rsidRDefault="007457FB" w:rsidP="002A39C9">
      <w:pPr>
        <w:spacing w:after="0"/>
        <w:jc w:val="center"/>
        <w:rPr>
          <w:rFonts w:ascii="Times New Roman" w:eastAsia="Calibri" w:hAnsi="Times New Roman" w:cs="Times New Roman"/>
          <w:b/>
          <w:iCs/>
          <w:sz w:val="24"/>
          <w:szCs w:val="24"/>
        </w:rPr>
      </w:pPr>
    </w:p>
    <w:p w:rsidR="007457FB" w:rsidRPr="007647A8" w:rsidRDefault="007457FB" w:rsidP="002A39C9">
      <w:pPr>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Intermediate providers of crypto-asset services must ensure that all information received on the originator and the beneficiary accompanying a transfer of crypto-assets is transmitted together with the transfer and that the data of this information are retained and made available, upon request, to the competent authorities.</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167</w:t>
      </w:r>
    </w:p>
    <w:p w:rsidR="007457FB" w:rsidRPr="007647A8" w:rsidRDefault="007457FB" w:rsidP="002A39C9">
      <w:pPr>
        <w:spacing w:after="0"/>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Identification of cases of lack of information regarding the originator or the beneficiary</w:t>
      </w:r>
    </w:p>
    <w:p w:rsidR="007457FB" w:rsidRPr="007647A8" w:rsidRDefault="007457FB" w:rsidP="002A39C9">
      <w:pPr>
        <w:spacing w:after="0"/>
        <w:rPr>
          <w:rFonts w:ascii="Times New Roman" w:eastAsia="Calibri" w:hAnsi="Times New Roman" w:cs="Times New Roman"/>
          <w:iCs/>
          <w:sz w:val="24"/>
          <w:szCs w:val="24"/>
        </w:rPr>
      </w:pPr>
    </w:p>
    <w:p w:rsidR="00404A06" w:rsidRPr="007647A8" w:rsidRDefault="007457FB" w:rsidP="002A39C9">
      <w:pPr>
        <w:spacing w:after="0"/>
        <w:ind w:left="0" w:firstLine="720"/>
        <w:rPr>
          <w:rFonts w:ascii="Times New Roman" w:hAnsi="Times New Roman"/>
          <w:sz w:val="24"/>
          <w:szCs w:val="24"/>
        </w:rPr>
      </w:pPr>
      <w:r>
        <w:rPr>
          <w:rFonts w:ascii="Times New Roman" w:eastAsia="Calibri" w:hAnsi="Times New Roman" w:cs="Times New Roman"/>
          <w:iCs/>
          <w:sz w:val="24"/>
          <w:szCs w:val="24"/>
        </w:rPr>
        <w:t xml:space="preserve">The intermediary crypto-asset service provider must apply effective procedures, including, where appropriate, monitoring during or after transfers, to detect whether the information on the originator or the beneficiary, provided for in Article 161, paragraph 1, letters “a”, “b” and “c”, and Article 161, paragraph 2, letters “a”, “b” and “c”, has been transmitted in advance, simultaneously or in parallel with the individual transfer or the grouped transfer of crypto-assets, </w:t>
      </w:r>
      <w:r>
        <w:rPr>
          <w:rFonts w:ascii="Times New Roman" w:hAnsi="Times New Roman"/>
          <w:sz w:val="24"/>
          <w:szCs w:val="24"/>
        </w:rPr>
        <w:t>including also cases where the transfer has been carried out to a self-hosted address or from a self-hosted address.</w:t>
      </w:r>
    </w:p>
    <w:p w:rsidR="007457FB" w:rsidRPr="007647A8" w:rsidRDefault="007457FB" w:rsidP="002A39C9">
      <w:pPr>
        <w:spacing w:after="0"/>
        <w:ind w:left="0" w:firstLine="720"/>
        <w:rPr>
          <w:rFonts w:ascii="Times New Roman" w:eastAsia="Calibri" w:hAnsi="Times New Roman" w:cs="Times New Roman"/>
          <w:iCs/>
          <w:sz w:val="24"/>
          <w:szCs w:val="24"/>
        </w:rPr>
      </w:pPr>
    </w:p>
    <w:p w:rsidR="007457FB" w:rsidRPr="007647A8" w:rsidRDefault="007457FB" w:rsidP="002A39C9">
      <w:pPr>
        <w:tabs>
          <w:tab w:val="left" w:pos="90"/>
        </w:tabs>
        <w:spacing w:after="0"/>
        <w:ind w:left="0" w:firstLine="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168</w:t>
      </w:r>
    </w:p>
    <w:p w:rsidR="007457FB" w:rsidRPr="007647A8" w:rsidRDefault="00C4288E" w:rsidP="002A39C9">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Transfers of crypto-assets for which information on the originator or the beneficiary is missing</w:t>
      </w:r>
    </w:p>
    <w:p w:rsidR="007457FB" w:rsidRPr="007647A8" w:rsidRDefault="007457FB" w:rsidP="002A39C9">
      <w:pPr>
        <w:spacing w:after="0"/>
        <w:jc w:val="center"/>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intermediary provider of the crypto-asset service shall approve effective risk-based procedures, including risk-based monitoring procedures set out in Part II of this law, to determine whether a transfer of crypto-assets that does not contain the required information on the originator and the beneficiary should be executed, refused, returned or suspended and to take the appropriate follow-up actions.</w:t>
      </w:r>
    </w:p>
    <w:p w:rsidR="001F2D7C" w:rsidRPr="007647A8" w:rsidRDefault="0062316A"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In cases where the intermediary provider of the crypto-asset service finds, when it receives a transfer of crypto-assets, that the information specified in Article 161, points 1, </w:t>
      </w:r>
      <w:r>
        <w:rPr>
          <w:rFonts w:ascii="Times New Roman" w:eastAsia="Calibri" w:hAnsi="Times New Roman" w:cs="Times New Roman"/>
          <w:iCs/>
          <w:sz w:val="24"/>
          <w:szCs w:val="24"/>
        </w:rPr>
        <w:t xml:space="preserve">letters “a”, “b” and “c” and Article 161, point 2, letters “a”, “b” and “c”, </w:t>
      </w:r>
      <w:r>
        <w:rPr>
          <w:rFonts w:ascii="Times New Roman" w:eastAsia="Calibri" w:hAnsi="Times New Roman" w:cs="Times New Roman"/>
          <w:sz w:val="24"/>
          <w:szCs w:val="24"/>
        </w:rPr>
        <w:t>or in Article 162 point 1, is missing or is incomplete, then this provider, based on the risk-based approach and without undue delay, must:</w:t>
      </w:r>
    </w:p>
    <w:p w:rsidR="001F2D7C" w:rsidRPr="007647A8" w:rsidRDefault="00E04358"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refuse the transfer or return the transferred crypto-assets; or</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to require the information on the originator and the beneficiary before making the transfer of crypto-assets.</w:t>
      </w:r>
    </w:p>
    <w:p w:rsidR="001F2D7C"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In cases where the crypto-asset service provider repeatedly fails to provide the required information for the originator or the beneficiary, the intermediary crypto-asset service provider must:</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to take measures, which may initially include issuing warnings and setting deadlines for the fulfilment of the obligation, before proceeding with refusal, restriction or termination in accordance with letter “b”, of this point, if the requested information has still not been provided; or</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directly reject any future transfers of crypto-assets to or from, or restrict or terminate its business relationship with that crypto-asset service provider.</w:t>
      </w:r>
    </w:p>
    <w:p w:rsidR="0062316A" w:rsidRPr="007647A8" w:rsidRDefault="0062316A"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intermediary provider of crypto-asset services reports to the Albanian Financial Supervisory Authority cases of repeated failure to fulfill the obligation to provide information, as well as the measures taken by it.</w:t>
      </w:r>
    </w:p>
    <w:p w:rsidR="0062316A" w:rsidRPr="007647A8" w:rsidRDefault="0062316A" w:rsidP="002A39C9">
      <w:pPr>
        <w:spacing w:after="0"/>
        <w:ind w:left="0" w:firstLine="0"/>
        <w:jc w:val="center"/>
        <w:rPr>
          <w:rFonts w:ascii="Times New Roman"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169</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Assessment and reporting</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The intermediary crypto-asset service provider shall take into consideration the missing information on the originator or the beneficiary as a possible risk indicator when assessing whether a transfer of crypto-assets, or any transaction related to it, is suspicious and whether it should be reported to the Financial Intelligence Agency in accordance with Part I and Part II of this law. </w:t>
      </w:r>
    </w:p>
    <w:p w:rsidR="007457FB" w:rsidRPr="007647A8" w:rsidRDefault="007457FB" w:rsidP="002A39C9">
      <w:pPr>
        <w:spacing w:after="0"/>
        <w:ind w:firstLine="720"/>
        <w:rPr>
          <w:rFonts w:ascii="Times New Roman" w:eastAsia="Times New Roman"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IV</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Common measures applicable by payment service providers and crypto-asset service providers</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170</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Policies, procedures and internal controls to ensure the implementation of financial restrictive measures</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Payment service providers and crypto-asset service providers shall adopt internal policies, procedures and controls to ensure the implementation of the financial restrictive measures provided for in the legislation in force, as well as in accordance with the definitions given in Part II of this law, during the execution of transfers of funds and crypto-assets in accordance with the provisions of Part III of the law.</w:t>
      </w:r>
    </w:p>
    <w:p w:rsidR="00A12C38" w:rsidRPr="007647A8" w:rsidRDefault="007457FB" w:rsidP="002A39C9">
      <w:pPr>
        <w:spacing w:after="0"/>
        <w:ind w:left="0" w:firstLine="720"/>
        <w:rPr>
          <w:rFonts w:ascii="Times New Roman" w:hAnsi="Times New Roman" w:cs="Times New Roman"/>
          <w:sz w:val="24"/>
          <w:szCs w:val="24"/>
        </w:rPr>
      </w:pPr>
      <w:r>
        <w:rPr>
          <w:rFonts w:ascii="Times New Roman" w:eastAsia="Calibri" w:hAnsi="Times New Roman" w:cs="Times New Roman"/>
          <w:sz w:val="24"/>
          <w:szCs w:val="24"/>
        </w:rPr>
        <w:t>2. The Bank of Albania and the Albanian Financial Supervisory Authority, through their respective regulations within the scope of their responsibility, approve more detailed rules regarding the minimum requirements for the policies, procedures and internal controls provided for in point 1 of this article.</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V</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Information, protection and storage of data</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171</w:t>
      </w:r>
    </w:p>
    <w:p w:rsidR="007457FB" w:rsidRPr="007647A8" w:rsidRDefault="007457FB" w:rsidP="002A39C9">
      <w:pPr>
        <w:spacing w:after="0"/>
        <w:jc w:val="center"/>
        <w:outlineLvl w:val="0"/>
        <w:rPr>
          <w:rFonts w:ascii="Times New Roman" w:eastAsia="Calibri" w:hAnsi="Times New Roman" w:cs="Times New Roman"/>
          <w:sz w:val="24"/>
          <w:szCs w:val="24"/>
        </w:rPr>
      </w:pPr>
      <w:r>
        <w:rPr>
          <w:rFonts w:ascii="Times New Roman" w:eastAsia="Calibri" w:hAnsi="Times New Roman" w:cs="Times New Roman"/>
          <w:b/>
          <w:bCs/>
          <w:sz w:val="24"/>
          <w:szCs w:val="24"/>
        </w:rPr>
        <w:t>Provision of information</w:t>
      </w:r>
    </w:p>
    <w:p w:rsidR="007457FB" w:rsidRPr="007647A8" w:rsidRDefault="007457FB" w:rsidP="002A39C9">
      <w:pPr>
        <w:spacing w:after="0"/>
        <w:rPr>
          <w:rFonts w:ascii="Times New Roman" w:eastAsia="Calibri" w:hAnsi="Times New Roman" w:cs="Times New Roman"/>
          <w:strike/>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Payment service providers and crypto-asset service providers must respond fully and without delay, including through the central contact point in accordance with the provisions in Part I of this law, as well as in accordance with the legal procedural requirements in force, to requests submitted exclusively by the competent supervisory authorities for the prevention and fight against money laundering or terrorist financing, in relation to the information required under Part III of this law.</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172</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sz w:val="24"/>
          <w:szCs w:val="24"/>
        </w:rPr>
        <w:t>Data protection</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processing of personal data in implementation of Part III of this law shall be carried out in accordance with the legislation on the protection of personal data.</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Public authorities and supervised entities that process personal data within the framework of Part III of this law shall ensure the implementation of the principles of lawfulness, proportionality, purpose limitation, data minimisation, accuracy, integrity and confidentiality, in accordance with the legislation on the protection of personal data.</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2. Personal data are processed by payment service providers and crypto-asset service providers on the basis of Part III of this law only for the purposes of preventing money laundering and terrorist financing, and are not further processed in a manner that is incompatible with those purposes. </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processing of personal data on the basis of Part III of this law for commercial purposes is prohibited.</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3. Payment service providers and crypto-asset service providers must provide new clients with the information required under the law on the protection of personal data before establishing a business relationship or carrying out a transaction </w:t>
      </w:r>
      <w:r>
        <w:rPr>
          <w:rFonts w:ascii="Times New Roman" w:eastAsia="Arial Unicode MS" w:hAnsi="Times New Roman" w:cs="Times New Roman"/>
          <w:sz w:val="24"/>
          <w:szCs w:val="24"/>
          <w:lang w:bidi="en-US"/>
        </w:rPr>
        <w:t>casual</w:t>
      </w:r>
      <w:r>
        <w:rPr>
          <w:rFonts w:ascii="Times New Roman" w:eastAsia="Calibri" w:hAnsi="Times New Roman" w:cs="Times New Roman"/>
          <w:sz w:val="24"/>
          <w:szCs w:val="24"/>
        </w:rPr>
        <w:t xml:space="preserve"> with them. This information must be provided in a concise, transparent, intelligible and easily accessible form, in accordance with the legislation in force on the protection of personal data and, in particular, must include general notice regarding the legal obligations of payment service providers and crypto-asset service providers under Part III of this law, in cases where they process personal data for the purposes of the prevention of money laundering and terrorist financing.</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4. Payment service providers and crypto-asset service providers shall ensure at all times that the transmission of personal data on the parties involved in a transfer of funds or a transfer of crypto-assets is carried out in accordance with the legislation in force on the protection of personal data.</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competent authority for the protection of personal data, in consultation with the competent authorities for the supervision of the entities of Part III of this law, issues guidelines on the practical implementation of the data protection requirements for transfers of personal data with other states in the context of crypto-asset transfers. </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competent authorities for the supervision of the entities of Part III of this law issue guidelines on the appropriate procedures to determine whether a transfer of crypto-assets should be executed, refused, returned or suspended in situations where compliance with the data protection requirements for the transfer of personal data to other states cannot be ensured.</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173</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Storage of data</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information on the payer and the payee or on the originator and the beneficiary in cases of crypto-asset transfers, must not be retained for a period longer than is strictly necessary. The payment service providers of the payer and the payee must retain the data of the information referred to in Articles 151 to 154 of this part of the law, and the crypto-asset service providers of the originator and the beneficiary must retain the data of the information referred to in Articles 161 to 163 of this part of the law, for a period of five years.</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After the end of the retention period provided for in point 1 of this article, payment service providers and crypto-asset service providers must ensure that personal data are erased, unless otherwise provided by the legal framework in force in which it is determined under which circumstances payment service providers and crypto-asset service providers may or shall further retain such data.</w:t>
      </w:r>
    </w:p>
    <w:p w:rsidR="001F2D7C" w:rsidRPr="007647A8" w:rsidRDefault="00CC55C5"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Further retention of the data is permitted or required only when provided for by the framework in force and after a full assessment of the necessity and proportionality of the further retention has been carried out, and when it is considered justified as necessary for the prevention, detection, investigation or prosecutions of offences of money laundering or terrorist financing. This further retention period must not exceed 5 years.</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3. When investigative or judicial procedures are underway for the prevention, detection, investigation or prosecutions of offences of money laundering or terrorist financing, and the payment service provider possesses information or documents related to these ongoing procedures, it may retain this information or documents for as long as is necessary for the completion of the procedures, in accordance with the legislation in force.</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Without prejudice to criminal procedural legislation on evidence and their administration, for ongoing criminal investigations and legal proceedings, the further retention of such information or documents may be permitted or required for another period of 5 years, where its necessity and proportionality have been assessed and considered justified for the prevention, detection, investigation or prosecutions of offences of money laundering or terrorist financing.</w:t>
      </w:r>
    </w:p>
    <w:p w:rsidR="007457FB" w:rsidRPr="007647A8" w:rsidRDefault="007457FB" w:rsidP="002A39C9">
      <w:pPr>
        <w:spacing w:after="0"/>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174</w:t>
      </w:r>
    </w:p>
    <w:p w:rsidR="007457FB" w:rsidRPr="007647A8" w:rsidRDefault="007457FB" w:rsidP="002A39C9">
      <w:pPr>
        <w:spacing w:after="0"/>
        <w:jc w:val="center"/>
        <w:outlineLvl w:val="0"/>
        <w:rPr>
          <w:rFonts w:ascii="Times New Roman" w:eastAsia="Calibri" w:hAnsi="Times New Roman" w:cs="Times New Roman"/>
          <w:sz w:val="24"/>
          <w:szCs w:val="24"/>
        </w:rPr>
      </w:pPr>
      <w:r>
        <w:rPr>
          <w:rFonts w:ascii="Times New Roman" w:eastAsia="Calibri" w:hAnsi="Times New Roman" w:cs="Times New Roman"/>
          <w:b/>
          <w:bCs/>
          <w:sz w:val="24"/>
          <w:szCs w:val="24"/>
        </w:rPr>
        <w:t>Cooperation between competent authorities</w:t>
      </w:r>
    </w:p>
    <w:p w:rsidR="007457FB" w:rsidRPr="007647A8" w:rsidRDefault="007457FB" w:rsidP="002A39C9">
      <w:pPr>
        <w:spacing w:after="0"/>
        <w:rPr>
          <w:rFonts w:ascii="Times New Roman" w:eastAsia="Times New Roman" w:hAnsi="Times New Roman" w:cs="Times New Roman"/>
          <w:sz w:val="24"/>
          <w:szCs w:val="24"/>
        </w:rPr>
      </w:pPr>
    </w:p>
    <w:p w:rsidR="00FA44DE"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exchange of information between competent authorities and with the respective competent authorities of other states </w:t>
      </w:r>
      <w:r>
        <w:rPr>
          <w:rFonts w:ascii="Times New Roman" w:eastAsia="Calibri" w:hAnsi="Times New Roman" w:cs="Times New Roman"/>
          <w:iCs/>
          <w:sz w:val="24"/>
          <w:szCs w:val="24"/>
        </w:rPr>
        <w:t>in implementation of this part of the law</w:t>
      </w:r>
      <w:r>
        <w:rPr>
          <w:rFonts w:ascii="Times New Roman" w:eastAsia="Times New Roman" w:hAnsi="Times New Roman" w:cs="Times New Roman"/>
          <w:sz w:val="24"/>
          <w:szCs w:val="24"/>
        </w:rPr>
        <w:t>, is carried out in accordance with Part I and Part II of this law, the legislation on the protection of personal data and the international agreements ratified by the Republic of Albania.</w:t>
      </w:r>
    </w:p>
    <w:p w:rsidR="007457FB" w:rsidRPr="007647A8" w:rsidRDefault="007457FB" w:rsidP="002A39C9">
      <w:pPr>
        <w:spacing w:after="0"/>
        <w:ind w:left="0" w:firstLine="720"/>
        <w:rPr>
          <w:rFonts w:ascii="Times New Roman" w:eastAsia="Times New Roman"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CHAPTER VI</w:t>
      </w:r>
    </w:p>
    <w:p w:rsidR="007457FB" w:rsidRPr="007647A8" w:rsidRDefault="00BD584D"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Administrative offences and monitoring</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175</w:t>
      </w:r>
    </w:p>
    <w:p w:rsidR="007457FB" w:rsidRPr="007647A8" w:rsidRDefault="00BD584D"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Administrative offences</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1. In cases where violations of the provisions of Part III of this law do not constitute a criminal offence, they constitute administrative contraventions and the competent supervisory authorities impose one or several of the administrative measures specified in Part I of this law. </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The administrative measures provided for in Part I of this law are also applicable to the members of the management body and any natural person of the payment service provider and crypto-asset service providers who is responsible for the administrative infringement, in cases of violation of the provisions of Part III of this law.</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3. In accordance with the provisions of this law, the supervisory authorities exercise all the necessary supervisory and analytical powers. </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During the exercise of their powers for the imposition of fines and administrative measures, the supervisory authorities cooperate closely to ensure that those fines or administrative measures produce the desired results and coordinate their actions when they concern cross-border cases.</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4. Legal persons bear responsibility for the violations provided for in Article 176, when these violations are committed for their benefit by any person acting individually or as part of a body of the legal person, and who exercises managerial functions within it, on the basis of:</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a) competence to represent the legal person;</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b) the authority to take decisions in the name of the legal person; or</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c) the authority to exercise control or supervision within the legal person.</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5. Legal persons shall be liable where the lack of supervision or control by a person referred to in point 4 of this article has made possible the commission of one of the violations referred to in article 176 for the benefit of that legal person by a person under his authority. </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6. The competent supervisory authorities exercise their powers to impose fines and administrative measures, in accordance with Part I of this law, according to one of the following ways:</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a) directly;</w:t>
      </w: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in cooperation with other competent supervisory authorities;</w:t>
      </w:r>
    </w:p>
    <w:p w:rsidR="001F2D7C" w:rsidRPr="007647A8" w:rsidRDefault="001F2D7C"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c) under their responsibility, by delegating them to such other authorities.</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iCs/>
          <w:sz w:val="24"/>
          <w:szCs w:val="24"/>
        </w:rPr>
        <w:t>During the exercise of their powers to impose fines and administrative measures, the competent supervisory authorities cooperate closely to ensure that the fines or administrative measures produce the desired results and coordinate their actions when they concern cross-border cases.</w:t>
      </w:r>
    </w:p>
    <w:p w:rsidR="007457FB" w:rsidRPr="007647A8" w:rsidRDefault="007457FB" w:rsidP="002A39C9">
      <w:pPr>
        <w:spacing w:after="0"/>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176</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Specific provisions</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supervisory authorities impose fines and administrative measures in accordance with the provisions in Articles 61, 65, 67 and 68 of this law, in the event of the following infringements of Part III of this law: </w:t>
      </w:r>
    </w:p>
    <w:p w:rsidR="001F2D7C"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a) repeated or systematic failure, by a payment service provider to accompany transfers of funds with the required information on the payer or payee, in violation of Articles 151, 152 or 153 of this part, or by a crypto-asset service provider to accompany transfers of crypto-assets with the required information on the originator and beneficiary, in violation of Article 161 or 162;</w:t>
      </w:r>
    </w:p>
    <w:p w:rsidR="001F2D7C"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b) repeated, systematic or serious failure by a payment service provider or crypto-asset service provider to keep records, in breach of Article 173;</w:t>
      </w: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c) failure by a payment service provider to implement effective risk-based procedures, in breach of Article 155 or 159, or by a crypto-asset service provider to implement effective risk-based procedures, in breach of Article 164;</w:t>
      </w:r>
    </w:p>
    <w:p w:rsidR="007457FB" w:rsidRPr="007647A8" w:rsidRDefault="007457FB" w:rsidP="002A39C9">
      <w:pPr>
        <w:spacing w:after="0"/>
        <w:ind w:left="0" w:firstLine="720"/>
        <w:rPr>
          <w:rFonts w:ascii="Times New Roman" w:eastAsia="Calibri" w:hAnsi="Times New Roman" w:cs="Times New Roman"/>
          <w:i/>
          <w:iCs/>
          <w:sz w:val="24"/>
          <w:szCs w:val="24"/>
        </w:rPr>
      </w:pPr>
      <w:r>
        <w:rPr>
          <w:rFonts w:ascii="Times New Roman" w:eastAsia="Calibri" w:hAnsi="Times New Roman" w:cs="Times New Roman"/>
          <w:sz w:val="24"/>
          <w:szCs w:val="24"/>
        </w:rPr>
        <w:t>d) serious failure by an intermediary payment service provider to apply Article 158 or 159 or by an intermediary crypto-asset service provider to apply Article 166, 167 or 168.</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177</w:t>
      </w:r>
    </w:p>
    <w:p w:rsidR="007457FB" w:rsidRPr="007647A8" w:rsidRDefault="00BB1D4A" w:rsidP="002A39C9">
      <w:pPr>
        <w:spacing w:after="0"/>
        <w:jc w:val="center"/>
        <w:outlineLvl w:val="0"/>
        <w:rPr>
          <w:rFonts w:ascii="Times New Roman" w:eastAsia="Calibri" w:hAnsi="Times New Roman" w:cs="Times New Roman"/>
          <w:sz w:val="24"/>
          <w:szCs w:val="24"/>
        </w:rPr>
      </w:pPr>
      <w:r>
        <w:rPr>
          <w:rFonts w:ascii="Times New Roman" w:eastAsia="Calibri" w:hAnsi="Times New Roman" w:cs="Times New Roman"/>
          <w:b/>
          <w:bCs/>
          <w:sz w:val="24"/>
          <w:szCs w:val="24"/>
        </w:rPr>
        <w:t>Publication of fines and measures</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In accordance with Article 69 of this law, the competent supervisory authorities shall publish, without delay, the administrative fines and measures imposed pursuant to Articles 175 and 176 of this law.</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publication of fines and administrative measures also includes information on the type and nature of the violation and the identity of the persons responsible for the violation, when the publication of this information is assessed as necessary and proportionate after a case-by-case assessment.</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178</w:t>
      </w:r>
    </w:p>
    <w:p w:rsidR="007457FB" w:rsidRPr="007647A8" w:rsidRDefault="006B78F3"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Enforcement of fines and measures by the supervisory authorities</w:t>
      </w:r>
    </w:p>
    <w:p w:rsidR="007457FB" w:rsidRPr="007647A8" w:rsidRDefault="007457FB" w:rsidP="002A39C9">
      <w:pPr>
        <w:spacing w:after="0"/>
        <w:jc w:val="center"/>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supervisory authorities, in determining the type of fines or administrative measures and the level of administrative sanctions by fine, shall take into consideration all relevant circumstances, including those listed in Article 61 of this law.</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2. Fines and administrative measures for violations in the implementation of Part III of this law shall be imposed in implementation of Articles 61, 64, 65, 67 and 68 of this law.</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179</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Reporting of violations</w:t>
      </w:r>
    </w:p>
    <w:p w:rsidR="007457FB" w:rsidRPr="007647A8" w:rsidRDefault="007457FB" w:rsidP="002A39C9">
      <w:pPr>
        <w:spacing w:after="0"/>
        <w:ind w:left="0" w:firstLine="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1. The competent supervisory authorities establish effective mechanisms to encourage reporting concerning breaches of Part III of this law. These mechanisms shall include at least those elements set out in Article 73 of this law.</w:t>
      </w:r>
    </w:p>
    <w:p w:rsidR="007457FB" w:rsidRPr="007647A8" w:rsidRDefault="007457FB"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2. Payment service providers and crypto-asset service providers, in cooperation with the competent supervisory authorities, shall adopt appropriate internal procedures that enable their employees or persons in similar positions to report, through secure, independent, specific and anonymous channels, breaches of Part III of this law, in proportion to the nature and size of the respective payment service provider or crypto-asset service provider.</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180</w:t>
      </w:r>
    </w:p>
    <w:p w:rsidR="007457FB" w:rsidRPr="007647A8" w:rsidRDefault="007457FB" w:rsidP="002A39C9">
      <w:pPr>
        <w:spacing w:after="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Supervision </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AF3E0C"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The supervisory authorities effectively supervise the implementation of Part III of this law and take the necessary measures to ensure compliance with it, as well as encourage, through effective mechanisms, the reporting to them of violations of the provisions of this part of the law.</w:t>
      </w:r>
    </w:p>
    <w:p w:rsidR="007457FB" w:rsidRPr="007647A8" w:rsidRDefault="007A7258"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The supervisory authorities publish, every three years, a report on the implementation of the provisions of Chapter VI of Part III of this law, paying particular attention to cross-border cases.</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CHAPTER VII</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Exceptions</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Pr>
          <w:rFonts w:ascii="Times New Roman" w:eastAsia="Calibri" w:hAnsi="Times New Roman" w:cs="Times New Roman"/>
          <w:iCs/>
          <w:sz w:val="24"/>
          <w:szCs w:val="24"/>
        </w:rPr>
        <w:t>Article 181</w:t>
      </w:r>
    </w:p>
    <w:p w:rsidR="007457FB" w:rsidRPr="007647A8" w:rsidRDefault="007457FB" w:rsidP="002A39C9">
      <w:pPr>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Agreements with foreign states or territories</w:t>
      </w:r>
    </w:p>
    <w:p w:rsidR="007457FB" w:rsidRPr="007647A8" w:rsidRDefault="007457FB" w:rsidP="002A39C9">
      <w:pPr>
        <w:spacing w:after="0"/>
        <w:jc w:val="center"/>
        <w:rPr>
          <w:rFonts w:ascii="Times New Roman" w:eastAsia="Calibri" w:hAnsi="Times New Roman" w:cs="Times New Roman"/>
          <w:iCs/>
          <w:sz w:val="24"/>
          <w:szCs w:val="24"/>
        </w:rPr>
      </w:pP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1. The Republic of Albania may conclude international agreements with a foreign state or territory, containing exemptions from the application of Part III of this law, with the aim that transfers of funds between that state or territory and the Republic of Albania</w:t>
      </w:r>
      <w:r>
        <w:rPr>
          <w:rFonts w:ascii="Calibri" w:eastAsia="Calibri" w:hAnsi="Calibri" w:cs="Times New Roman"/>
        </w:rPr>
        <w:t xml:space="preserve"> </w:t>
      </w:r>
      <w:r>
        <w:rPr>
          <w:rFonts w:ascii="Times New Roman" w:eastAsia="Calibri" w:hAnsi="Times New Roman" w:cs="Times New Roman"/>
          <w:iCs/>
          <w:sz w:val="24"/>
          <w:szCs w:val="24"/>
        </w:rPr>
        <w:t>be treated as transfers of funds carried out within the territory of the Republic of Albania.</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Agreements provided for in point 1 of this Article may be concluded only if the following conditions are fulfilled simultaneously:</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a) the respective state or territory is part of a monetary union with the Republic of Albania, forms part of the same monetary area or has concluded an agreement with the Republic of Albania;</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b) payment service providers in the respective state or territory participate directly or indirectly in the payment and settlement systems operating  in the Republic of Albania;</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c) the relevant state or territory requires that payment service providers operating under its jurisdiction apply rules identical or equivalent to those laid down under Part III of this law.</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2. Before the conclusion of an agreement according to point 1 of this Article, the responsible authority submits for review the necessary information and documentation that proves the fulfilment of the conditions laid down in this Article,</w:t>
      </w:r>
    </w:p>
    <w:p w:rsidR="006D472D" w:rsidRPr="007647A8" w:rsidRDefault="00E514A4"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3. Transfers of funds between the Republic of Albania and the foreign state or territory shall be treated as domestic transfers of funds only after the entry into force of the agreement provided for in point 1 of this article.</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4. The exemptions provided for in agreements concluded pursuant to this Article may not lower the standards for the prevention of money laundering and terrorist financing provided for in this law.</w:t>
      </w:r>
    </w:p>
    <w:p w:rsidR="007457FB" w:rsidRPr="007647A8" w:rsidRDefault="007457FB" w:rsidP="002A39C9">
      <w:pPr>
        <w:widowControl w:val="0"/>
        <w:spacing w:after="0"/>
        <w:ind w:left="0" w:firstLine="720"/>
        <w:rPr>
          <w:rFonts w:ascii="Times New Roman" w:eastAsia="Calibri" w:hAnsi="Times New Roman" w:cs="Times New Roman"/>
          <w:iCs/>
          <w:sz w:val="24"/>
          <w:szCs w:val="24"/>
        </w:rPr>
      </w:pPr>
      <w:r>
        <w:rPr>
          <w:rFonts w:ascii="Times New Roman" w:eastAsia="Calibri" w:hAnsi="Times New Roman" w:cs="Times New Roman"/>
          <w:iCs/>
          <w:sz w:val="24"/>
          <w:szCs w:val="24"/>
        </w:rPr>
        <w:t>5. Agreements under this article are concluded and ratified in accordance with the legislation in force on international agreements and the constitutional procedures of the Republic of Albania.</w:t>
      </w:r>
    </w:p>
    <w:p w:rsidR="007457FB" w:rsidRPr="007647A8" w:rsidRDefault="007457FB" w:rsidP="002A39C9">
      <w:pPr>
        <w:spacing w:after="0"/>
        <w:ind w:left="0" w:firstLine="0"/>
        <w:rPr>
          <w:rFonts w:ascii="Times New Roman" w:eastAsia="Calibri" w:hAnsi="Times New Roman" w:cs="Times New Roman"/>
          <w:iCs/>
          <w:sz w:val="24"/>
          <w:szCs w:val="24"/>
        </w:rPr>
      </w:pPr>
    </w:p>
    <w:p w:rsidR="007457FB" w:rsidRPr="007647A8" w:rsidRDefault="00A12A59"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CHAPTER VIII</w:t>
      </w:r>
    </w:p>
    <w:p w:rsidR="007457FB" w:rsidRPr="007647A8" w:rsidRDefault="007457FB" w:rsidP="002A39C9">
      <w:pPr>
        <w:spacing w:after="0"/>
        <w:jc w:val="center"/>
        <w:rPr>
          <w:rFonts w:ascii="Times New Roman" w:eastAsia="Calibri" w:hAnsi="Times New Roman" w:cs="Times New Roman"/>
          <w:sz w:val="24"/>
          <w:szCs w:val="24"/>
        </w:rPr>
      </w:pPr>
      <w:r>
        <w:rPr>
          <w:rFonts w:ascii="Times New Roman" w:eastAsia="Calibri" w:hAnsi="Times New Roman" w:cs="Times New Roman"/>
          <w:b/>
          <w:bCs/>
          <w:iCs/>
          <w:sz w:val="24"/>
          <w:szCs w:val="24"/>
        </w:rPr>
        <w:t>Other provisions</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Article 182</w:t>
      </w:r>
    </w:p>
    <w:p w:rsidR="007457FB" w:rsidRPr="007647A8" w:rsidRDefault="007457FB" w:rsidP="002A39C9">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Implementing acts</w:t>
      </w:r>
    </w:p>
    <w:p w:rsidR="007457FB" w:rsidRPr="007647A8" w:rsidRDefault="007457FB" w:rsidP="002A39C9">
      <w:pPr>
        <w:tabs>
          <w:tab w:val="left" w:pos="540"/>
        </w:tabs>
        <w:spacing w:after="0"/>
        <w:rPr>
          <w:rFonts w:ascii="Times New Roman" w:eastAsia="Calibri" w:hAnsi="Times New Roman" w:cs="Times New Roman"/>
          <w:sz w:val="24"/>
          <w:szCs w:val="24"/>
        </w:rPr>
      </w:pP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1. The supervisory authorities, the Bank of Albania and the Albanian Financial Supervisory Authority and other competent authorities, according to the definitions in Part I of the law, within the scope of their responsibilities, approve bylaws and the necessary guidelines for the implementation of Part III of the law, in particular regarding:</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the measures to be taken by payment service providers for the implementation of Articles 154, 155, 158 and 159 of Part III of the law;</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 the measures that must be taken by crypto-asset service providers for the implementation of Articles 161 to 164 and 166 to 169 of Part III of the law;</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 instructions on the technical aspects of the implementation of the requirements for direct debits, as well as the measures that payment initiation service providers must take, as defined in the legislation in force on payment services, taking into consideration their limited role in payment transactions;</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 guidelines on the measures that the competent authorities must undertake regarding the characteristics of the risk-based approach for the supervision of crypto-asset service providers and the steps that must be undertaken during the exercise of this supervision.</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The competent supervisory authorities ensure periodic consultations with the interested parties for the development of interoperable technical solutions that facilitate the effective implementation of the requirements of this law.</w:t>
      </w:r>
    </w:p>
    <w:p w:rsidR="007457FB"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Calibri" w:hAnsi="Times New Roman" w:cs="Times New Roman"/>
          <w:sz w:val="24"/>
          <w:szCs w:val="24"/>
        </w:rPr>
        <w:t>3. The bylaws and guidelines provided for in this article shall be approved by the competent authorities within 6 months from the entry into force of this law.</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Article 183</w:t>
      </w:r>
    </w:p>
    <w:p w:rsidR="00FF2889" w:rsidRDefault="00FF2889" w:rsidP="00FF2889">
      <w:pPr>
        <w:spacing w:after="0"/>
        <w:ind w:left="0"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Implementation and interpretation of Part III</w:t>
      </w:r>
    </w:p>
    <w:p w:rsidR="00FF2889" w:rsidRDefault="00FF2889" w:rsidP="00FF2889">
      <w:pPr>
        <w:spacing w:after="0"/>
        <w:ind w:left="0" w:firstLine="720"/>
        <w:jc w:val="center"/>
        <w:rPr>
          <w:rFonts w:ascii="Times New Roman" w:eastAsia="Times New Roman" w:hAnsi="Times New Roman" w:cs="Times New Roman"/>
          <w:b/>
          <w:bCs/>
          <w:sz w:val="24"/>
          <w:szCs w:val="24"/>
        </w:rPr>
      </w:pPr>
    </w:p>
    <w:p w:rsidR="008F51D1" w:rsidRPr="007647A8" w:rsidRDefault="00340213"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 The provisions of Part III of this law are applied and interpreted in accordance and in harmony with Part I and Part II of this law</w:t>
      </w:r>
    </w:p>
    <w:p w:rsidR="008F51D1" w:rsidRPr="007647A8" w:rsidRDefault="007457FB"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The definitions related to crypto-assets, crypto-asset service providers, self-hosted addresses and correspondent relationships shall apply in accordance with the provisions of this law and in compliance with the sectoral legislation in force.</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widowControl w:val="0"/>
        <w:spacing w:after="0"/>
        <w:ind w:firstLine="567"/>
        <w:rPr>
          <w:rFonts w:ascii="Times New Roman" w:eastAsia="Calibri" w:hAnsi="Times New Roman" w:cs="Times New Roman"/>
          <w:sz w:val="24"/>
          <w:szCs w:val="24"/>
        </w:rPr>
      </w:pPr>
    </w:p>
    <w:p w:rsidR="007457FB" w:rsidRPr="007647A8" w:rsidRDefault="007457FB" w:rsidP="002A39C9">
      <w:pPr>
        <w:tabs>
          <w:tab w:val="left" w:pos="360"/>
        </w:tabs>
        <w:spacing w:after="0"/>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PART IV</w:t>
      </w:r>
    </w:p>
    <w:p w:rsidR="007457FB" w:rsidRPr="007647A8" w:rsidRDefault="007457FB" w:rsidP="002A39C9">
      <w:pPr>
        <w:tabs>
          <w:tab w:val="left" w:pos="360"/>
        </w:tabs>
        <w:spacing w:after="0"/>
        <w:ind w:left="0" w:firstLine="0"/>
        <w:jc w:val="center"/>
        <w:rPr>
          <w:rFonts w:ascii="Times New Roman" w:eastAsia="Calibri" w:hAnsi="Times New Roman" w:cs="Times New Roman"/>
          <w:b/>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ON THE CONTROL OF MONETARY MEANS ENTERING OR LEAVING THE REPUBLIC OF ALBANIA”</w:t>
      </w:r>
    </w:p>
    <w:p w:rsidR="003A54D0" w:rsidRPr="007647A8" w:rsidRDefault="003A54D0" w:rsidP="002A39C9">
      <w:pPr>
        <w:tabs>
          <w:tab w:val="left" w:pos="360"/>
        </w:tabs>
        <w:spacing w:after="0"/>
        <w:ind w:left="0" w:firstLine="0"/>
        <w:jc w:val="center"/>
        <w:rPr>
          <w:rFonts w:ascii="Times New Roman" w:hAnsi="Times New Roman" w:cs="Times New Roman"/>
          <w:b/>
          <w:sz w:val="24"/>
          <w:szCs w:val="24"/>
        </w:rPr>
      </w:pPr>
    </w:p>
    <w:p w:rsidR="00A12A59" w:rsidRPr="007647A8" w:rsidRDefault="00A12A59" w:rsidP="002A39C9">
      <w:pPr>
        <w:pStyle w:val="ListParagraph"/>
        <w:tabs>
          <w:tab w:val="left" w:pos="360"/>
        </w:tabs>
        <w:spacing w:after="0"/>
        <w:ind w:left="0" w:firstLine="0"/>
        <w:contextualSpacing w:val="0"/>
        <w:jc w:val="center"/>
        <w:rPr>
          <w:rFonts w:ascii="Times New Roman" w:hAnsi="Times New Roman" w:cs="Times New Roman"/>
          <w:sz w:val="24"/>
          <w:szCs w:val="24"/>
        </w:rPr>
      </w:pPr>
      <w:r>
        <w:rPr>
          <w:rFonts w:ascii="Times New Roman" w:hAnsi="Times New Roman" w:cs="Times New Roman"/>
          <w:sz w:val="24"/>
          <w:szCs w:val="24"/>
        </w:rPr>
        <w:t>CHAPTER 1</w:t>
      </w:r>
    </w:p>
    <w:p w:rsidR="00A12A59" w:rsidRPr="007647A8" w:rsidRDefault="00A12A59" w:rsidP="002A39C9">
      <w:pPr>
        <w:pStyle w:val="ListParagraph"/>
        <w:tabs>
          <w:tab w:val="left" w:pos="360"/>
        </w:tabs>
        <w:spacing w:after="0"/>
        <w:ind w:left="0" w:firstLine="0"/>
        <w:contextualSpacing w:val="0"/>
        <w:jc w:val="center"/>
        <w:rPr>
          <w:rFonts w:ascii="Times New Roman" w:hAnsi="Times New Roman" w:cs="Times New Roman"/>
          <w:sz w:val="24"/>
          <w:szCs w:val="24"/>
        </w:rPr>
      </w:pPr>
    </w:p>
    <w:p w:rsidR="003A54D0" w:rsidRPr="007647A8" w:rsidRDefault="0063131D" w:rsidP="002A39C9">
      <w:pPr>
        <w:pStyle w:val="ListParagraph"/>
        <w:tabs>
          <w:tab w:val="left" w:pos="360"/>
        </w:tabs>
        <w:spacing w:after="0"/>
        <w:ind w:left="0" w:firstLine="0"/>
        <w:contextualSpacing w:val="0"/>
        <w:jc w:val="center"/>
        <w:rPr>
          <w:rFonts w:ascii="Times New Roman" w:hAnsi="Times New Roman" w:cs="Times New Roman"/>
          <w:sz w:val="24"/>
          <w:szCs w:val="24"/>
        </w:rPr>
      </w:pPr>
      <w:r>
        <w:rPr>
          <w:rFonts w:ascii="Times New Roman" w:hAnsi="Times New Roman" w:cs="Times New Roman"/>
          <w:sz w:val="24"/>
          <w:szCs w:val="24"/>
        </w:rPr>
        <w:t>Section 1</w:t>
      </w: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184</w:t>
      </w:r>
    </w:p>
    <w:p w:rsidR="00A04C41" w:rsidRPr="007647A8" w:rsidRDefault="00A04C41" w:rsidP="002A39C9">
      <w:pPr>
        <w:spacing w:after="0"/>
        <w:ind w:left="0" w:firstLine="0"/>
        <w:jc w:val="center"/>
        <w:rPr>
          <w:rFonts w:ascii="Times New Roman" w:eastAsia="Garamond" w:hAnsi="Times New Roman" w:cs="Times New Roman"/>
          <w:b/>
          <w:bCs/>
          <w:w w:val="97"/>
          <w:position w:val="1"/>
          <w:sz w:val="24"/>
          <w:szCs w:val="24"/>
        </w:rPr>
      </w:pPr>
      <w:r>
        <w:rPr>
          <w:rFonts w:ascii="Times New Roman" w:eastAsia="Garamond" w:hAnsi="Times New Roman" w:cs="Times New Roman"/>
          <w:b/>
          <w:bCs/>
          <w:spacing w:val="-5"/>
          <w:position w:val="1"/>
          <w:sz w:val="24"/>
          <w:szCs w:val="24"/>
        </w:rPr>
        <w:t>Field</w:t>
      </w:r>
      <w:r>
        <w:rPr>
          <w:rFonts w:ascii="Times New Roman" w:eastAsia="Garamond" w:hAnsi="Times New Roman" w:cs="Times New Roman"/>
          <w:b/>
          <w:bCs/>
          <w:position w:val="1"/>
          <w:sz w:val="24"/>
          <w:szCs w:val="24"/>
        </w:rPr>
        <w:t>a</w:t>
      </w:r>
      <w:r>
        <w:rPr>
          <w:rFonts w:ascii="Times New Roman" w:eastAsia="Garamond" w:hAnsi="Times New Roman" w:cs="Times New Roman"/>
          <w:b/>
          <w:bCs/>
          <w:spacing w:val="-8"/>
          <w:position w:val="1"/>
          <w:sz w:val="24"/>
          <w:szCs w:val="24"/>
        </w:rPr>
        <w:t xml:space="preserve"> </w:t>
      </w:r>
      <w:r>
        <w:rPr>
          <w:rFonts w:ascii="Times New Roman" w:eastAsia="Garamond" w:hAnsi="Times New Roman" w:cs="Times New Roman"/>
          <w:b/>
          <w:bCs/>
          <w:position w:val="1"/>
          <w:sz w:val="24"/>
          <w:szCs w:val="24"/>
        </w:rPr>
        <w:t>of</w:t>
      </w:r>
      <w:r>
        <w:rPr>
          <w:rFonts w:ascii="Times New Roman" w:eastAsia="Garamond" w:hAnsi="Times New Roman" w:cs="Times New Roman"/>
          <w:b/>
          <w:bCs/>
          <w:spacing w:val="-10"/>
          <w:position w:val="1"/>
          <w:sz w:val="24"/>
          <w:szCs w:val="24"/>
        </w:rPr>
        <w:t xml:space="preserve"> </w:t>
      </w:r>
      <w:r>
        <w:rPr>
          <w:rFonts w:ascii="Times New Roman" w:eastAsia="Garamond" w:hAnsi="Times New Roman" w:cs="Times New Roman"/>
          <w:b/>
          <w:bCs/>
          <w:spacing w:val="-4"/>
          <w:w w:val="97"/>
          <w:position w:val="1"/>
          <w:sz w:val="24"/>
          <w:szCs w:val="24"/>
        </w:rPr>
        <w:t>implementation</w:t>
      </w:r>
      <w:r>
        <w:rPr>
          <w:rFonts w:ascii="Times New Roman" w:eastAsia="Garamond" w:hAnsi="Times New Roman" w:cs="Times New Roman"/>
          <w:b/>
          <w:bCs/>
          <w:w w:val="97"/>
          <w:position w:val="1"/>
          <w:sz w:val="24"/>
          <w:szCs w:val="24"/>
        </w:rPr>
        <w:t>t</w:t>
      </w:r>
    </w:p>
    <w:p w:rsidR="00A04C41" w:rsidRPr="007647A8" w:rsidRDefault="00A04C41" w:rsidP="002A39C9">
      <w:pPr>
        <w:spacing w:after="0"/>
        <w:ind w:left="0" w:firstLine="0"/>
        <w:jc w:val="center"/>
        <w:rPr>
          <w:rFonts w:ascii="Times New Roman" w:eastAsia="Garamond" w:hAnsi="Times New Roman" w:cs="Times New Roman"/>
          <w:b/>
          <w:bCs/>
          <w:w w:val="97"/>
          <w:position w:val="1"/>
          <w:sz w:val="24"/>
          <w:szCs w:val="24"/>
        </w:rPr>
      </w:pPr>
    </w:p>
    <w:p w:rsidR="00A04C41"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Part IV of this law provides for the inspection system of monetary instruments entering or leaving the Republic of Albania, with the aim of completing the legal framework for the prevention of money laundering and terrorist financing.</w:t>
      </w: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E52043" w:rsidP="002A39C9">
      <w:pPr>
        <w:tabs>
          <w:tab w:val="left" w:pos="360"/>
        </w:tabs>
        <w:spacing w:after="0"/>
        <w:ind w:left="714" w:hanging="357"/>
        <w:jc w:val="center"/>
        <w:rPr>
          <w:rFonts w:ascii="Times New Roman" w:hAnsi="Times New Roman" w:cs="Times New Roman"/>
          <w:sz w:val="24"/>
          <w:szCs w:val="24"/>
        </w:rPr>
      </w:pPr>
      <w:r>
        <w:rPr>
          <w:rFonts w:ascii="Times New Roman" w:hAnsi="Times New Roman" w:cs="Times New Roman"/>
          <w:sz w:val="24"/>
          <w:szCs w:val="24"/>
        </w:rPr>
        <w:t>Article 185</w:t>
      </w:r>
    </w:p>
    <w:p w:rsidR="00A04C41" w:rsidRPr="007647A8" w:rsidRDefault="00A04C41" w:rsidP="002A39C9">
      <w:pPr>
        <w:tabs>
          <w:tab w:val="left" w:pos="360"/>
        </w:tabs>
        <w:spacing w:after="0"/>
        <w:ind w:left="714" w:hanging="357"/>
        <w:jc w:val="center"/>
        <w:rPr>
          <w:rFonts w:ascii="Times New Roman" w:hAnsi="Times New Roman" w:cs="Times New Roman"/>
          <w:b/>
          <w:sz w:val="24"/>
          <w:szCs w:val="24"/>
        </w:rPr>
      </w:pPr>
      <w:r>
        <w:rPr>
          <w:rFonts w:ascii="Times New Roman" w:hAnsi="Times New Roman" w:cs="Times New Roman"/>
          <w:b/>
          <w:sz w:val="24"/>
          <w:szCs w:val="24"/>
        </w:rPr>
        <w:t>Definitions</w:t>
      </w:r>
    </w:p>
    <w:p w:rsidR="00A04C41" w:rsidRPr="007647A8" w:rsidRDefault="00A04C41" w:rsidP="002A39C9">
      <w:pPr>
        <w:tabs>
          <w:tab w:val="left" w:pos="360"/>
        </w:tabs>
        <w:spacing w:after="0"/>
        <w:ind w:hanging="153"/>
        <w:rPr>
          <w:rFonts w:ascii="Times New Roman" w:hAnsi="Times New Roman" w:cs="Times New Roman"/>
          <w:sz w:val="24"/>
          <w:szCs w:val="24"/>
        </w:rPr>
      </w:pPr>
    </w:p>
    <w:p w:rsidR="008F51D1"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For the purposes of Part IV of this law, the definitions laid down in Part I, Part II and Part III of this law shall apply, as well as the following definitions:</w:t>
      </w:r>
    </w:p>
    <w:p w:rsidR="008F51D1"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1. “monetary funds”</w:t>
      </w:r>
      <w:r>
        <w:rPr>
          <w:rFonts w:ascii="Times New Roman" w:hAnsi="Times New Roman" w:cs="Times New Roman"/>
          <w:spacing w:val="23"/>
          <w:sz w:val="24"/>
          <w:szCs w:val="24"/>
        </w:rPr>
        <w:t xml:space="preserve"> means:</w:t>
      </w:r>
    </w:p>
    <w:p w:rsidR="008F51D1"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a) physical cash;</w:t>
      </w:r>
    </w:p>
    <w:p w:rsidR="008F51D1" w:rsidRPr="007647A8" w:rsidRDefault="00A638D2"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b) negotiable instruments in bearer form;</w:t>
      </w:r>
    </w:p>
    <w:p w:rsidR="008F51D1" w:rsidRPr="007647A8" w:rsidRDefault="00A638D2"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c) goods used as stores of value with high liquidity;</w:t>
      </w:r>
    </w:p>
    <w:p w:rsidR="00A40DA0" w:rsidRPr="007647A8" w:rsidRDefault="00A638D2"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d) prepaid cards.</w:t>
      </w:r>
    </w:p>
    <w:p w:rsidR="00A40DA0"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2."Physical cash" means coins and banknotes, national or foreign, that are in circulation as a means</w:t>
      </w:r>
      <w:r>
        <w:rPr>
          <w:rFonts w:ascii="Times New Roman" w:hAnsi="Times New Roman" w:cs="Times New Roman"/>
          <w:spacing w:val="25"/>
          <w:sz w:val="24"/>
          <w:szCs w:val="24"/>
        </w:rPr>
        <w:t xml:space="preserve"> </w:t>
      </w:r>
      <w:r>
        <w:rPr>
          <w:rFonts w:ascii="Times New Roman" w:hAnsi="Times New Roman" w:cs="Times New Roman"/>
          <w:sz w:val="24"/>
          <w:szCs w:val="24"/>
        </w:rPr>
        <w:t>exchange</w:t>
      </w:r>
      <w:r>
        <w:rPr>
          <w:rFonts w:ascii="Times New Roman" w:hAnsi="Times New Roman" w:cs="Times New Roman"/>
          <w:spacing w:val="27"/>
          <w:sz w:val="24"/>
          <w:szCs w:val="24"/>
        </w:rPr>
        <w:t xml:space="preserve"> </w:t>
      </w:r>
      <w:r>
        <w:rPr>
          <w:rFonts w:ascii="Times New Roman" w:hAnsi="Times New Roman" w:cs="Times New Roman"/>
          <w:sz w:val="24"/>
          <w:szCs w:val="24"/>
        </w:rPr>
        <w:t>or</w:t>
      </w:r>
      <w:r>
        <w:rPr>
          <w:rFonts w:ascii="Times New Roman" w:hAnsi="Times New Roman" w:cs="Times New Roman"/>
          <w:spacing w:val="24"/>
          <w:sz w:val="24"/>
          <w:szCs w:val="24"/>
        </w:rPr>
        <w:t xml:space="preserve"> </w:t>
      </w:r>
      <w:r>
        <w:rPr>
          <w:rFonts w:ascii="Times New Roman" w:hAnsi="Times New Roman" w:cs="Times New Roman"/>
          <w:sz w:val="24"/>
          <w:szCs w:val="24"/>
        </w:rPr>
        <w:t>that have</w:t>
      </w:r>
      <w:r>
        <w:rPr>
          <w:rFonts w:ascii="Times New Roman" w:hAnsi="Times New Roman" w:cs="Times New Roman"/>
          <w:spacing w:val="26"/>
          <w:sz w:val="24"/>
          <w:szCs w:val="24"/>
        </w:rPr>
        <w:t xml:space="preserve"> been </w:t>
      </w:r>
      <w:r>
        <w:rPr>
          <w:rFonts w:ascii="Times New Roman" w:hAnsi="Times New Roman" w:cs="Times New Roman"/>
          <w:sz w:val="24"/>
          <w:szCs w:val="24"/>
        </w:rPr>
        <w:t>in circulation</w:t>
      </w:r>
      <w:r>
        <w:rPr>
          <w:rFonts w:ascii="Times New Roman" w:hAnsi="Times New Roman" w:cs="Times New Roman"/>
          <w:spacing w:val="23"/>
          <w:sz w:val="24"/>
          <w:szCs w:val="24"/>
        </w:rPr>
        <w:t xml:space="preserve"> </w:t>
      </w:r>
      <w:r>
        <w:rPr>
          <w:rFonts w:ascii="Times New Roman" w:hAnsi="Times New Roman" w:cs="Times New Roman"/>
          <w:sz w:val="24"/>
          <w:szCs w:val="24"/>
        </w:rPr>
        <w:t>as</w:t>
      </w:r>
      <w:r>
        <w:rPr>
          <w:rFonts w:ascii="Times New Roman" w:hAnsi="Times New Roman" w:cs="Times New Roman"/>
          <w:spacing w:val="24"/>
          <w:sz w:val="24"/>
          <w:szCs w:val="24"/>
        </w:rPr>
        <w:t xml:space="preserve"> </w:t>
      </w:r>
      <w:r>
        <w:rPr>
          <w:rFonts w:ascii="Times New Roman" w:hAnsi="Times New Roman" w:cs="Times New Roman"/>
          <w:sz w:val="24"/>
          <w:szCs w:val="24"/>
        </w:rPr>
        <w:t>a means of exchange and can still be exchanged through financial, credit or banking institutions with coins and banknotes that are in circulation as a means</w:t>
      </w:r>
      <w:r>
        <w:rPr>
          <w:rFonts w:ascii="Times New Roman" w:hAnsi="Times New Roman" w:cs="Times New Roman"/>
          <w:spacing w:val="40"/>
          <w:sz w:val="24"/>
          <w:szCs w:val="24"/>
        </w:rPr>
        <w:t xml:space="preserve"> </w:t>
      </w:r>
      <w:r>
        <w:rPr>
          <w:rFonts w:ascii="Times New Roman" w:hAnsi="Times New Roman" w:cs="Times New Roman"/>
          <w:sz w:val="24"/>
          <w:szCs w:val="24"/>
        </w:rPr>
        <w:t>exchange;</w:t>
      </w:r>
    </w:p>
    <w:p w:rsidR="00A40DA0"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3. "bearer negotiable instruments" means instruments other than currency that entitle the holder to claim a financial amount upon presentation of the instruments, without the need to prove his identity or his right to that amount.</w:t>
      </w:r>
    </w:p>
    <w:p w:rsidR="00A40DA0" w:rsidRPr="007647A8" w:rsidRDefault="00A04C41"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These instruments are:</w:t>
      </w:r>
    </w:p>
    <w:p w:rsidR="00A40DA0" w:rsidRPr="007647A8" w:rsidRDefault="00A40DA0" w:rsidP="002A39C9">
      <w:pPr>
        <w:tabs>
          <w:tab w:val="left" w:pos="360"/>
        </w:tabs>
        <w:spacing w:after="0"/>
        <w:ind w:left="0" w:firstLine="720"/>
        <w:rPr>
          <w:rFonts w:ascii="Times New Roman" w:hAnsi="Times New Roman" w:cs="Times New Roman"/>
          <w:spacing w:val="-5"/>
          <w:sz w:val="24"/>
          <w:szCs w:val="24"/>
        </w:rPr>
      </w:pPr>
      <w:r>
        <w:rPr>
          <w:rFonts w:ascii="Times New Roman" w:hAnsi="Times New Roman" w:cs="Times New Roman"/>
          <w:sz w:val="24"/>
          <w:szCs w:val="24"/>
        </w:rPr>
        <w:t>a) traveller's cheques;</w:t>
      </w:r>
      <w:r>
        <w:rPr>
          <w:rFonts w:ascii="Times New Roman" w:hAnsi="Times New Roman" w:cs="Times New Roman"/>
          <w:spacing w:val="22"/>
          <w:sz w:val="24"/>
          <w:szCs w:val="24"/>
        </w:rPr>
        <w:t xml:space="preserve"> and</w:t>
      </w:r>
    </w:p>
    <w:p w:rsidR="00A40DA0"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b) cheques, promissory notes or payment orders that are in bearer form, signed but without including the name of the person to whom it is paid, endorsed without restriction, paid to a fictitious payee, or otherwise in such a form that their ownership passes upon delivery;</w:t>
      </w:r>
    </w:p>
    <w:p w:rsidR="00A40DA0"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4. "goods used as a highly liquid store of value" means a good, as listed in Annex I, Part IV of this law, which presents a high ratio between its value and its volume and which can be easily converted into cash through accessible markets, involving only modest transaction costs;</w:t>
      </w:r>
    </w:p>
    <w:p w:rsidR="00A40DA0"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5. "prepaid card" means a non-personalised card, as listed in point 2 of Annex I, Part IV of this law, which </w:t>
      </w:r>
      <w:r>
        <w:rPr>
          <w:rStyle w:val="Strong"/>
          <w:rFonts w:ascii="Times New Roman" w:hAnsi="Times New Roman" w:cs="Times New Roman"/>
          <w:b w:val="0"/>
          <w:sz w:val="24"/>
          <w:szCs w:val="24"/>
        </w:rPr>
        <w:t>stores or provides access to monetary value or funds</w:t>
      </w:r>
      <w:r>
        <w:rPr>
          <w:rFonts w:ascii="Times New Roman" w:hAnsi="Times New Roman" w:cs="Times New Roman"/>
          <w:b/>
          <w:sz w:val="24"/>
          <w:szCs w:val="24"/>
        </w:rPr>
        <w:t>,</w:t>
      </w:r>
      <w:r>
        <w:rPr>
          <w:rFonts w:ascii="Times New Roman" w:hAnsi="Times New Roman" w:cs="Times New Roman"/>
          <w:sz w:val="24"/>
          <w:szCs w:val="24"/>
        </w:rPr>
        <w:t xml:space="preserve"> which can be used for payment transactions, for the purchase of goods or services, or for </w:t>
      </w:r>
      <w:r>
        <w:rPr>
          <w:rStyle w:val="Strong"/>
          <w:rFonts w:ascii="Times New Roman" w:hAnsi="Times New Roman" w:cs="Times New Roman"/>
          <w:b w:val="0"/>
          <w:sz w:val="24"/>
          <w:szCs w:val="24"/>
        </w:rPr>
        <w:t>conversion into currency</w:t>
      </w:r>
      <w:r>
        <w:rPr>
          <w:rFonts w:ascii="Times New Roman" w:hAnsi="Times New Roman" w:cs="Times New Roman"/>
          <w:sz w:val="24"/>
          <w:szCs w:val="24"/>
        </w:rPr>
        <w:t>, when such a card is not linked to a bank account;</w:t>
      </w:r>
    </w:p>
    <w:p w:rsidR="00A40DA0"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6. “enters or exits from</w:t>
      </w:r>
      <w:r>
        <w:rPr>
          <w:rFonts w:ascii="Times New Roman" w:hAnsi="Times New Roman" w:cs="Times New Roman"/>
          <w:spacing w:val="40"/>
          <w:sz w:val="24"/>
          <w:szCs w:val="24"/>
        </w:rPr>
        <w:t xml:space="preserve"> </w:t>
      </w:r>
      <w:r>
        <w:rPr>
          <w:rFonts w:ascii="Times New Roman" w:hAnsi="Times New Roman" w:cs="Times New Roman"/>
          <w:sz w:val="24"/>
          <w:szCs w:val="24"/>
        </w:rPr>
        <w:t>Republic of Albania”</w:t>
      </w:r>
      <w:r>
        <w:rPr>
          <w:rFonts w:ascii="Times New Roman" w:hAnsi="Times New Roman" w:cs="Times New Roman"/>
          <w:spacing w:val="40"/>
          <w:sz w:val="24"/>
          <w:szCs w:val="24"/>
        </w:rPr>
        <w:t xml:space="preserve"> </w:t>
      </w:r>
      <w:r>
        <w:rPr>
          <w:rFonts w:ascii="Times New Roman" w:hAnsi="Times New Roman" w:cs="Times New Roman"/>
          <w:sz w:val="24"/>
          <w:szCs w:val="24"/>
        </w:rPr>
        <w:t>means that enters</w:t>
      </w:r>
      <w:r>
        <w:rPr>
          <w:rFonts w:ascii="Times New Roman" w:hAnsi="Times New Roman" w:cs="Times New Roman"/>
          <w:spacing w:val="40"/>
          <w:sz w:val="24"/>
          <w:szCs w:val="24"/>
        </w:rPr>
        <w:t xml:space="preserve"> </w:t>
      </w:r>
      <w:r>
        <w:rPr>
          <w:rFonts w:ascii="Times New Roman" w:hAnsi="Times New Roman" w:cs="Times New Roman"/>
          <w:sz w:val="24"/>
          <w:szCs w:val="24"/>
        </w:rPr>
        <w:t>from</w:t>
      </w:r>
      <w:r>
        <w:rPr>
          <w:rFonts w:ascii="Times New Roman" w:hAnsi="Times New Roman" w:cs="Times New Roman"/>
          <w:spacing w:val="40"/>
          <w:sz w:val="24"/>
          <w:szCs w:val="24"/>
        </w:rPr>
        <w:t xml:space="preserve"> </w:t>
      </w:r>
      <w:r>
        <w:rPr>
          <w:rFonts w:ascii="Times New Roman" w:hAnsi="Times New Roman" w:cs="Times New Roman"/>
          <w:sz w:val="24"/>
          <w:szCs w:val="24"/>
        </w:rPr>
        <w:t>a territory that is outside the territory of the Republic of Albania into the territory of the Republic of Albania, or that exits from the territory of the Republic of Albania;</w:t>
      </w:r>
    </w:p>
    <w:p w:rsidR="00A40DA0"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7. “customs authorities” means the customs authorities of the Republic of Albania and any other authority that has been given the competence for the implementation of Part IV of this law;</w:t>
      </w:r>
    </w:p>
    <w:p w:rsidR="00A40DA0" w:rsidRPr="007647A8" w:rsidRDefault="00A40DA0" w:rsidP="002A39C9">
      <w:pPr>
        <w:tabs>
          <w:tab w:val="left" w:pos="360"/>
        </w:tabs>
        <w:spacing w:after="0"/>
        <w:ind w:left="0" w:firstLine="720"/>
        <w:rPr>
          <w:rFonts w:ascii="Times New Roman" w:hAnsi="Times New Roman" w:cs="Times New Roman"/>
          <w:spacing w:val="-2"/>
          <w:sz w:val="24"/>
          <w:szCs w:val="24"/>
        </w:rPr>
      </w:pPr>
      <w:r>
        <w:rPr>
          <w:rFonts w:ascii="Times New Roman" w:hAnsi="Times New Roman" w:cs="Times New Roman"/>
          <w:sz w:val="24"/>
          <w:szCs w:val="24"/>
        </w:rPr>
        <w:t xml:space="preserve">8. “carrier" means any person entering or leaving the Republic of Albania who carries monetary instruments with him, in his baggage or in his means of </w:t>
      </w:r>
      <w:r>
        <w:rPr>
          <w:rFonts w:ascii="Times New Roman" w:hAnsi="Times New Roman" w:cs="Times New Roman"/>
          <w:spacing w:val="-2"/>
          <w:sz w:val="24"/>
          <w:szCs w:val="24"/>
        </w:rPr>
        <w:t>transport;</w:t>
      </w:r>
    </w:p>
    <w:p w:rsidR="00C354AC" w:rsidRPr="007647A8" w:rsidRDefault="00A40DA0"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pacing w:val="-2"/>
          <w:sz w:val="24"/>
          <w:szCs w:val="24"/>
        </w:rPr>
        <w:t xml:space="preserve">9. </w:t>
      </w:r>
      <w:r>
        <w:rPr>
          <w:rFonts w:ascii="Times New Roman" w:hAnsi="Times New Roman" w:cs="Times New Roman"/>
          <w:sz w:val="24"/>
          <w:szCs w:val="24"/>
        </w:rPr>
        <w:t>"unaccompanied cash" means cash that forms part of a consignment without</w:t>
      </w:r>
      <w:r>
        <w:rPr>
          <w:rFonts w:ascii="Times New Roman" w:hAnsi="Times New Roman" w:cs="Times New Roman"/>
          <w:spacing w:val="40"/>
          <w:sz w:val="24"/>
          <w:szCs w:val="24"/>
        </w:rPr>
        <w:t xml:space="preserve"> </w:t>
      </w:r>
      <w:r>
        <w:rPr>
          <w:rFonts w:ascii="Times New Roman" w:hAnsi="Times New Roman" w:cs="Times New Roman"/>
          <w:sz w:val="24"/>
          <w:szCs w:val="24"/>
        </w:rPr>
        <w:t>holder;</w:t>
      </w:r>
    </w:p>
    <w:p w:rsidR="00A04C41" w:rsidRPr="007647A8" w:rsidRDefault="00C354AC" w:rsidP="002A39C9">
      <w:pPr>
        <w:tabs>
          <w:tab w:val="left" w:pos="360"/>
        </w:tabs>
        <w:spacing w:after="0"/>
        <w:ind w:left="0" w:firstLine="720"/>
        <w:rPr>
          <w:rFonts w:ascii="Times New Roman" w:hAnsi="Times New Roman" w:cs="Times New Roman"/>
          <w:sz w:val="24"/>
          <w:szCs w:val="24"/>
        </w:rPr>
      </w:pPr>
      <w:r>
        <w:rPr>
          <w:rFonts w:ascii="Times New Roman" w:hAnsi="Times New Roman" w:cs="Times New Roman"/>
          <w:sz w:val="24"/>
          <w:szCs w:val="24"/>
        </w:rPr>
        <w:t>10. “criminal activity” means criminal offences under the criminal legislation in force.</w:t>
      </w:r>
    </w:p>
    <w:p w:rsidR="00AE52A8" w:rsidRPr="007647A8" w:rsidRDefault="00AE52A8" w:rsidP="002A39C9">
      <w:pPr>
        <w:pStyle w:val="ListParagraph"/>
        <w:widowControl w:val="0"/>
        <w:tabs>
          <w:tab w:val="left" w:pos="0"/>
          <w:tab w:val="left" w:pos="360"/>
        </w:tabs>
        <w:autoSpaceDE w:val="0"/>
        <w:autoSpaceDN w:val="0"/>
        <w:spacing w:after="0"/>
        <w:ind w:left="0" w:firstLine="0"/>
        <w:contextualSpacing w:val="0"/>
        <w:rPr>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 186</w:t>
      </w:r>
    </w:p>
    <w:p w:rsidR="00A04C41" w:rsidRPr="007647A8" w:rsidRDefault="00A04C41" w:rsidP="002A39C9">
      <w:pPr>
        <w:pStyle w:val="Heading1"/>
        <w:tabs>
          <w:tab w:val="left" w:pos="360"/>
        </w:tabs>
        <w:spacing w:before="0" w:line="276" w:lineRule="auto"/>
        <w:ind w:right="0"/>
        <w:rPr>
          <w:sz w:val="24"/>
          <w:szCs w:val="24"/>
          <w:lang w:val="en-US"/>
        </w:rPr>
      </w:pPr>
      <w:r>
        <w:rPr>
          <w:sz w:val="24"/>
          <w:szCs w:val="24"/>
          <w:lang w:val="en-US"/>
        </w:rPr>
        <w:t>Obligation</w:t>
      </w:r>
      <w:r>
        <w:rPr>
          <w:spacing w:val="23"/>
          <w:sz w:val="24"/>
          <w:szCs w:val="24"/>
          <w:lang w:val="en-US"/>
        </w:rPr>
        <w:t xml:space="preserve"> for declaration of </w:t>
      </w:r>
      <w:r>
        <w:rPr>
          <w:sz w:val="24"/>
          <w:szCs w:val="24"/>
          <w:lang w:val="en-US"/>
        </w:rPr>
        <w:t>accompanied monetary instruments</w:t>
      </w:r>
    </w:p>
    <w:p w:rsidR="00A04C41" w:rsidRPr="007647A8" w:rsidRDefault="00A04C41" w:rsidP="002A39C9">
      <w:pPr>
        <w:pStyle w:val="Heading1"/>
        <w:tabs>
          <w:tab w:val="left" w:pos="360"/>
        </w:tabs>
        <w:spacing w:before="0" w:line="276" w:lineRule="auto"/>
        <w:ind w:right="0"/>
        <w:rPr>
          <w:sz w:val="24"/>
          <w:szCs w:val="24"/>
          <w:lang w:val="en-US"/>
        </w:rPr>
      </w:pPr>
    </w:p>
    <w:p w:rsidR="00A04C41" w:rsidRPr="007647A8" w:rsidRDefault="00EF0F87" w:rsidP="002A39C9">
      <w:pPr>
        <w:pStyle w:val="ListParagraph"/>
        <w:widowControl w:val="0"/>
        <w:numPr>
          <w:ilvl w:val="0"/>
          <w:numId w:val="7"/>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Carriers carrying monetary instruments, with a value starting from the amount of 10 000 (ten thousand) euro or its equivalent in other currencies, must declare them to the customs authorities upon entry into or exit from the Republic of Albania and make them available for inspection. The obligation to declare monetary instruments shall not be considered fulfilled if the information provided is inaccurate or incomplete</w:t>
      </w:r>
      <w:r>
        <w:rPr>
          <w:rFonts w:ascii="Times New Roman" w:hAnsi="Times New Roman" w:cs="Times New Roman"/>
          <w:spacing w:val="40"/>
          <w:sz w:val="24"/>
          <w:szCs w:val="24"/>
        </w:rPr>
        <w:t xml:space="preserve"> </w:t>
      </w:r>
      <w:r>
        <w:rPr>
          <w:rFonts w:ascii="Times New Roman" w:hAnsi="Times New Roman" w:cs="Times New Roman"/>
          <w:sz w:val="24"/>
          <w:szCs w:val="24"/>
        </w:rPr>
        <w:t>or</w:t>
      </w:r>
      <w:r>
        <w:rPr>
          <w:rFonts w:ascii="Times New Roman" w:hAnsi="Times New Roman" w:cs="Times New Roman"/>
          <w:spacing w:val="40"/>
          <w:sz w:val="24"/>
          <w:szCs w:val="24"/>
        </w:rPr>
        <w:t xml:space="preserve"> if </w:t>
      </w:r>
      <w:r>
        <w:rPr>
          <w:rFonts w:ascii="Times New Roman" w:hAnsi="Times New Roman" w:cs="Times New Roman"/>
          <w:sz w:val="24"/>
          <w:szCs w:val="24"/>
        </w:rPr>
        <w:t>the monetary instruments are not made available</w:t>
      </w:r>
      <w:r>
        <w:rPr>
          <w:rFonts w:ascii="Times New Roman" w:hAnsi="Times New Roman" w:cs="Times New Roman"/>
          <w:spacing w:val="40"/>
          <w:sz w:val="24"/>
          <w:szCs w:val="24"/>
        </w:rPr>
        <w:t xml:space="preserve"> </w:t>
      </w:r>
      <w:r>
        <w:rPr>
          <w:rFonts w:ascii="Times New Roman" w:hAnsi="Times New Roman" w:cs="Times New Roman"/>
          <w:sz w:val="24"/>
          <w:szCs w:val="24"/>
        </w:rPr>
        <w:t>for inspection.</w:t>
      </w:r>
    </w:p>
    <w:p w:rsidR="00A04C41" w:rsidRPr="007647A8" w:rsidRDefault="00A04C41" w:rsidP="002A39C9">
      <w:pPr>
        <w:pStyle w:val="ListParagraph"/>
        <w:widowControl w:val="0"/>
        <w:numPr>
          <w:ilvl w:val="0"/>
          <w:numId w:val="7"/>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statement referred to in point 1, shall provide data</w:t>
      </w:r>
      <w:r>
        <w:rPr>
          <w:rFonts w:ascii="Times New Roman" w:hAnsi="Times New Roman" w:cs="Times New Roman"/>
          <w:spacing w:val="40"/>
          <w:sz w:val="24"/>
          <w:szCs w:val="24"/>
        </w:rPr>
        <w:t xml:space="preserve"> </w:t>
      </w:r>
      <w:r>
        <w:rPr>
          <w:rFonts w:ascii="Times New Roman" w:hAnsi="Times New Roman" w:cs="Times New Roman"/>
          <w:sz w:val="24"/>
          <w:szCs w:val="24"/>
        </w:rPr>
        <w:t>on:</w:t>
      </w:r>
    </w:p>
    <w:p w:rsidR="00A04C41" w:rsidRPr="007647A8" w:rsidRDefault="00EF0F87" w:rsidP="002A39C9">
      <w:pPr>
        <w:pStyle w:val="ListParagraph"/>
        <w:widowControl w:val="0"/>
        <w:numPr>
          <w:ilvl w:val="0"/>
          <w:numId w:val="10"/>
        </w:numPr>
        <w:tabs>
          <w:tab w:val="left" w:pos="0"/>
          <w:tab w:val="left" w:pos="360"/>
          <w:tab w:val="left" w:pos="709"/>
          <w:tab w:val="left" w:pos="851"/>
          <w:tab w:val="left" w:pos="1325"/>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the holder, by providing the full name, surname, contact details, including address, date and place of birth, nationality and </w:t>
      </w:r>
      <w:r>
        <w:rPr>
          <w:rFonts w:ascii="Times New Roman" w:hAnsi="Times New Roman" w:cs="Times New Roman"/>
          <w:spacing w:val="-2"/>
          <w:sz w:val="24"/>
          <w:szCs w:val="24"/>
        </w:rPr>
        <w:t>the number of the identification document;</w:t>
      </w:r>
    </w:p>
    <w:p w:rsidR="00A04C41" w:rsidRPr="007647A8" w:rsidRDefault="00A04C41" w:rsidP="002A39C9">
      <w:pPr>
        <w:pStyle w:val="ListParagraph"/>
        <w:widowControl w:val="0"/>
        <w:numPr>
          <w:ilvl w:val="0"/>
          <w:numId w:val="10"/>
        </w:numPr>
        <w:tabs>
          <w:tab w:val="left" w:pos="0"/>
          <w:tab w:val="left" w:pos="360"/>
          <w:tab w:val="left" w:pos="851"/>
          <w:tab w:val="left" w:pos="1325"/>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of the owner of the monetary funds, providing the full name, surname, contact details, including the address, date and place of birth, nationality and </w:t>
      </w:r>
      <w:r>
        <w:rPr>
          <w:rFonts w:ascii="Times New Roman" w:hAnsi="Times New Roman" w:cs="Times New Roman"/>
          <w:spacing w:val="-2"/>
          <w:sz w:val="24"/>
          <w:szCs w:val="24"/>
        </w:rPr>
        <w:t>the number of the identification document</w:t>
      </w:r>
      <w:r>
        <w:rPr>
          <w:rFonts w:ascii="Times New Roman" w:hAnsi="Times New Roman" w:cs="Times New Roman"/>
          <w:sz w:val="24"/>
          <w:szCs w:val="24"/>
        </w:rPr>
        <w:t>,</w:t>
      </w:r>
      <w:r>
        <w:rPr>
          <w:rFonts w:ascii="Times New Roman" w:hAnsi="Times New Roman" w:cs="Times New Roman"/>
          <w:spacing w:val="36"/>
          <w:sz w:val="24"/>
          <w:szCs w:val="24"/>
        </w:rPr>
        <w:t xml:space="preserve"> </w:t>
      </w:r>
      <w:r>
        <w:rPr>
          <w:rFonts w:ascii="Times New Roman" w:hAnsi="Times New Roman" w:cs="Times New Roman"/>
          <w:sz w:val="24"/>
          <w:szCs w:val="24"/>
        </w:rPr>
        <w:t>when</w:t>
      </w:r>
      <w:r>
        <w:rPr>
          <w:rFonts w:ascii="Times New Roman" w:hAnsi="Times New Roman" w:cs="Times New Roman"/>
          <w:spacing w:val="34"/>
          <w:sz w:val="24"/>
          <w:szCs w:val="24"/>
        </w:rPr>
        <w:t xml:space="preserve"> </w:t>
      </w:r>
      <w:r>
        <w:rPr>
          <w:rFonts w:ascii="Times New Roman" w:hAnsi="Times New Roman" w:cs="Times New Roman"/>
          <w:sz w:val="24"/>
          <w:szCs w:val="24"/>
        </w:rPr>
        <w:t>the owner</w:t>
      </w:r>
      <w:r>
        <w:rPr>
          <w:rFonts w:ascii="Times New Roman" w:hAnsi="Times New Roman" w:cs="Times New Roman"/>
          <w:spacing w:val="35"/>
          <w:sz w:val="24"/>
          <w:szCs w:val="24"/>
        </w:rPr>
        <w:t xml:space="preserve"> </w:t>
      </w:r>
      <w:r>
        <w:rPr>
          <w:rFonts w:ascii="Times New Roman" w:hAnsi="Times New Roman" w:cs="Times New Roman"/>
          <w:sz w:val="24"/>
          <w:szCs w:val="24"/>
        </w:rPr>
        <w:t>is</w:t>
      </w:r>
      <w:r>
        <w:rPr>
          <w:rFonts w:ascii="Times New Roman" w:hAnsi="Times New Roman" w:cs="Times New Roman"/>
          <w:spacing w:val="34"/>
          <w:sz w:val="24"/>
          <w:szCs w:val="24"/>
        </w:rPr>
        <w:t xml:space="preserve"> </w:t>
      </w:r>
      <w:r>
        <w:rPr>
          <w:rFonts w:ascii="Times New Roman" w:hAnsi="Times New Roman" w:cs="Times New Roman"/>
          <w:sz w:val="24"/>
          <w:szCs w:val="24"/>
        </w:rPr>
        <w:t>a person,</w:t>
      </w:r>
      <w:r>
        <w:rPr>
          <w:rFonts w:ascii="Times New Roman" w:hAnsi="Times New Roman" w:cs="Times New Roman"/>
          <w:spacing w:val="36"/>
          <w:sz w:val="24"/>
          <w:szCs w:val="24"/>
        </w:rPr>
        <w:t xml:space="preserve"> </w:t>
      </w:r>
      <w:r>
        <w:rPr>
          <w:rFonts w:ascii="Times New Roman" w:hAnsi="Times New Roman" w:cs="Times New Roman"/>
          <w:sz w:val="24"/>
          <w:szCs w:val="24"/>
        </w:rPr>
        <w:t>or the full name, contact details, including the address, the registration number and, where possible, the number of the identification document of registration of the taxable person (NUIS/NIPT) when</w:t>
      </w:r>
      <w:r>
        <w:rPr>
          <w:rFonts w:ascii="Times New Roman" w:hAnsi="Times New Roman" w:cs="Times New Roman"/>
          <w:spacing w:val="40"/>
          <w:sz w:val="24"/>
          <w:szCs w:val="24"/>
        </w:rPr>
        <w:t xml:space="preserve"> </w:t>
      </w:r>
      <w:r>
        <w:rPr>
          <w:rFonts w:ascii="Times New Roman" w:hAnsi="Times New Roman" w:cs="Times New Roman"/>
          <w:sz w:val="24"/>
          <w:szCs w:val="24"/>
        </w:rPr>
        <w:t>the owner is a natural person or legal person;</w:t>
      </w:r>
    </w:p>
    <w:p w:rsidR="00A04C41" w:rsidRPr="007647A8" w:rsidRDefault="00A04C41" w:rsidP="002A39C9">
      <w:pPr>
        <w:pStyle w:val="ListParagraph"/>
        <w:widowControl w:val="0"/>
        <w:numPr>
          <w:ilvl w:val="0"/>
          <w:numId w:val="10"/>
        </w:numPr>
        <w:tabs>
          <w:tab w:val="left" w:pos="0"/>
          <w:tab w:val="left" w:pos="360"/>
          <w:tab w:val="left" w:pos="709"/>
          <w:tab w:val="left" w:pos="851"/>
          <w:tab w:val="left" w:pos="1325"/>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where possible, the intended recipient of the monetary funds, by providing the full name, surname, contact details, including the address, date and place of birth, nationality</w:t>
      </w:r>
      <w:r>
        <w:rPr>
          <w:rFonts w:ascii="Times New Roman" w:hAnsi="Times New Roman" w:cs="Times New Roman"/>
          <w:spacing w:val="40"/>
          <w:sz w:val="24"/>
          <w:szCs w:val="24"/>
        </w:rPr>
        <w:t xml:space="preserve"> </w:t>
      </w:r>
      <w:r>
        <w:rPr>
          <w:rFonts w:ascii="Times New Roman" w:hAnsi="Times New Roman" w:cs="Times New Roman"/>
          <w:sz w:val="24"/>
          <w:szCs w:val="24"/>
        </w:rPr>
        <w:t>and</w:t>
      </w:r>
      <w:r>
        <w:rPr>
          <w:rFonts w:ascii="Times New Roman" w:hAnsi="Times New Roman" w:cs="Times New Roman"/>
          <w:spacing w:val="40"/>
          <w:sz w:val="24"/>
          <w:szCs w:val="24"/>
        </w:rPr>
        <w:t xml:space="preserve"> the number of the identification document</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when</w:t>
      </w:r>
      <w:r>
        <w:rPr>
          <w:rFonts w:ascii="Times New Roman" w:hAnsi="Times New Roman" w:cs="Times New Roman"/>
          <w:spacing w:val="40"/>
          <w:sz w:val="24"/>
          <w:szCs w:val="24"/>
        </w:rPr>
        <w:t xml:space="preserve"> </w:t>
      </w:r>
      <w:r>
        <w:rPr>
          <w:rFonts w:ascii="Times New Roman" w:hAnsi="Times New Roman" w:cs="Times New Roman"/>
          <w:sz w:val="24"/>
          <w:szCs w:val="24"/>
        </w:rPr>
        <w:t>the intended recipient is a natural person, or the full name, contact details, including the address, registration number and, where possible, the identification document number of the registration of the taxable person (NUIS/NIPT), when the intended recipient is a natural person or legal person</w:t>
      </w:r>
      <w:r>
        <w:rPr>
          <w:rFonts w:ascii="Times New Roman" w:hAnsi="Times New Roman" w:cs="Times New Roman"/>
          <w:spacing w:val="-2"/>
          <w:sz w:val="24"/>
          <w:szCs w:val="24"/>
        </w:rPr>
        <w:t>;</w:t>
      </w:r>
    </w:p>
    <w:p w:rsidR="00A04C41" w:rsidRPr="007647A8" w:rsidRDefault="00A04C41" w:rsidP="002A39C9">
      <w:pPr>
        <w:pStyle w:val="ListParagraph"/>
        <w:tabs>
          <w:tab w:val="left" w:pos="360"/>
          <w:tab w:val="left" w:pos="720"/>
          <w:tab w:val="left" w:pos="1324"/>
        </w:tabs>
        <w:spacing w:after="0"/>
        <w:ind w:left="0" w:firstLine="567"/>
        <w:rPr>
          <w:rFonts w:ascii="Times New Roman" w:hAnsi="Times New Roman" w:cs="Times New Roman"/>
          <w:sz w:val="24"/>
          <w:szCs w:val="24"/>
        </w:rPr>
      </w:pPr>
      <w:r>
        <w:rPr>
          <w:rFonts w:ascii="Times New Roman" w:hAnsi="Times New Roman" w:cs="Times New Roman"/>
          <w:sz w:val="24"/>
          <w:szCs w:val="24"/>
        </w:rPr>
        <w:t>c)   nature</w:t>
      </w:r>
      <w:r>
        <w:rPr>
          <w:rFonts w:ascii="Times New Roman" w:hAnsi="Times New Roman" w:cs="Times New Roman"/>
          <w:spacing w:val="27"/>
          <w:sz w:val="24"/>
          <w:szCs w:val="24"/>
        </w:rPr>
        <w:t xml:space="preserve"> </w:t>
      </w:r>
      <w:r>
        <w:rPr>
          <w:rFonts w:ascii="Times New Roman" w:hAnsi="Times New Roman" w:cs="Times New Roman"/>
          <w:sz w:val="24"/>
          <w:szCs w:val="24"/>
        </w:rPr>
        <w:t>and</w:t>
      </w:r>
      <w:r>
        <w:rPr>
          <w:rFonts w:ascii="Times New Roman" w:hAnsi="Times New Roman" w:cs="Times New Roman"/>
          <w:spacing w:val="30"/>
          <w:sz w:val="24"/>
          <w:szCs w:val="24"/>
        </w:rPr>
        <w:t xml:space="preserve"> </w:t>
      </w:r>
      <w:r>
        <w:rPr>
          <w:rFonts w:ascii="Times New Roman" w:hAnsi="Times New Roman" w:cs="Times New Roman"/>
          <w:sz w:val="24"/>
          <w:szCs w:val="24"/>
        </w:rPr>
        <w:t>quantity</w:t>
      </w:r>
      <w:r>
        <w:rPr>
          <w:rFonts w:ascii="Times New Roman" w:hAnsi="Times New Roman" w:cs="Times New Roman"/>
          <w:spacing w:val="30"/>
          <w:sz w:val="24"/>
          <w:szCs w:val="24"/>
        </w:rPr>
        <w:t xml:space="preserve"> </w:t>
      </w:r>
      <w:r>
        <w:rPr>
          <w:rFonts w:ascii="Times New Roman" w:hAnsi="Times New Roman" w:cs="Times New Roman"/>
          <w:sz w:val="24"/>
          <w:szCs w:val="24"/>
        </w:rPr>
        <w:t>or</w:t>
      </w:r>
      <w:r>
        <w:rPr>
          <w:rFonts w:ascii="Times New Roman" w:hAnsi="Times New Roman" w:cs="Times New Roman"/>
          <w:spacing w:val="28"/>
          <w:sz w:val="24"/>
          <w:szCs w:val="24"/>
        </w:rPr>
        <w:t xml:space="preserve"> </w:t>
      </w:r>
      <w:r>
        <w:rPr>
          <w:rFonts w:ascii="Times New Roman" w:hAnsi="Times New Roman" w:cs="Times New Roman"/>
          <w:sz w:val="24"/>
          <w:szCs w:val="24"/>
        </w:rPr>
        <w:t>value of</w:t>
      </w:r>
      <w:r>
        <w:rPr>
          <w:rFonts w:ascii="Times New Roman" w:hAnsi="Times New Roman" w:cs="Times New Roman"/>
          <w:spacing w:val="28"/>
          <w:sz w:val="24"/>
          <w:szCs w:val="24"/>
        </w:rPr>
        <w:t xml:space="preserve"> monetary instruments;</w:t>
      </w:r>
    </w:p>
    <w:p w:rsidR="00A04C41" w:rsidRPr="007647A8" w:rsidRDefault="00A04C41" w:rsidP="002A39C9">
      <w:pPr>
        <w:pStyle w:val="ListParagraph"/>
        <w:widowControl w:val="0"/>
        <w:numPr>
          <w:ilvl w:val="0"/>
          <w:numId w:val="10"/>
        </w:numPr>
        <w:tabs>
          <w:tab w:val="left" w:pos="360"/>
          <w:tab w:val="left" w:pos="720"/>
          <w:tab w:val="left" w:pos="851"/>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economic source</w:t>
      </w:r>
      <w:r>
        <w:rPr>
          <w:rFonts w:ascii="Times New Roman" w:hAnsi="Times New Roman" w:cs="Times New Roman"/>
          <w:spacing w:val="29"/>
          <w:sz w:val="24"/>
          <w:szCs w:val="24"/>
        </w:rPr>
        <w:t xml:space="preserve"> </w:t>
      </w:r>
      <w:r>
        <w:rPr>
          <w:rFonts w:ascii="Times New Roman" w:hAnsi="Times New Roman" w:cs="Times New Roman"/>
          <w:sz w:val="24"/>
          <w:szCs w:val="24"/>
        </w:rPr>
        <w:t>of monetary means</w:t>
      </w:r>
      <w:r>
        <w:rPr>
          <w:rFonts w:ascii="Times New Roman" w:hAnsi="Times New Roman" w:cs="Times New Roman"/>
          <w:spacing w:val="-2"/>
          <w:sz w:val="24"/>
          <w:szCs w:val="24"/>
        </w:rPr>
        <w:t>;</w:t>
      </w:r>
    </w:p>
    <w:p w:rsidR="00A04C41" w:rsidRPr="007647A8" w:rsidRDefault="00A04C41" w:rsidP="002A39C9">
      <w:pPr>
        <w:pStyle w:val="ListParagraph"/>
        <w:tabs>
          <w:tab w:val="left" w:pos="360"/>
          <w:tab w:val="left" w:pos="720"/>
          <w:tab w:val="left" w:pos="1324"/>
        </w:tabs>
        <w:spacing w:after="0"/>
        <w:ind w:left="0" w:firstLine="567"/>
        <w:rPr>
          <w:rFonts w:ascii="Times New Roman" w:hAnsi="Times New Roman" w:cs="Times New Roman"/>
          <w:sz w:val="24"/>
          <w:szCs w:val="24"/>
        </w:rPr>
      </w:pPr>
      <w:r>
        <w:rPr>
          <w:rFonts w:ascii="Times New Roman" w:hAnsi="Times New Roman" w:cs="Times New Roman"/>
          <w:sz w:val="24"/>
          <w:szCs w:val="24"/>
        </w:rPr>
        <w:t>dh)  the purpose of the use of</w:t>
      </w:r>
      <w:r>
        <w:rPr>
          <w:rFonts w:ascii="Times New Roman" w:hAnsi="Times New Roman" w:cs="Times New Roman"/>
          <w:spacing w:val="29"/>
          <w:sz w:val="24"/>
          <w:szCs w:val="24"/>
        </w:rPr>
        <w:t xml:space="preserve"> </w:t>
      </w:r>
      <w:r>
        <w:rPr>
          <w:rFonts w:ascii="Times New Roman" w:hAnsi="Times New Roman" w:cs="Times New Roman"/>
          <w:sz w:val="24"/>
          <w:szCs w:val="24"/>
        </w:rPr>
        <w:t>monetary means</w:t>
      </w:r>
      <w:r>
        <w:rPr>
          <w:rFonts w:ascii="Times New Roman" w:hAnsi="Times New Roman" w:cs="Times New Roman"/>
          <w:spacing w:val="-2"/>
          <w:sz w:val="24"/>
          <w:szCs w:val="24"/>
        </w:rPr>
        <w:t>;</w:t>
      </w:r>
    </w:p>
    <w:p w:rsidR="00A04C41" w:rsidRPr="007647A8" w:rsidRDefault="00A04C41" w:rsidP="002A39C9">
      <w:pPr>
        <w:pStyle w:val="ListParagraph"/>
        <w:widowControl w:val="0"/>
        <w:numPr>
          <w:ilvl w:val="0"/>
          <w:numId w:val="10"/>
        </w:numPr>
        <w:tabs>
          <w:tab w:val="left" w:pos="360"/>
          <w:tab w:val="left" w:pos="426"/>
          <w:tab w:val="left" w:pos="709"/>
          <w:tab w:val="left" w:pos="851"/>
          <w:tab w:val="left" w:pos="993"/>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transport route;</w:t>
      </w:r>
      <w:r>
        <w:rPr>
          <w:rFonts w:ascii="Times New Roman" w:hAnsi="Times New Roman" w:cs="Times New Roman"/>
          <w:spacing w:val="27"/>
          <w:sz w:val="24"/>
          <w:szCs w:val="24"/>
        </w:rPr>
        <w:t xml:space="preserve"> and</w:t>
      </w:r>
    </w:p>
    <w:p w:rsidR="00A04C41" w:rsidRPr="007647A8" w:rsidRDefault="00EC0A87" w:rsidP="002A39C9">
      <w:pPr>
        <w:pStyle w:val="ListParagraph"/>
        <w:tabs>
          <w:tab w:val="left" w:pos="360"/>
          <w:tab w:val="left" w:pos="720"/>
          <w:tab w:val="left" w:pos="851"/>
          <w:tab w:val="left" w:pos="1276"/>
        </w:tabs>
        <w:spacing w:after="0"/>
        <w:ind w:left="0" w:firstLine="567"/>
        <w:rPr>
          <w:rFonts w:ascii="Times New Roman" w:hAnsi="Times New Roman" w:cs="Times New Roman"/>
          <w:sz w:val="24"/>
          <w:szCs w:val="24"/>
        </w:rPr>
      </w:pPr>
      <w:r>
        <w:rPr>
          <w:rFonts w:ascii="Times New Roman" w:hAnsi="Times New Roman" w:cs="Times New Roman"/>
          <w:sz w:val="24"/>
          <w:szCs w:val="24"/>
        </w:rPr>
        <w:t>e)   the means of</w:t>
      </w:r>
      <w:r>
        <w:rPr>
          <w:rFonts w:ascii="Times New Roman" w:hAnsi="Times New Roman" w:cs="Times New Roman"/>
          <w:spacing w:val="27"/>
          <w:sz w:val="24"/>
          <w:szCs w:val="24"/>
        </w:rPr>
        <w:t xml:space="preserve"> transport.</w:t>
      </w:r>
    </w:p>
    <w:p w:rsidR="00A04C41" w:rsidRPr="007647A8" w:rsidRDefault="00A04C41" w:rsidP="002A39C9">
      <w:pPr>
        <w:pStyle w:val="ListParagraph"/>
        <w:widowControl w:val="0"/>
        <w:numPr>
          <w:ilvl w:val="0"/>
          <w:numId w:val="7"/>
        </w:numPr>
        <w:tabs>
          <w:tab w:val="left" w:pos="17"/>
          <w:tab w:val="left" w:pos="360"/>
          <w:tab w:val="left" w:pos="851"/>
          <w:tab w:val="left" w:pos="1442"/>
        </w:tabs>
        <w:autoSpaceDE w:val="0"/>
        <w:autoSpaceDN w:val="0"/>
        <w:spacing w:after="0"/>
        <w:ind w:left="0" w:firstLine="567"/>
        <w:contextualSpacing w:val="0"/>
        <w:rPr>
          <w:rFonts w:ascii="Times New Roman" w:hAnsi="Times New Roman" w:cs="Times New Roman"/>
          <w:b/>
          <w:sz w:val="24"/>
          <w:szCs w:val="24"/>
        </w:rPr>
      </w:pPr>
      <w:r>
        <w:rPr>
          <w:rFonts w:ascii="Times New Roman" w:hAnsi="Times New Roman" w:cs="Times New Roman"/>
          <w:sz w:val="24"/>
          <w:szCs w:val="24"/>
        </w:rPr>
        <w:t>The data referred to in point 2, of this article shall be provided in writing or electronically, using the declaration form referred to in Article 199, point 4, letter “a” of this law. One copy</w:t>
      </w:r>
      <w:r>
        <w:rPr>
          <w:rFonts w:ascii="Times New Roman" w:hAnsi="Times New Roman" w:cs="Times New Roman"/>
          <w:b/>
          <w:sz w:val="24"/>
          <w:szCs w:val="24"/>
        </w:rPr>
        <w:t xml:space="preserve"> </w:t>
      </w:r>
      <w:r>
        <w:rPr>
          <w:rStyle w:val="Strong"/>
          <w:rFonts w:ascii="Times New Roman" w:hAnsi="Times New Roman" w:cs="Times New Roman"/>
          <w:b w:val="0"/>
          <w:sz w:val="24"/>
          <w:szCs w:val="24"/>
        </w:rPr>
        <w:t>of the approved declaration is given to the declarant at his request.</w:t>
      </w:r>
    </w:p>
    <w:p w:rsidR="00A04C41" w:rsidRPr="007647A8" w:rsidRDefault="00A04C41" w:rsidP="002A39C9">
      <w:pPr>
        <w:pStyle w:val="BodyText"/>
        <w:tabs>
          <w:tab w:val="left" w:pos="360"/>
        </w:tabs>
        <w:spacing w:line="276" w:lineRule="auto"/>
        <w:rPr>
          <w:sz w:val="24"/>
          <w:szCs w:val="24"/>
          <w:lang w:val="en-US"/>
        </w:rPr>
      </w:pP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In</w:t>
      </w:r>
      <w:r>
        <w:rPr>
          <w:rFonts w:ascii="Times New Roman" w:hAnsi="Times New Roman" w:cs="Times New Roman"/>
          <w:spacing w:val="26"/>
          <w:sz w:val="24"/>
          <w:szCs w:val="24"/>
        </w:rPr>
        <w:t>of 187</w:t>
      </w:r>
    </w:p>
    <w:p w:rsidR="00A04C41" w:rsidRPr="007647A8" w:rsidRDefault="00A04C41" w:rsidP="002A39C9">
      <w:pPr>
        <w:spacing w:after="0"/>
        <w:jc w:val="center"/>
        <w:rPr>
          <w:rFonts w:ascii="Times New Roman" w:hAnsi="Times New Roman" w:cs="Times New Roman"/>
          <w:b/>
          <w:sz w:val="24"/>
          <w:szCs w:val="24"/>
        </w:rPr>
      </w:pPr>
      <w:r>
        <w:rPr>
          <w:rFonts w:ascii="Times New Roman" w:hAnsi="Times New Roman" w:cs="Times New Roman"/>
          <w:b/>
          <w:sz w:val="24"/>
          <w:szCs w:val="24"/>
        </w:rPr>
        <w:t>The obligation to provide information concerning unaccompanied cash</w:t>
      </w:r>
    </w:p>
    <w:p w:rsidR="00A04C41" w:rsidRPr="007647A8" w:rsidRDefault="00A04C41" w:rsidP="002A39C9">
      <w:pPr>
        <w:spacing w:after="0"/>
        <w:jc w:val="center"/>
        <w:rPr>
          <w:rFonts w:ascii="Times New Roman" w:hAnsi="Times New Roman" w:cs="Times New Roman"/>
          <w:b/>
          <w:sz w:val="24"/>
          <w:szCs w:val="24"/>
        </w:rPr>
      </w:pP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1. When unaccompanied monetary instruments with a value starting from the amount of 10 000 (ten thousand) euros or its equivalent in other currencies enter or leave the Republic of Albania, the customs authorities may require their sender or recipient, or their representative, as the case may be, to submit an informative declaration within a period of 30 days. </w:t>
      </w: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customs authority temporarily freezes the monetary means until the sender or the recipient, or a representative thereof, submits the disclosure declaration. </w:t>
      </w:r>
    </w:p>
    <w:p w:rsidR="00B65E33" w:rsidRPr="007647A8" w:rsidRDefault="0027501E"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 xml:space="preserve">The obligation for </w:t>
      </w:r>
      <w:r>
        <w:rPr>
          <w:rStyle w:val="Strong"/>
          <w:rFonts w:ascii="Times New Roman" w:hAnsi="Times New Roman" w:cs="Times New Roman"/>
          <w:b w:val="0"/>
          <w:sz w:val="24"/>
          <w:szCs w:val="24"/>
        </w:rPr>
        <w:t xml:space="preserve">the declaration of </w:t>
      </w:r>
      <w:r>
        <w:rPr>
          <w:rFonts w:ascii="Times New Roman" w:hAnsi="Times New Roman" w:cs="Times New Roman"/>
          <w:sz w:val="24"/>
          <w:szCs w:val="24"/>
        </w:rPr>
        <w:t>monetary means</w:t>
      </w:r>
      <w:r>
        <w:rPr>
          <w:rStyle w:val="Strong"/>
          <w:rFonts w:ascii="Times New Roman" w:hAnsi="Times New Roman" w:cs="Times New Roman"/>
          <w:b w:val="0"/>
          <w:sz w:val="24"/>
          <w:szCs w:val="24"/>
        </w:rPr>
        <w:t xml:space="preserve"> unaccompanied</w:t>
      </w:r>
      <w:r>
        <w:rPr>
          <w:rFonts w:ascii="Times New Roman" w:hAnsi="Times New Roman" w:cs="Times New Roman"/>
          <w:sz w:val="24"/>
          <w:szCs w:val="24"/>
        </w:rPr>
        <w:t xml:space="preserve"> is not considered fulfilled when the declaration </w:t>
      </w:r>
      <w:r>
        <w:rPr>
          <w:rStyle w:val="Strong"/>
          <w:rFonts w:ascii="Times New Roman" w:hAnsi="Times New Roman" w:cs="Times New Roman"/>
          <w:b w:val="0"/>
          <w:sz w:val="24"/>
          <w:szCs w:val="24"/>
        </w:rPr>
        <w:t>is not submitted within the specified deadline</w:t>
      </w:r>
      <w:r>
        <w:rPr>
          <w:rFonts w:ascii="Times New Roman" w:hAnsi="Times New Roman" w:cs="Times New Roman"/>
          <w:sz w:val="24"/>
          <w:szCs w:val="24"/>
        </w:rPr>
        <w:t xml:space="preserve">, the information provided is inaccurate or </w:t>
      </w:r>
      <w:r>
        <w:rPr>
          <w:rStyle w:val="Strong"/>
          <w:rFonts w:ascii="Times New Roman" w:hAnsi="Times New Roman" w:cs="Times New Roman"/>
          <w:b w:val="0"/>
          <w:sz w:val="24"/>
          <w:szCs w:val="24"/>
        </w:rPr>
        <w:t>incomplete</w:t>
      </w:r>
      <w:r>
        <w:rPr>
          <w:rFonts w:ascii="Times New Roman" w:hAnsi="Times New Roman" w:cs="Times New Roman"/>
          <w:sz w:val="24"/>
          <w:szCs w:val="24"/>
        </w:rPr>
        <w:t>, or monetary means</w:t>
      </w:r>
      <w:r>
        <w:rPr>
          <w:rStyle w:val="Strong"/>
          <w:rFonts w:ascii="Times New Roman" w:hAnsi="Times New Roman" w:cs="Times New Roman"/>
          <w:b w:val="0"/>
          <w:sz w:val="24"/>
          <w:szCs w:val="24"/>
        </w:rPr>
        <w:t xml:space="preserve"> are not made available for control</w:t>
      </w:r>
      <w:r>
        <w:rPr>
          <w:rFonts w:ascii="Times New Roman" w:hAnsi="Times New Roman" w:cs="Times New Roman"/>
          <w:sz w:val="24"/>
          <w:szCs w:val="24"/>
        </w:rPr>
        <w:t>.</w:t>
      </w: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2. The information notice must contain data regarding the following:</w:t>
      </w: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a) the declarant, by providing the full name, surname, contact details, including the address, date and place of birth, nationality and identification document number;</w:t>
      </w: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b) the owner of the monetary means, by providing the full name, surname, contact details, including the address, date and place of birth, nationality and identification document number, when the owner is a person, or the full name, contact details, including the address, registration number and, where possible, the identification document number of the registration of the taxable person (NUIS/NIPT) when the owner is a natural person or legal person;</w:t>
      </w:r>
    </w:p>
    <w:p w:rsidR="00B65E33"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c) the sender of the monetary funds, providing the first name and surname, contact details, including address, date and place of birth, nationality and identification document number, when the sender is a person, or the full name, contact details, including address, registration number and, where possible, the identification document number of the registration of the taxable person (NUIS/NIPT), when the sender is a natural person or legal person;</w:t>
      </w:r>
    </w:p>
    <w:p w:rsidR="00223EAA"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(c) the recipient or the person who must receive the monetary means, by providing the first name and surname, contact details, including the address, date and place of birth, nationality and the number of the identification document, when the recipient or the intended recipient is a person, or the full name, contact details, including the address, registration number and, where possible, the identification document number of the registration of the taxable person (NUIS/NIPT), when the recipient or the intended recipient is a natural person or legal person;</w:t>
      </w:r>
    </w:p>
    <w:p w:rsidR="00223EAA"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d) the nature and the quantity or value of the monetary funds;</w:t>
      </w:r>
    </w:p>
    <w:p w:rsidR="00223EAA"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dh) the economic source of the monetary funds; and</w:t>
      </w:r>
    </w:p>
    <w:p w:rsidR="00223EAA" w:rsidRPr="007647A8" w:rsidRDefault="00A04C41" w:rsidP="002A39C9">
      <w:pPr>
        <w:spacing w:after="0"/>
        <w:ind w:left="0" w:firstLine="720"/>
        <w:rPr>
          <w:rFonts w:ascii="Times New Roman" w:hAnsi="Times New Roman" w:cs="Times New Roman"/>
          <w:sz w:val="24"/>
          <w:szCs w:val="24"/>
        </w:rPr>
      </w:pPr>
      <w:r>
        <w:rPr>
          <w:rFonts w:ascii="Times New Roman" w:hAnsi="Times New Roman" w:cs="Times New Roman"/>
          <w:sz w:val="24"/>
          <w:szCs w:val="24"/>
        </w:rPr>
        <w:t>e) the purpose of the use of</w:t>
      </w:r>
      <w:r>
        <w:rPr>
          <w:rFonts w:ascii="Times New Roman" w:hAnsi="Times New Roman" w:cs="Times New Roman"/>
          <w:spacing w:val="29"/>
          <w:sz w:val="24"/>
          <w:szCs w:val="24"/>
        </w:rPr>
        <w:t xml:space="preserve"> </w:t>
      </w:r>
      <w:r>
        <w:rPr>
          <w:rFonts w:ascii="Times New Roman" w:hAnsi="Times New Roman" w:cs="Times New Roman"/>
          <w:sz w:val="24"/>
          <w:szCs w:val="24"/>
        </w:rPr>
        <w:t>monetary instruments</w:t>
      </w:r>
      <w:r>
        <w:rPr>
          <w:rFonts w:ascii="Times New Roman" w:hAnsi="Times New Roman" w:cs="Times New Roman"/>
          <w:spacing w:val="-2"/>
          <w:sz w:val="24"/>
          <w:szCs w:val="24"/>
        </w:rPr>
        <w:t>.</w:t>
      </w:r>
    </w:p>
    <w:p w:rsidR="00A04C41" w:rsidRPr="007647A8" w:rsidRDefault="00A04C41" w:rsidP="002A39C9">
      <w:pPr>
        <w:spacing w:after="0"/>
        <w:ind w:left="0" w:firstLine="720"/>
        <w:rPr>
          <w:rStyle w:val="Strong"/>
          <w:rFonts w:ascii="Times New Roman" w:hAnsi="Times New Roman" w:cs="Times New Roman"/>
          <w:b w:val="0"/>
          <w:bCs w:val="0"/>
          <w:sz w:val="24"/>
          <w:szCs w:val="24"/>
        </w:rPr>
      </w:pPr>
      <w:r>
        <w:rPr>
          <w:rFonts w:ascii="Times New Roman" w:hAnsi="Times New Roman" w:cs="Times New Roman"/>
          <w:sz w:val="24"/>
          <w:szCs w:val="24"/>
        </w:rPr>
        <w:t xml:space="preserve">3. The data referred to in point 2 of this article shall be provided in writing or in electronic form, using the information statement form referred to in Article 199, point 4, letter “a” of this law. </w:t>
      </w:r>
      <w:r>
        <w:rPr>
          <w:rStyle w:val="Strong"/>
          <w:rFonts w:ascii="Times New Roman" w:hAnsi="Times New Roman" w:cs="Times New Roman"/>
          <w:b w:val="0"/>
          <w:sz w:val="24"/>
          <w:szCs w:val="24"/>
        </w:rPr>
        <w:t>An approved copy of the information statement shall be given to the declarant at his request.</w:t>
      </w:r>
    </w:p>
    <w:p w:rsidR="00A200B7" w:rsidRPr="007647A8" w:rsidRDefault="00A200B7" w:rsidP="002A39C9">
      <w:pPr>
        <w:spacing w:after="0"/>
        <w:ind w:left="0" w:firstLine="567"/>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Under</w:t>
      </w:r>
      <w:r>
        <w:rPr>
          <w:rFonts w:ascii="Times New Roman" w:hAnsi="Times New Roman" w:cs="Times New Roman"/>
          <w:spacing w:val="26"/>
          <w:sz w:val="24"/>
          <w:szCs w:val="24"/>
        </w:rPr>
        <w:t>of 188</w:t>
      </w:r>
    </w:p>
    <w:p w:rsidR="00A04C41" w:rsidRPr="007647A8" w:rsidRDefault="00A04C41" w:rsidP="002A39C9">
      <w:pPr>
        <w:pStyle w:val="Heading1"/>
        <w:tabs>
          <w:tab w:val="left" w:pos="360"/>
        </w:tabs>
        <w:spacing w:before="0" w:line="276" w:lineRule="auto"/>
        <w:ind w:right="0"/>
        <w:rPr>
          <w:spacing w:val="25"/>
          <w:sz w:val="24"/>
          <w:szCs w:val="24"/>
          <w:lang w:val="en-US"/>
        </w:rPr>
      </w:pPr>
      <w:r>
        <w:rPr>
          <w:sz w:val="24"/>
          <w:szCs w:val="24"/>
          <w:lang w:val="en-US"/>
        </w:rPr>
        <w:t xml:space="preserve">Powers of </w:t>
      </w:r>
      <w:r>
        <w:rPr>
          <w:spacing w:val="-2"/>
          <w:sz w:val="24"/>
          <w:szCs w:val="24"/>
          <w:lang w:val="en-US"/>
        </w:rPr>
        <w:t>authorities</w:t>
      </w:r>
      <w:r>
        <w:rPr>
          <w:sz w:val="24"/>
          <w:szCs w:val="24"/>
          <w:lang w:val="en-US"/>
        </w:rPr>
        <w:t xml:space="preserve"> customs</w:t>
      </w:r>
      <w:r>
        <w:rPr>
          <w:spacing w:val="25"/>
          <w:sz w:val="24"/>
          <w:szCs w:val="24"/>
          <w:lang w:val="en-US"/>
        </w:rPr>
        <w:t xml:space="preserve"> </w:t>
      </w:r>
    </w:p>
    <w:p w:rsidR="00A04C41" w:rsidRPr="007647A8" w:rsidRDefault="00A04C41" w:rsidP="002A39C9">
      <w:pPr>
        <w:pStyle w:val="Heading1"/>
        <w:tabs>
          <w:tab w:val="left" w:pos="360"/>
        </w:tabs>
        <w:spacing w:before="0" w:line="276" w:lineRule="auto"/>
        <w:ind w:right="0"/>
        <w:rPr>
          <w:sz w:val="24"/>
          <w:szCs w:val="24"/>
          <w:lang w:val="en-US"/>
        </w:rPr>
      </w:pPr>
    </w:p>
    <w:p w:rsidR="00A04C41" w:rsidRPr="007647A8" w:rsidRDefault="00A04C41" w:rsidP="002A39C9">
      <w:pPr>
        <w:pStyle w:val="ListParagraph"/>
        <w:widowControl w:val="0"/>
        <w:numPr>
          <w:ilvl w:val="0"/>
          <w:numId w:val="6"/>
        </w:numPr>
        <w:tabs>
          <w:tab w:val="left" w:pos="360"/>
          <w:tab w:val="left" w:pos="851"/>
          <w:tab w:val="left" w:pos="1134"/>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To verify compliance with the obligation to declare accompanied monetary instruments, as provided for in Article 186, the customs authorities have the right to carry out checks of the natural person, their baggage and means of transport, in accordance with the conditions laid down in the legislation in force.</w:t>
      </w:r>
    </w:p>
    <w:p w:rsidR="00A04C41" w:rsidRPr="007647A8" w:rsidRDefault="00A04C41"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For the purpose of implementing the obligation to declare unaccompanied cash, as provided for in Article 187, the customs authorities have the right to carry out controls on any consignment, container or means of transport that may contain unaccompanied cash, in accordance with</w:t>
      </w:r>
      <w:r>
        <w:rPr>
          <w:rFonts w:ascii="Times New Roman" w:hAnsi="Times New Roman" w:cs="Times New Roman"/>
          <w:spacing w:val="40"/>
          <w:sz w:val="24"/>
          <w:szCs w:val="24"/>
        </w:rPr>
        <w:t xml:space="preserve"> </w:t>
      </w:r>
      <w:r>
        <w:rPr>
          <w:rFonts w:ascii="Times New Roman" w:hAnsi="Times New Roman" w:cs="Times New Roman"/>
          <w:sz w:val="24"/>
          <w:szCs w:val="24"/>
        </w:rPr>
        <w:t>conditions</w:t>
      </w:r>
      <w:r>
        <w:rPr>
          <w:rFonts w:ascii="Times New Roman" w:hAnsi="Times New Roman" w:cs="Times New Roman"/>
          <w:spacing w:val="40"/>
          <w:sz w:val="24"/>
          <w:szCs w:val="24"/>
        </w:rPr>
        <w:t xml:space="preserve"> </w:t>
      </w:r>
      <w:r>
        <w:rPr>
          <w:rFonts w:ascii="Times New Roman" w:hAnsi="Times New Roman" w:cs="Times New Roman"/>
          <w:sz w:val="24"/>
          <w:szCs w:val="24"/>
        </w:rPr>
        <w:t>defined in the legislation in force.</w:t>
      </w:r>
    </w:p>
    <w:p w:rsidR="00A04C41" w:rsidRPr="007647A8" w:rsidRDefault="00A04C41"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If</w:t>
      </w:r>
      <w:r>
        <w:rPr>
          <w:rFonts w:ascii="Times New Roman" w:hAnsi="Times New Roman" w:cs="Times New Roman"/>
          <w:spacing w:val="-1"/>
          <w:sz w:val="24"/>
          <w:szCs w:val="24"/>
        </w:rPr>
        <w:t xml:space="preserve"> </w:t>
      </w:r>
      <w:r>
        <w:rPr>
          <w:rFonts w:ascii="Times New Roman" w:hAnsi="Times New Roman" w:cs="Times New Roman"/>
          <w:sz w:val="24"/>
          <w:szCs w:val="24"/>
        </w:rPr>
        <w:t>the obligation to declare</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the cash accompanied according to Article 186, or the obligation to declare unaccompanied cash according to Article 187, has not been fulfilled, the customs authorities draw up in writing or in electronic form, a declaration </w:t>
      </w:r>
      <w:r>
        <w:rPr>
          <w:rFonts w:ascii="Times New Roman" w:hAnsi="Times New Roman" w:cs="Times New Roman"/>
          <w:i/>
          <w:sz w:val="24"/>
          <w:szCs w:val="24"/>
        </w:rPr>
        <w:t xml:space="preserve">ex officio, </w:t>
      </w:r>
      <w:r>
        <w:rPr>
          <w:rFonts w:ascii="Times New Roman" w:hAnsi="Times New Roman" w:cs="Times New Roman"/>
          <w:sz w:val="24"/>
          <w:szCs w:val="24"/>
        </w:rPr>
        <w:t>which</w:t>
      </w:r>
      <w:r>
        <w:rPr>
          <w:rFonts w:ascii="Times New Roman" w:hAnsi="Times New Roman" w:cs="Times New Roman"/>
          <w:spacing w:val="40"/>
          <w:sz w:val="24"/>
          <w:szCs w:val="24"/>
        </w:rPr>
        <w:t xml:space="preserve"> </w:t>
      </w:r>
      <w:r>
        <w:rPr>
          <w:rFonts w:ascii="Times New Roman" w:hAnsi="Times New Roman" w:cs="Times New Roman"/>
          <w:sz w:val="24"/>
          <w:szCs w:val="24"/>
        </w:rPr>
        <w:t>must contain, to the extent possible, data referred to in Article 186 point 2, to, or in Article 187, point 2, as the case may be.</w:t>
      </w:r>
    </w:p>
    <w:p w:rsidR="00A04C41" w:rsidRPr="007647A8" w:rsidRDefault="00A04C41" w:rsidP="002A39C9">
      <w:pPr>
        <w:pStyle w:val="ListParagraph"/>
        <w:widowControl w:val="0"/>
        <w:numPr>
          <w:ilvl w:val="0"/>
          <w:numId w:val="6"/>
        </w:numPr>
        <w:tabs>
          <w:tab w:val="left" w:pos="360"/>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Controls should be based mainly on risk analysis, with the aim of identifying and assessing the risk and taking the necessary countermeasures, and should be carried out within a common risk management framework</w:t>
      </w:r>
      <w:r>
        <w:t xml:space="preserve">, </w:t>
      </w:r>
      <w:r>
        <w:rPr>
          <w:rFonts w:ascii="Times New Roman" w:hAnsi="Times New Roman" w:cs="Times New Roman"/>
          <w:sz w:val="24"/>
          <w:szCs w:val="24"/>
        </w:rPr>
        <w:t>in accordance</w:t>
      </w:r>
      <w:r>
        <w:rPr>
          <w:rFonts w:ascii="Times New Roman" w:hAnsi="Times New Roman" w:cs="Times New Roman"/>
          <w:spacing w:val="25"/>
          <w:sz w:val="24"/>
          <w:szCs w:val="24"/>
        </w:rPr>
        <w:t xml:space="preserve"> </w:t>
      </w:r>
      <w:r>
        <w:rPr>
          <w:rFonts w:ascii="Times New Roman" w:hAnsi="Times New Roman" w:cs="Times New Roman"/>
          <w:sz w:val="24"/>
          <w:szCs w:val="24"/>
        </w:rPr>
        <w:t>with</w:t>
      </w:r>
      <w:r>
        <w:rPr>
          <w:rFonts w:ascii="Times New Roman" w:hAnsi="Times New Roman" w:cs="Times New Roman"/>
          <w:spacing w:val="26"/>
          <w:sz w:val="24"/>
          <w:szCs w:val="24"/>
        </w:rPr>
        <w:t xml:space="preserve"> </w:t>
      </w:r>
      <w:r>
        <w:rPr>
          <w:rFonts w:ascii="Times New Roman" w:hAnsi="Times New Roman" w:cs="Times New Roman"/>
          <w:sz w:val="24"/>
          <w:szCs w:val="24"/>
        </w:rPr>
        <w:t>criteria</w:t>
      </w:r>
      <w:r>
        <w:rPr>
          <w:rFonts w:ascii="Times New Roman" w:hAnsi="Times New Roman" w:cs="Times New Roman"/>
          <w:spacing w:val="21"/>
          <w:sz w:val="24"/>
          <w:szCs w:val="24"/>
        </w:rPr>
        <w:t xml:space="preserve"> </w:t>
      </w:r>
      <w:r>
        <w:rPr>
          <w:rFonts w:ascii="Times New Roman" w:hAnsi="Times New Roman" w:cs="Times New Roman"/>
          <w:sz w:val="24"/>
          <w:szCs w:val="24"/>
        </w:rPr>
        <w:t>referred to in Article 199, paragraph 1, letter “b”, which must also take into consideration the national risk assessments and the assessments carried out by the responsible authority.</w:t>
      </w:r>
    </w:p>
    <w:p w:rsidR="00A04C41" w:rsidRPr="007647A8" w:rsidRDefault="0089086D"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For the purposes of the implementation of Article 189, the customs authorities shall also exercise</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the powers conferred on them under this Article. </w:t>
      </w:r>
    </w:p>
    <w:p w:rsidR="00A04C41" w:rsidRPr="007647A8" w:rsidRDefault="00A04C41" w:rsidP="002A39C9">
      <w:pPr>
        <w:tabs>
          <w:tab w:val="left" w:pos="360"/>
        </w:tabs>
        <w:spacing w:after="0"/>
        <w:jc w:val="center"/>
        <w:rPr>
          <w:rFonts w:ascii="Times New Roman" w:hAnsi="Times New Roman" w:cs="Times New Roman"/>
          <w:i/>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In</w:t>
      </w:r>
      <w:r>
        <w:rPr>
          <w:rFonts w:ascii="Times New Roman" w:hAnsi="Times New Roman" w:cs="Times New Roman"/>
          <w:spacing w:val="26"/>
          <w:sz w:val="24"/>
          <w:szCs w:val="24"/>
        </w:rPr>
        <w:t>of 189</w:t>
      </w:r>
    </w:p>
    <w:p w:rsidR="00A04C41" w:rsidRPr="007647A8" w:rsidRDefault="00A04C41" w:rsidP="002A39C9">
      <w:pPr>
        <w:pStyle w:val="BodyText"/>
        <w:tabs>
          <w:tab w:val="left" w:pos="360"/>
        </w:tabs>
        <w:spacing w:line="276" w:lineRule="auto"/>
        <w:jc w:val="center"/>
        <w:rPr>
          <w:b/>
          <w:bCs/>
          <w:sz w:val="24"/>
          <w:szCs w:val="24"/>
          <w:lang w:val="en-US"/>
        </w:rPr>
      </w:pPr>
      <w:r>
        <w:rPr>
          <w:b/>
          <w:bCs/>
          <w:sz w:val="24"/>
          <w:szCs w:val="24"/>
          <w:lang w:val="en-US"/>
        </w:rPr>
        <w:t>Amounts below the threshold suspected of being related to criminal activity</w:t>
      </w:r>
    </w:p>
    <w:p w:rsidR="00A04C41" w:rsidRPr="007647A8" w:rsidRDefault="00A04C41" w:rsidP="002A39C9">
      <w:pPr>
        <w:pStyle w:val="BodyText"/>
        <w:tabs>
          <w:tab w:val="left" w:pos="360"/>
        </w:tabs>
        <w:spacing w:line="276" w:lineRule="auto"/>
        <w:jc w:val="center"/>
        <w:rPr>
          <w:b/>
          <w:bCs/>
          <w:sz w:val="24"/>
          <w:szCs w:val="24"/>
          <w:lang w:val="en-US"/>
        </w:rPr>
      </w:pPr>
    </w:p>
    <w:p w:rsidR="00A04C41" w:rsidRPr="007647A8" w:rsidRDefault="00A04C41" w:rsidP="002A39C9">
      <w:pPr>
        <w:pStyle w:val="BodyText"/>
        <w:tabs>
          <w:tab w:val="left" w:pos="360"/>
        </w:tabs>
        <w:spacing w:line="276" w:lineRule="auto"/>
        <w:ind w:firstLine="567"/>
        <w:jc w:val="both"/>
        <w:rPr>
          <w:bCs/>
          <w:sz w:val="24"/>
          <w:szCs w:val="24"/>
          <w:lang w:val="en-US"/>
        </w:rPr>
      </w:pPr>
      <w:r>
        <w:rPr>
          <w:bCs/>
          <w:sz w:val="24"/>
          <w:szCs w:val="24"/>
          <w:lang w:val="en-US"/>
        </w:rPr>
        <w:t xml:space="preserve">1. When the customs authorities detect a carrier with an amount </w:t>
      </w:r>
      <w:r>
        <w:rPr>
          <w:sz w:val="24"/>
          <w:szCs w:val="24"/>
          <w:lang w:val="en-US"/>
        </w:rPr>
        <w:t xml:space="preserve">funds </w:t>
      </w:r>
      <w:r>
        <w:rPr>
          <w:bCs/>
          <w:sz w:val="24"/>
          <w:szCs w:val="24"/>
          <w:lang w:val="en-US"/>
        </w:rPr>
        <w:t xml:space="preserve">below the threshold referred to in Article 186 and for which there are indications that </w:t>
      </w:r>
      <w:r>
        <w:rPr>
          <w:sz w:val="24"/>
          <w:szCs w:val="24"/>
          <w:lang w:val="en-US"/>
        </w:rPr>
        <w:t xml:space="preserve">funds </w:t>
      </w:r>
      <w:r>
        <w:rPr>
          <w:bCs/>
          <w:sz w:val="24"/>
          <w:szCs w:val="24"/>
          <w:lang w:val="en-US"/>
        </w:rPr>
        <w:t>are linked to criminal activity, they must record this information and the data referred to in Article 186, point 2 of this law.</w:t>
      </w:r>
    </w:p>
    <w:p w:rsidR="00A04C41" w:rsidRPr="007647A8" w:rsidRDefault="00A04C41" w:rsidP="002A39C9">
      <w:pPr>
        <w:pStyle w:val="BodyText"/>
        <w:tabs>
          <w:tab w:val="left" w:pos="360"/>
        </w:tabs>
        <w:spacing w:line="276" w:lineRule="auto"/>
        <w:ind w:firstLine="567"/>
        <w:jc w:val="both"/>
        <w:rPr>
          <w:bCs/>
          <w:sz w:val="24"/>
          <w:szCs w:val="24"/>
          <w:lang w:val="en-US"/>
        </w:rPr>
      </w:pPr>
      <w:r>
        <w:rPr>
          <w:bCs/>
          <w:sz w:val="24"/>
          <w:szCs w:val="24"/>
          <w:lang w:val="en-US"/>
        </w:rPr>
        <w:t>2. When the customs authorities detect that monetary instruments below the threshold referred to in Article 187 are entering or leaving the territory of the Republic of Albania and there is information that they are linked to criminal activities, they shall record this information and the data referred to in Article 187, point 2 of this law.</w:t>
      </w:r>
    </w:p>
    <w:p w:rsidR="00A04C41" w:rsidRPr="007647A8" w:rsidRDefault="00A04C41" w:rsidP="002A39C9">
      <w:pPr>
        <w:pStyle w:val="BodyText"/>
        <w:tabs>
          <w:tab w:val="left" w:pos="360"/>
        </w:tabs>
        <w:spacing w:line="276" w:lineRule="auto"/>
        <w:jc w:val="both"/>
        <w:rPr>
          <w:sz w:val="24"/>
          <w:szCs w:val="24"/>
          <w:lang w:val="en-US"/>
        </w:rPr>
      </w:pPr>
    </w:p>
    <w:p w:rsidR="00A04C41" w:rsidRPr="007647A8" w:rsidRDefault="00A04C41" w:rsidP="002A39C9">
      <w:pPr>
        <w:tabs>
          <w:tab w:val="left" w:pos="360"/>
        </w:tabs>
        <w:spacing w:after="0"/>
        <w:ind w:left="714" w:hanging="357"/>
        <w:jc w:val="center"/>
        <w:rPr>
          <w:rFonts w:ascii="Times New Roman" w:hAnsi="Times New Roman" w:cs="Times New Roman"/>
          <w:sz w:val="24"/>
          <w:szCs w:val="24"/>
        </w:rPr>
      </w:pPr>
      <w:r>
        <w:rPr>
          <w:rFonts w:ascii="Times New Roman" w:hAnsi="Times New Roman" w:cs="Times New Roman"/>
          <w:sz w:val="24"/>
          <w:szCs w:val="24"/>
        </w:rPr>
        <w:t>In</w:t>
      </w:r>
      <w:r>
        <w:rPr>
          <w:rFonts w:ascii="Times New Roman" w:hAnsi="Times New Roman" w:cs="Times New Roman"/>
          <w:spacing w:val="26"/>
          <w:sz w:val="24"/>
          <w:szCs w:val="24"/>
        </w:rPr>
        <w:t>of 190</w:t>
      </w:r>
    </w:p>
    <w:p w:rsidR="00A04C41" w:rsidRPr="007647A8" w:rsidRDefault="00A04C41" w:rsidP="002A39C9">
      <w:pPr>
        <w:spacing w:after="0"/>
        <w:ind w:left="714" w:hanging="357"/>
        <w:jc w:val="center"/>
        <w:rPr>
          <w:rFonts w:ascii="Times New Roman" w:hAnsi="Times New Roman" w:cs="Times New Roman"/>
          <w:b/>
          <w:sz w:val="24"/>
          <w:szCs w:val="24"/>
        </w:rPr>
      </w:pPr>
      <w:r>
        <w:rPr>
          <w:rFonts w:ascii="Times New Roman" w:hAnsi="Times New Roman" w:cs="Times New Roman"/>
          <w:b/>
          <w:sz w:val="24"/>
          <w:szCs w:val="24"/>
        </w:rPr>
        <w:t>Temporary detention of monetary means by the customs authorities</w:t>
      </w:r>
    </w:p>
    <w:p w:rsidR="00A04C41" w:rsidRPr="007647A8" w:rsidRDefault="00A04C41" w:rsidP="002A39C9">
      <w:pPr>
        <w:spacing w:after="0"/>
        <w:ind w:left="714" w:hanging="357"/>
        <w:jc w:val="center"/>
        <w:rPr>
          <w:rFonts w:ascii="Times New Roman" w:hAnsi="Times New Roman" w:cs="Times New Roman"/>
          <w:b/>
          <w:sz w:val="24"/>
          <w:szCs w:val="24"/>
        </w:rPr>
      </w:pPr>
    </w:p>
    <w:p w:rsidR="00A04C41" w:rsidRPr="007647A8" w:rsidRDefault="00A04C41" w:rsidP="002A39C9">
      <w:pPr>
        <w:spacing w:after="0"/>
        <w:ind w:left="0" w:firstLine="556"/>
        <w:rPr>
          <w:rFonts w:ascii="Times New Roman" w:hAnsi="Times New Roman" w:cs="Times New Roman"/>
          <w:sz w:val="24"/>
          <w:szCs w:val="24"/>
        </w:rPr>
      </w:pPr>
      <w:r>
        <w:rPr>
          <w:rFonts w:ascii="Times New Roman" w:hAnsi="Times New Roman" w:cs="Times New Roman"/>
          <w:sz w:val="24"/>
          <w:szCs w:val="24"/>
        </w:rPr>
        <w:t>1. Customs authorities</w:t>
      </w:r>
      <w:r>
        <w:rPr>
          <w:rFonts w:ascii="Times New Roman" w:hAnsi="Times New Roman" w:cs="Times New Roman"/>
          <w:bCs/>
          <w:sz w:val="24"/>
          <w:szCs w:val="24"/>
        </w:rPr>
        <w:t xml:space="preserve"> </w:t>
      </w:r>
      <w:r>
        <w:rPr>
          <w:rFonts w:ascii="Times New Roman" w:hAnsi="Times New Roman" w:cs="Times New Roman"/>
          <w:sz w:val="24"/>
          <w:szCs w:val="24"/>
        </w:rPr>
        <w:t>may temporarily freeze monetary funds by means of an administrative decision in accordance with the legislation in force, when:</w:t>
      </w:r>
    </w:p>
    <w:p w:rsidR="00A04C41" w:rsidRPr="007647A8" w:rsidRDefault="00A04C41" w:rsidP="002A39C9">
      <w:pPr>
        <w:spacing w:after="0"/>
        <w:ind w:left="0" w:firstLine="556"/>
        <w:rPr>
          <w:rFonts w:ascii="Times New Roman" w:hAnsi="Times New Roman" w:cs="Times New Roman"/>
          <w:sz w:val="24"/>
          <w:szCs w:val="24"/>
        </w:rPr>
      </w:pPr>
      <w:r>
        <w:rPr>
          <w:rFonts w:ascii="Times New Roman" w:hAnsi="Times New Roman" w:cs="Times New Roman"/>
          <w:sz w:val="24"/>
          <w:szCs w:val="24"/>
        </w:rPr>
        <w:t>a) the obligation to declare cash under Article 186 or the obligation to declare unaccompanied cash under Article 187 has not been fulfilled; or</w:t>
      </w:r>
    </w:p>
    <w:p w:rsidR="00A04C41" w:rsidRPr="007647A8" w:rsidRDefault="00A04C41" w:rsidP="002A39C9">
      <w:pPr>
        <w:spacing w:after="0"/>
        <w:ind w:left="0" w:firstLine="556"/>
        <w:rPr>
          <w:rFonts w:ascii="Times New Roman" w:hAnsi="Times New Roman" w:cs="Times New Roman"/>
          <w:strike/>
          <w:sz w:val="24"/>
          <w:szCs w:val="24"/>
        </w:rPr>
      </w:pPr>
      <w:r>
        <w:rPr>
          <w:rFonts w:ascii="Times New Roman" w:hAnsi="Times New Roman" w:cs="Times New Roman"/>
          <w:sz w:val="24"/>
          <w:szCs w:val="24"/>
        </w:rPr>
        <w:t>b) there are indications that the monetary funds, regardless of the amount, are linked to criminal activities.</w:t>
      </w:r>
    </w:p>
    <w:p w:rsidR="00A04C41" w:rsidRPr="007647A8" w:rsidRDefault="00A04C41" w:rsidP="002A39C9">
      <w:pPr>
        <w:spacing w:after="0"/>
        <w:ind w:left="0" w:firstLine="567"/>
        <w:rPr>
          <w:rFonts w:ascii="Times New Roman" w:hAnsi="Times New Roman" w:cs="Times New Roman"/>
          <w:sz w:val="24"/>
          <w:szCs w:val="24"/>
        </w:rPr>
      </w:pPr>
      <w:r>
        <w:rPr>
          <w:rFonts w:ascii="Times New Roman" w:hAnsi="Times New Roman" w:cs="Times New Roman"/>
          <w:sz w:val="24"/>
          <w:szCs w:val="24"/>
        </w:rPr>
        <w:t>2. The administrative decision referred to in point 1 shall be subject to the right of appeal, in accordance with the procedures laid down in the legislation in force. The customs authorities shall notify the reasons for the administrative decision:</w:t>
      </w:r>
    </w:p>
    <w:p w:rsidR="00A04C41" w:rsidRPr="007647A8" w:rsidRDefault="00A04C41" w:rsidP="002A39C9">
      <w:pPr>
        <w:spacing w:after="0"/>
        <w:ind w:left="0" w:firstLine="567"/>
        <w:rPr>
          <w:rFonts w:ascii="Times New Roman" w:hAnsi="Times New Roman" w:cs="Times New Roman"/>
          <w:sz w:val="24"/>
          <w:szCs w:val="24"/>
        </w:rPr>
      </w:pPr>
      <w:r>
        <w:rPr>
          <w:rFonts w:ascii="Times New Roman" w:hAnsi="Times New Roman" w:cs="Times New Roman"/>
          <w:sz w:val="24"/>
          <w:szCs w:val="24"/>
        </w:rPr>
        <w:t>a) the person who is requested to make the declaration in accordance with Article 186 or the information statement in accordance with Article 187; or</w:t>
      </w:r>
    </w:p>
    <w:p w:rsidR="00A04C41" w:rsidRPr="007647A8" w:rsidRDefault="00A04C41" w:rsidP="002A39C9">
      <w:pPr>
        <w:spacing w:after="0"/>
        <w:ind w:left="0" w:firstLine="567"/>
        <w:rPr>
          <w:rFonts w:ascii="Times New Roman" w:hAnsi="Times New Roman" w:cs="Times New Roman"/>
          <w:sz w:val="24"/>
          <w:szCs w:val="24"/>
        </w:rPr>
      </w:pPr>
      <w:r>
        <w:rPr>
          <w:rFonts w:ascii="Times New Roman" w:hAnsi="Times New Roman" w:cs="Times New Roman"/>
          <w:sz w:val="24"/>
          <w:szCs w:val="24"/>
        </w:rPr>
        <w:t>b) the person who is requested to provide the information, in accordance with Article 189, points 1, or 2 of this law.</w:t>
      </w:r>
    </w:p>
    <w:p w:rsidR="00272A59" w:rsidRPr="007647A8" w:rsidRDefault="00A04C41" w:rsidP="002A39C9">
      <w:pPr>
        <w:spacing w:after="0"/>
        <w:ind w:left="0" w:firstLine="567"/>
        <w:rPr>
          <w:rFonts w:ascii="Times New Roman" w:hAnsi="Times New Roman" w:cs="Times New Roman"/>
          <w:sz w:val="24"/>
          <w:szCs w:val="24"/>
        </w:rPr>
      </w:pPr>
      <w:r>
        <w:rPr>
          <w:rFonts w:ascii="Times New Roman" w:hAnsi="Times New Roman" w:cs="Times New Roman"/>
          <w:sz w:val="24"/>
          <w:szCs w:val="24"/>
        </w:rPr>
        <w:t xml:space="preserve">3. The period of temporary freezing shall be limited only for as long as is required by the customs authorities to determine whether the circumstances of the case require further freezing. The period of freezing shall not exceed 30 days. </w:t>
      </w:r>
    </w:p>
    <w:p w:rsidR="00A04C41" w:rsidRPr="007647A8" w:rsidRDefault="00272A59" w:rsidP="002A39C9">
      <w:pPr>
        <w:spacing w:after="0"/>
        <w:ind w:left="0" w:firstLine="567"/>
        <w:rPr>
          <w:rFonts w:ascii="Times New Roman" w:hAnsi="Times New Roman" w:cs="Times New Roman"/>
          <w:sz w:val="24"/>
          <w:szCs w:val="24"/>
        </w:rPr>
      </w:pPr>
      <w:r>
        <w:rPr>
          <w:rFonts w:ascii="Times New Roman" w:hAnsi="Times New Roman" w:cs="Times New Roman"/>
          <w:sz w:val="24"/>
          <w:szCs w:val="24"/>
        </w:rPr>
        <w:t>The customs authorities, after carrying out a full assessment regarding the need and proportionality of continuing the temporary freezing, may decide to extend the freezing period up to 90 days.</w:t>
      </w:r>
    </w:p>
    <w:p w:rsidR="00A04C41" w:rsidRPr="007647A8" w:rsidRDefault="00DF29EC" w:rsidP="002A39C9">
      <w:pPr>
        <w:tabs>
          <w:tab w:val="left" w:pos="0"/>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When no decision is taken within the time limit for further freezing of the monetary funds or if it is determined that the circumstances of the case do not justify further freezing, the monetary funds shall be returned immediately:</w:t>
      </w:r>
    </w:p>
    <w:p w:rsidR="00A04C41" w:rsidRPr="007647A8" w:rsidRDefault="00FB3707" w:rsidP="002A39C9">
      <w:pPr>
        <w:tabs>
          <w:tab w:val="left" w:pos="0"/>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a) the person whose monetary funds were temporarily frozen in the situations referred to in Article 186 or 187; or</w:t>
      </w:r>
    </w:p>
    <w:p w:rsidR="00E40498" w:rsidRPr="007647A8" w:rsidRDefault="00FB3707"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b) the person from whom the monetary funds have been temporarily frozen in the situations referred to in Article 189, points 1, or 2 of this law.</w:t>
      </w:r>
    </w:p>
    <w:p w:rsidR="00584BEE" w:rsidRPr="007647A8" w:rsidRDefault="00584BEE" w:rsidP="002A39C9">
      <w:pPr>
        <w:tabs>
          <w:tab w:val="left" w:pos="0"/>
        </w:tabs>
        <w:spacing w:after="0"/>
        <w:ind w:left="0" w:firstLine="0"/>
        <w:rPr>
          <w:rFonts w:ascii="Times New Roman" w:hAnsi="Times New Roman" w:cs="Times New Roman"/>
          <w:sz w:val="24"/>
          <w:szCs w:val="24"/>
        </w:rPr>
      </w:pPr>
    </w:p>
    <w:p w:rsidR="006E7DF3" w:rsidRPr="007647A8" w:rsidRDefault="006E7DF3" w:rsidP="002A39C9">
      <w:pPr>
        <w:tabs>
          <w:tab w:val="left" w:pos="360"/>
        </w:tabs>
        <w:spacing w:after="0"/>
        <w:jc w:val="center"/>
        <w:rPr>
          <w:rFonts w:ascii="Times New Roman" w:hAnsi="Times New Roman" w:cs="Times New Roman"/>
          <w:szCs w:val="24"/>
        </w:rPr>
      </w:pPr>
    </w:p>
    <w:p w:rsidR="006E7DF3" w:rsidRPr="007647A8" w:rsidRDefault="0063131D" w:rsidP="002A39C9">
      <w:pPr>
        <w:tabs>
          <w:tab w:val="left" w:pos="360"/>
        </w:tabs>
        <w:spacing w:after="0"/>
        <w:ind w:left="0" w:firstLine="0"/>
        <w:jc w:val="center"/>
        <w:rPr>
          <w:rFonts w:ascii="Times New Roman" w:hAnsi="Times New Roman" w:cs="Times New Roman"/>
          <w:sz w:val="24"/>
          <w:szCs w:val="24"/>
        </w:rPr>
      </w:pPr>
      <w:r>
        <w:rPr>
          <w:rFonts w:ascii="Times New Roman" w:hAnsi="Times New Roman" w:cs="Times New Roman"/>
          <w:sz w:val="24"/>
          <w:szCs w:val="24"/>
        </w:rPr>
        <w:t>Section 2</w:t>
      </w:r>
    </w:p>
    <w:p w:rsidR="006E7DF3" w:rsidRPr="007647A8" w:rsidRDefault="006E7DF3" w:rsidP="002A39C9">
      <w:pPr>
        <w:tabs>
          <w:tab w:val="left" w:pos="360"/>
        </w:tabs>
        <w:spacing w:after="0"/>
        <w:ind w:left="0" w:firstLine="0"/>
        <w:jc w:val="center"/>
        <w:rPr>
          <w:rFonts w:ascii="Times New Roman" w:hAnsi="Times New Roman" w:cs="Times New Roman"/>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r>
        <w:rPr>
          <w:rFonts w:ascii="Times New Roman" w:hAnsi="Times New Roman" w:cs="Times New Roman"/>
          <w:sz w:val="24"/>
          <w:szCs w:val="24"/>
        </w:rPr>
        <w:t xml:space="preserve">Article </w:t>
      </w:r>
      <w:r>
        <w:rPr>
          <w:rFonts w:ascii="Times New Roman" w:hAnsi="Times New Roman" w:cs="Times New Roman"/>
          <w:spacing w:val="-10"/>
          <w:sz w:val="24"/>
          <w:szCs w:val="24"/>
        </w:rPr>
        <w:t>191</w:t>
      </w:r>
    </w:p>
    <w:p w:rsidR="00A04C41" w:rsidRPr="007647A8" w:rsidRDefault="00A04C41" w:rsidP="002A39C9">
      <w:pPr>
        <w:pStyle w:val="Heading1"/>
        <w:tabs>
          <w:tab w:val="left" w:pos="360"/>
        </w:tabs>
        <w:spacing w:before="0" w:line="276" w:lineRule="auto"/>
        <w:ind w:right="0"/>
        <w:rPr>
          <w:spacing w:val="-2"/>
          <w:sz w:val="24"/>
          <w:szCs w:val="24"/>
          <w:lang w:val="en-US"/>
        </w:rPr>
      </w:pPr>
      <w:r>
        <w:rPr>
          <w:spacing w:val="-2"/>
          <w:sz w:val="24"/>
          <w:szCs w:val="24"/>
          <w:lang w:val="en-US"/>
        </w:rPr>
        <w:t>Information campaigns</w:t>
      </w:r>
    </w:p>
    <w:p w:rsidR="003E294F" w:rsidRPr="007647A8" w:rsidRDefault="003E294F" w:rsidP="002A39C9">
      <w:pPr>
        <w:pStyle w:val="BodyText"/>
        <w:tabs>
          <w:tab w:val="left" w:pos="360"/>
        </w:tabs>
        <w:spacing w:line="276" w:lineRule="auto"/>
        <w:ind w:firstLine="567"/>
        <w:jc w:val="both"/>
        <w:rPr>
          <w:sz w:val="24"/>
          <w:szCs w:val="24"/>
          <w:lang w:val="en-US"/>
        </w:rPr>
      </w:pPr>
    </w:p>
    <w:p w:rsidR="00FA6C9E" w:rsidRPr="007647A8" w:rsidRDefault="00A04C41" w:rsidP="002A39C9">
      <w:pPr>
        <w:pStyle w:val="BodyText"/>
        <w:tabs>
          <w:tab w:val="left" w:pos="360"/>
        </w:tabs>
        <w:spacing w:line="276" w:lineRule="auto"/>
        <w:ind w:firstLine="567"/>
        <w:jc w:val="both"/>
        <w:rPr>
          <w:sz w:val="24"/>
          <w:szCs w:val="24"/>
          <w:lang w:val="en-US"/>
        </w:rPr>
      </w:pPr>
      <w:r>
        <w:rPr>
          <w:sz w:val="24"/>
          <w:szCs w:val="24"/>
          <w:lang w:val="en-US"/>
        </w:rPr>
        <w:t xml:space="preserve">The customs authorities ensure that persons entering or leaving the Republic of Albania or persons sending unaccompanied cash from the Republic of Albania or receiving unaccompanied cash in the Republic of Albania are informed of their rights and obligations under Part IV of this law and shall prepare appropriate informative materials for these persons. </w:t>
      </w:r>
    </w:p>
    <w:p w:rsidR="00A04C41" w:rsidRPr="007647A8" w:rsidRDefault="00A04C41" w:rsidP="002A39C9">
      <w:pPr>
        <w:pStyle w:val="BodyText"/>
        <w:tabs>
          <w:tab w:val="left" w:pos="360"/>
        </w:tabs>
        <w:spacing w:line="276" w:lineRule="auto"/>
        <w:ind w:firstLine="567"/>
        <w:jc w:val="both"/>
        <w:rPr>
          <w:sz w:val="24"/>
          <w:szCs w:val="24"/>
          <w:lang w:val="en-US"/>
        </w:rPr>
      </w:pPr>
      <w:r>
        <w:rPr>
          <w:sz w:val="24"/>
          <w:szCs w:val="24"/>
          <w:lang w:val="en-US"/>
        </w:rPr>
        <w:t>The competent customs authorities ensure the making available of the necessary resources for the implementation of these information campaigns.</w:t>
      </w:r>
    </w:p>
    <w:p w:rsidR="00A04C41" w:rsidRPr="007647A8" w:rsidRDefault="00A04C41" w:rsidP="002A39C9">
      <w:pPr>
        <w:tabs>
          <w:tab w:val="left" w:pos="360"/>
        </w:tabs>
        <w:spacing w:after="0"/>
        <w:jc w:val="center"/>
        <w:rPr>
          <w:rFonts w:ascii="Times New Roman" w:hAnsi="Times New Roman" w:cs="Times New Roman"/>
          <w:i/>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6"/>
          <w:sz w:val="24"/>
          <w:szCs w:val="24"/>
        </w:rPr>
        <w:t xml:space="preserve"> 192</w:t>
      </w:r>
    </w:p>
    <w:p w:rsidR="00A04C41" w:rsidRPr="007647A8" w:rsidRDefault="00A04C41" w:rsidP="002A39C9">
      <w:pPr>
        <w:pStyle w:val="Heading1"/>
        <w:tabs>
          <w:tab w:val="left" w:pos="360"/>
        </w:tabs>
        <w:spacing w:before="0" w:line="276" w:lineRule="auto"/>
        <w:ind w:right="0"/>
        <w:rPr>
          <w:spacing w:val="-5"/>
          <w:sz w:val="24"/>
          <w:szCs w:val="24"/>
          <w:lang w:val="en-US"/>
        </w:rPr>
      </w:pPr>
      <w:r>
        <w:rPr>
          <w:sz w:val="24"/>
          <w:szCs w:val="24"/>
          <w:lang w:val="en-US"/>
        </w:rPr>
        <w:t>Provision</w:t>
      </w:r>
      <w:r>
        <w:rPr>
          <w:spacing w:val="25"/>
          <w:sz w:val="24"/>
          <w:szCs w:val="24"/>
          <w:lang w:val="en-US"/>
        </w:rPr>
        <w:t xml:space="preserve"> </w:t>
      </w:r>
      <w:r>
        <w:rPr>
          <w:sz w:val="24"/>
          <w:szCs w:val="24"/>
          <w:lang w:val="en-US"/>
        </w:rPr>
        <w:t>of</w:t>
      </w:r>
      <w:r>
        <w:rPr>
          <w:spacing w:val="24"/>
          <w:sz w:val="24"/>
          <w:szCs w:val="24"/>
          <w:lang w:val="en-US"/>
        </w:rPr>
        <w:t xml:space="preserve"> </w:t>
      </w:r>
      <w:r>
        <w:rPr>
          <w:sz w:val="24"/>
          <w:szCs w:val="24"/>
          <w:lang w:val="en-US"/>
        </w:rPr>
        <w:t>information</w:t>
      </w:r>
      <w:r>
        <w:rPr>
          <w:spacing w:val="25"/>
          <w:sz w:val="24"/>
          <w:szCs w:val="24"/>
          <w:lang w:val="en-US"/>
        </w:rPr>
        <w:t xml:space="preserve"> </w:t>
      </w:r>
      <w:r>
        <w:rPr>
          <w:sz w:val="24"/>
          <w:szCs w:val="24"/>
          <w:lang w:val="en-US"/>
        </w:rPr>
        <w:t>Financial Intelligence Agency</w:t>
      </w:r>
    </w:p>
    <w:p w:rsidR="009E0E64" w:rsidRPr="007647A8" w:rsidRDefault="009E0E64" w:rsidP="002A39C9">
      <w:pPr>
        <w:pStyle w:val="Heading1"/>
        <w:tabs>
          <w:tab w:val="left" w:pos="360"/>
        </w:tabs>
        <w:spacing w:before="0" w:line="276" w:lineRule="auto"/>
        <w:ind w:right="0"/>
        <w:rPr>
          <w:sz w:val="24"/>
          <w:szCs w:val="24"/>
          <w:lang w:val="en-US"/>
        </w:rPr>
      </w:pPr>
    </w:p>
    <w:p w:rsidR="00A04C41" w:rsidRPr="007647A8" w:rsidRDefault="00A04C41" w:rsidP="002A39C9">
      <w:pPr>
        <w:pStyle w:val="ListParagraph"/>
        <w:widowControl w:val="0"/>
        <w:numPr>
          <w:ilvl w:val="0"/>
          <w:numId w:val="5"/>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record the information received pursuant to Article 186 or 187,  Article 188, point 3 or Article 189 and send it to the Financial Intelligence Agency.</w:t>
      </w:r>
    </w:p>
    <w:p w:rsidR="00A04C41" w:rsidRPr="007647A8" w:rsidRDefault="004F060E" w:rsidP="002A39C9">
      <w:pPr>
        <w:pStyle w:val="ListParagraph"/>
        <w:widowControl w:val="0"/>
        <w:numPr>
          <w:ilvl w:val="0"/>
          <w:numId w:val="5"/>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The Financial Intelligence Agency exchanges the information received under point 1 of this article with the counterpart authorities of the financial intelligence units in accordance with the legal obligations set out in Part I of this law. </w:t>
      </w:r>
    </w:p>
    <w:p w:rsidR="00A04C41" w:rsidRPr="007647A8" w:rsidRDefault="00A04C41" w:rsidP="002A39C9">
      <w:pPr>
        <w:pStyle w:val="ListParagraph"/>
        <w:widowControl w:val="0"/>
        <w:numPr>
          <w:ilvl w:val="0"/>
          <w:numId w:val="5"/>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shall send the information referred to in point 1, as soon as possible and in any event no later than 15 working days after the date on which the information was received.</w:t>
      </w:r>
    </w:p>
    <w:p w:rsidR="00E24424" w:rsidRPr="007647A8" w:rsidRDefault="00EC35E4" w:rsidP="002A39C9">
      <w:pPr>
        <w:pStyle w:val="ListParagraph"/>
        <w:widowControl w:val="0"/>
        <w:numPr>
          <w:ilvl w:val="0"/>
          <w:numId w:val="5"/>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minister responsible for finance, upon the proposal of the responsible authority, issues, within 6 months from the entry into force of this law, detailed rules on the methods and procedures for reporting, sending and exchange of information in accordance with the provisions of this article.</w:t>
      </w:r>
    </w:p>
    <w:p w:rsidR="00A04C41" w:rsidRPr="007647A8" w:rsidRDefault="00A04C41" w:rsidP="002A39C9">
      <w:pPr>
        <w:pStyle w:val="BodyText"/>
        <w:tabs>
          <w:tab w:val="left" w:pos="360"/>
        </w:tabs>
        <w:spacing w:line="276" w:lineRule="auto"/>
        <w:rPr>
          <w:sz w:val="24"/>
          <w:szCs w:val="24"/>
          <w:lang w:val="en-US"/>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193</w:t>
      </w:r>
    </w:p>
    <w:p w:rsidR="00A04C41" w:rsidRPr="007647A8" w:rsidRDefault="00A04C41" w:rsidP="002A39C9">
      <w:pPr>
        <w:pStyle w:val="Heading1"/>
        <w:tabs>
          <w:tab w:val="left" w:pos="360"/>
        </w:tabs>
        <w:spacing w:before="0" w:line="276" w:lineRule="auto"/>
        <w:ind w:right="0"/>
        <w:rPr>
          <w:spacing w:val="40"/>
          <w:sz w:val="24"/>
          <w:szCs w:val="24"/>
          <w:lang w:val="en-US"/>
        </w:rPr>
      </w:pPr>
      <w:r>
        <w:rPr>
          <w:sz w:val="24"/>
          <w:szCs w:val="24"/>
          <w:lang w:val="en-US"/>
        </w:rPr>
        <w:t>Exchange of</w:t>
      </w:r>
      <w:r>
        <w:rPr>
          <w:spacing w:val="40"/>
          <w:sz w:val="24"/>
          <w:szCs w:val="24"/>
          <w:lang w:val="en-US"/>
        </w:rPr>
        <w:t xml:space="preserve"> </w:t>
      </w:r>
      <w:r>
        <w:rPr>
          <w:sz w:val="24"/>
          <w:szCs w:val="24"/>
          <w:lang w:val="en-US"/>
        </w:rPr>
        <w:t>information</w:t>
      </w:r>
      <w:r>
        <w:rPr>
          <w:spacing w:val="40"/>
          <w:sz w:val="24"/>
          <w:szCs w:val="24"/>
          <w:lang w:val="en-US"/>
        </w:rPr>
        <w:t xml:space="preserve"> </w:t>
      </w:r>
      <w:r>
        <w:rPr>
          <w:sz w:val="24"/>
          <w:szCs w:val="24"/>
          <w:lang w:val="en-US"/>
        </w:rPr>
        <w:t>between</w:t>
      </w:r>
      <w:r>
        <w:rPr>
          <w:spacing w:val="40"/>
          <w:sz w:val="24"/>
          <w:szCs w:val="24"/>
          <w:lang w:val="en-US"/>
        </w:rPr>
        <w:t xml:space="preserve"> </w:t>
      </w:r>
      <w:r>
        <w:rPr>
          <w:sz w:val="24"/>
          <w:szCs w:val="24"/>
          <w:lang w:val="en-US"/>
        </w:rPr>
        <w:t>authorities</w:t>
      </w:r>
      <w:r>
        <w:rPr>
          <w:spacing w:val="39"/>
          <w:sz w:val="24"/>
          <w:szCs w:val="24"/>
          <w:lang w:val="en-US"/>
        </w:rPr>
        <w:t xml:space="preserve"> </w:t>
      </w:r>
      <w:r>
        <w:rPr>
          <w:sz w:val="24"/>
          <w:szCs w:val="24"/>
          <w:lang w:val="en-US"/>
        </w:rPr>
        <w:t>competent</w:t>
      </w:r>
    </w:p>
    <w:p w:rsidR="00065C2C" w:rsidRPr="007647A8" w:rsidRDefault="00065C2C" w:rsidP="002A39C9">
      <w:pPr>
        <w:pStyle w:val="Heading1"/>
        <w:tabs>
          <w:tab w:val="left" w:pos="360"/>
        </w:tabs>
        <w:spacing w:before="0" w:line="276" w:lineRule="auto"/>
        <w:ind w:right="0"/>
        <w:rPr>
          <w:sz w:val="24"/>
          <w:szCs w:val="24"/>
          <w:lang w:val="en-US"/>
        </w:rPr>
      </w:pPr>
    </w:p>
    <w:p w:rsidR="00A04C41" w:rsidRPr="007647A8" w:rsidRDefault="00A04C41" w:rsidP="002A39C9">
      <w:pPr>
        <w:pStyle w:val="ListParagraph"/>
        <w:widowControl w:val="0"/>
        <w:numPr>
          <w:ilvl w:val="0"/>
          <w:numId w:val="4"/>
        </w:numPr>
        <w:tabs>
          <w:tab w:val="left" w:pos="360"/>
          <w:tab w:val="left" w:pos="709"/>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exchange the following information electronically with the competent authorities:</w:t>
      </w:r>
    </w:p>
    <w:p w:rsidR="00A04C41" w:rsidRPr="007647A8" w:rsidRDefault="00A04C41" w:rsidP="002A39C9">
      <w:pPr>
        <w:pStyle w:val="ListParagraph"/>
        <w:widowControl w:val="0"/>
        <w:numPr>
          <w:ilvl w:val="0"/>
          <w:numId w:val="11"/>
        </w:numPr>
        <w:tabs>
          <w:tab w:val="left" w:pos="360"/>
          <w:tab w:val="left" w:pos="709"/>
          <w:tab w:val="left" w:pos="851"/>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statements </w:t>
      </w:r>
      <w:r>
        <w:rPr>
          <w:rFonts w:ascii="Times New Roman" w:hAnsi="Times New Roman" w:cs="Times New Roman"/>
          <w:i/>
          <w:iCs/>
          <w:sz w:val="24"/>
          <w:szCs w:val="24"/>
        </w:rPr>
        <w:t>ex officio</w:t>
      </w:r>
      <w:r>
        <w:rPr>
          <w:rFonts w:ascii="Times New Roman" w:hAnsi="Times New Roman" w:cs="Times New Roman"/>
          <w:sz w:val="24"/>
          <w:szCs w:val="24"/>
        </w:rPr>
        <w:t xml:space="preserve"> drafted in accordance with Article 188, point 3 of this law; </w:t>
      </w:r>
    </w:p>
    <w:p w:rsidR="00A04C41" w:rsidRPr="007647A8" w:rsidRDefault="00A04C41" w:rsidP="002A39C9">
      <w:pPr>
        <w:pStyle w:val="ListParagraph"/>
        <w:widowControl w:val="0"/>
        <w:numPr>
          <w:ilvl w:val="0"/>
          <w:numId w:val="11"/>
        </w:numPr>
        <w:tabs>
          <w:tab w:val="left" w:pos="360"/>
          <w:tab w:val="left" w:pos="709"/>
          <w:tab w:val="left" w:pos="851"/>
          <w:tab w:val="left" w:pos="1324"/>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the information received in accordance with Article 189; </w:t>
      </w:r>
    </w:p>
    <w:p w:rsidR="00A04C41" w:rsidRPr="007647A8" w:rsidRDefault="00A04C41" w:rsidP="002A39C9">
      <w:pPr>
        <w:pStyle w:val="ListParagraph"/>
        <w:widowControl w:val="0"/>
        <w:numPr>
          <w:ilvl w:val="0"/>
          <w:numId w:val="11"/>
        </w:numPr>
        <w:tabs>
          <w:tab w:val="left" w:pos="360"/>
          <w:tab w:val="left" w:pos="851"/>
          <w:tab w:val="left" w:pos="993"/>
          <w:tab w:val="left" w:pos="1325"/>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statements</w:t>
      </w:r>
      <w:r>
        <w:rPr>
          <w:rFonts w:ascii="Times New Roman" w:hAnsi="Times New Roman" w:cs="Times New Roman"/>
          <w:spacing w:val="40"/>
          <w:sz w:val="24"/>
          <w:szCs w:val="24"/>
        </w:rPr>
        <w:t xml:space="preserve"> </w:t>
      </w:r>
      <w:r>
        <w:rPr>
          <w:rFonts w:ascii="Times New Roman" w:hAnsi="Times New Roman" w:cs="Times New Roman"/>
          <w:sz w:val="24"/>
          <w:szCs w:val="24"/>
        </w:rPr>
        <w:t>received</w:t>
      </w:r>
      <w:r>
        <w:rPr>
          <w:rFonts w:ascii="Times New Roman" w:hAnsi="Times New Roman" w:cs="Times New Roman"/>
          <w:spacing w:val="40"/>
          <w:sz w:val="24"/>
          <w:szCs w:val="24"/>
        </w:rPr>
        <w:t xml:space="preserve"> </w:t>
      </w:r>
      <w:r>
        <w:rPr>
          <w:rFonts w:ascii="Times New Roman" w:hAnsi="Times New Roman" w:cs="Times New Roman"/>
          <w:sz w:val="24"/>
          <w:szCs w:val="24"/>
        </w:rPr>
        <w:t>in accordance with Articles 186 or 187,</w:t>
      </w:r>
      <w:r>
        <w:rPr>
          <w:rFonts w:ascii="Times New Roman" w:hAnsi="Times New Roman" w:cs="Times New Roman"/>
          <w:spacing w:val="40"/>
          <w:sz w:val="24"/>
          <w:szCs w:val="24"/>
        </w:rPr>
        <w:t xml:space="preserve"> </w:t>
      </w:r>
      <w:r>
        <w:rPr>
          <w:rFonts w:ascii="Times New Roman" w:hAnsi="Times New Roman" w:cs="Times New Roman"/>
          <w:sz w:val="24"/>
          <w:szCs w:val="24"/>
        </w:rPr>
        <w:t>when</w:t>
      </w:r>
      <w:r>
        <w:rPr>
          <w:rFonts w:ascii="Times New Roman" w:hAnsi="Times New Roman" w:cs="Times New Roman"/>
          <w:spacing w:val="40"/>
          <w:sz w:val="24"/>
          <w:szCs w:val="24"/>
        </w:rPr>
        <w:t xml:space="preserve"> </w:t>
      </w:r>
      <w:r>
        <w:rPr>
          <w:rFonts w:ascii="Times New Roman" w:hAnsi="Times New Roman" w:cs="Times New Roman"/>
          <w:sz w:val="24"/>
          <w:szCs w:val="24"/>
        </w:rPr>
        <w:t>has</w:t>
      </w:r>
      <w:r>
        <w:rPr>
          <w:rFonts w:ascii="Times New Roman" w:hAnsi="Times New Roman" w:cs="Times New Roman"/>
          <w:spacing w:val="40"/>
          <w:sz w:val="24"/>
          <w:szCs w:val="24"/>
        </w:rPr>
        <w:t xml:space="preserve"> </w:t>
      </w:r>
      <w:r>
        <w:rPr>
          <w:rFonts w:ascii="Times New Roman" w:hAnsi="Times New Roman" w:cs="Times New Roman"/>
          <w:sz w:val="24"/>
          <w:szCs w:val="24"/>
        </w:rPr>
        <w:t>indicators</w:t>
      </w:r>
      <w:r>
        <w:rPr>
          <w:rFonts w:ascii="Times New Roman" w:hAnsi="Times New Roman" w:cs="Times New Roman"/>
          <w:spacing w:val="40"/>
          <w:sz w:val="24"/>
          <w:szCs w:val="24"/>
        </w:rPr>
        <w:t xml:space="preserve"> </w:t>
      </w:r>
      <w:r>
        <w:rPr>
          <w:rFonts w:ascii="Times New Roman" w:hAnsi="Times New Roman" w:cs="Times New Roman"/>
          <w:sz w:val="24"/>
          <w:szCs w:val="24"/>
        </w:rPr>
        <w:t>that the monetary means are of</w:t>
      </w:r>
      <w:r>
        <w:rPr>
          <w:rFonts w:ascii="Times New Roman" w:hAnsi="Times New Roman" w:cs="Times New Roman"/>
          <w:spacing w:val="40"/>
          <w:sz w:val="24"/>
          <w:szCs w:val="24"/>
        </w:rPr>
        <w:t xml:space="preserve"> </w:t>
      </w:r>
      <w:r>
        <w:rPr>
          <w:rFonts w:ascii="Times New Roman" w:hAnsi="Times New Roman" w:cs="Times New Roman"/>
          <w:sz w:val="24"/>
          <w:szCs w:val="24"/>
        </w:rPr>
        <w:t>linked to activities</w:t>
      </w:r>
      <w:r>
        <w:rPr>
          <w:rFonts w:ascii="Times New Roman" w:hAnsi="Times New Roman" w:cs="Times New Roman"/>
          <w:spacing w:val="40"/>
          <w:sz w:val="24"/>
          <w:szCs w:val="24"/>
        </w:rPr>
        <w:t xml:space="preserve"> </w:t>
      </w:r>
      <w:r>
        <w:rPr>
          <w:rFonts w:ascii="Times New Roman" w:hAnsi="Times New Roman" w:cs="Times New Roman"/>
          <w:sz w:val="24"/>
          <w:szCs w:val="24"/>
        </w:rPr>
        <w:t>criminal;</w:t>
      </w:r>
    </w:p>
    <w:p w:rsidR="00A04C41" w:rsidRPr="007647A8" w:rsidRDefault="00674408" w:rsidP="002A39C9">
      <w:pPr>
        <w:pStyle w:val="ListParagraph"/>
        <w:tabs>
          <w:tab w:val="left" w:pos="360"/>
          <w:tab w:val="left" w:pos="1324"/>
        </w:tabs>
        <w:spacing w:after="0"/>
        <w:ind w:left="0" w:firstLine="567"/>
        <w:rPr>
          <w:rFonts w:ascii="Times New Roman" w:hAnsi="Times New Roman" w:cs="Times New Roman"/>
          <w:spacing w:val="-2"/>
          <w:sz w:val="24"/>
          <w:szCs w:val="24"/>
        </w:rPr>
      </w:pPr>
      <w:r>
        <w:rPr>
          <w:rFonts w:ascii="Times New Roman" w:hAnsi="Times New Roman" w:cs="Times New Roman"/>
          <w:sz w:val="24"/>
          <w:szCs w:val="24"/>
        </w:rPr>
        <w:t>d)  information</w:t>
      </w:r>
      <w:r>
        <w:rPr>
          <w:rFonts w:ascii="Times New Roman" w:hAnsi="Times New Roman" w:cs="Times New Roman"/>
          <w:spacing w:val="26"/>
          <w:sz w:val="24"/>
          <w:szCs w:val="24"/>
        </w:rPr>
        <w:t xml:space="preserve"> </w:t>
      </w:r>
      <w:r>
        <w:rPr>
          <w:rFonts w:ascii="Times New Roman" w:hAnsi="Times New Roman" w:cs="Times New Roman"/>
          <w:sz w:val="24"/>
          <w:szCs w:val="24"/>
        </w:rPr>
        <w:t>anonymous risk</w:t>
      </w:r>
      <w:r>
        <w:rPr>
          <w:rFonts w:ascii="Times New Roman" w:hAnsi="Times New Roman" w:cs="Times New Roman"/>
          <w:spacing w:val="26"/>
          <w:sz w:val="24"/>
          <w:szCs w:val="24"/>
        </w:rPr>
        <w:t xml:space="preserve"> </w:t>
      </w:r>
      <w:r>
        <w:rPr>
          <w:rFonts w:ascii="Times New Roman" w:hAnsi="Times New Roman" w:cs="Times New Roman"/>
          <w:sz w:val="24"/>
          <w:szCs w:val="24"/>
        </w:rPr>
        <w:t>and</w:t>
      </w:r>
      <w:r>
        <w:rPr>
          <w:rFonts w:ascii="Times New Roman" w:hAnsi="Times New Roman" w:cs="Times New Roman"/>
          <w:spacing w:val="29"/>
          <w:sz w:val="24"/>
          <w:szCs w:val="24"/>
        </w:rPr>
        <w:t xml:space="preserve"> results</w:t>
      </w:r>
      <w:r>
        <w:rPr>
          <w:rFonts w:ascii="Times New Roman" w:hAnsi="Times New Roman" w:cs="Times New Roman"/>
          <w:sz w:val="24"/>
          <w:szCs w:val="24"/>
        </w:rPr>
        <w:t xml:space="preserve"> of the risk analysis</w:t>
      </w:r>
      <w:r>
        <w:rPr>
          <w:rFonts w:ascii="Times New Roman" w:hAnsi="Times New Roman" w:cs="Times New Roman"/>
          <w:spacing w:val="-2"/>
          <w:sz w:val="24"/>
          <w:szCs w:val="24"/>
        </w:rPr>
        <w:t>.</w:t>
      </w:r>
    </w:p>
    <w:p w:rsidR="00A04C41" w:rsidRPr="007647A8" w:rsidRDefault="00A04C41" w:rsidP="002A39C9">
      <w:pPr>
        <w:pStyle w:val="ListParagraph"/>
        <w:widowControl w:val="0"/>
        <w:numPr>
          <w:ilvl w:val="0"/>
          <w:numId w:val="4"/>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When there are indications that the monetary funds are linked to criminal activity, the information referred to in point 1 shall also be sent to the competent prosecution body. </w:t>
      </w:r>
    </w:p>
    <w:p w:rsidR="00A04C41" w:rsidRPr="007647A8" w:rsidRDefault="00A04C41" w:rsidP="002A39C9">
      <w:pPr>
        <w:pStyle w:val="ListParagraph"/>
        <w:widowControl w:val="0"/>
        <w:numPr>
          <w:ilvl w:val="0"/>
          <w:numId w:val="4"/>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authority sends the information referred to in points 1 and 2 in accordance with the rules referred to in Article 199, point 2 and using the format referred to in Article 199, point 4, letter “c” of this law.</w:t>
      </w:r>
    </w:p>
    <w:p w:rsidR="00A04C41" w:rsidRPr="007647A8" w:rsidRDefault="00A04C41" w:rsidP="002A39C9">
      <w:pPr>
        <w:pStyle w:val="ListParagraph"/>
        <w:widowControl w:val="0"/>
        <w:numPr>
          <w:ilvl w:val="0"/>
          <w:numId w:val="4"/>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information referred to</w:t>
      </w:r>
      <w:r>
        <w:rPr>
          <w:rFonts w:ascii="Times New Roman" w:hAnsi="Times New Roman" w:cs="Times New Roman"/>
          <w:spacing w:val="16"/>
          <w:sz w:val="24"/>
          <w:szCs w:val="24"/>
        </w:rPr>
        <w:t xml:space="preserve"> </w:t>
      </w:r>
      <w:r>
        <w:rPr>
          <w:rFonts w:ascii="Times New Roman" w:hAnsi="Times New Roman" w:cs="Times New Roman"/>
          <w:sz w:val="24"/>
          <w:szCs w:val="24"/>
        </w:rPr>
        <w:t>in point 1, letters “a”, “b” and “c” of this Article  and in point 2, shall be sent as soon as possible and in any case no later than 15 working days after the date on which this information was received.</w:t>
      </w:r>
    </w:p>
    <w:p w:rsidR="00A04C41" w:rsidRPr="007647A8" w:rsidRDefault="00A04C41" w:rsidP="002A39C9">
      <w:pPr>
        <w:pStyle w:val="ListParagraph"/>
        <w:widowControl w:val="0"/>
        <w:numPr>
          <w:ilvl w:val="0"/>
          <w:numId w:val="4"/>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information and results referred to in point 1, letter “d” of this article are sent on a basis</w:t>
      </w:r>
      <w:r>
        <w:rPr>
          <w:rFonts w:ascii="Times New Roman" w:hAnsi="Times New Roman" w:cs="Times New Roman"/>
          <w:spacing w:val="40"/>
          <w:sz w:val="24"/>
          <w:szCs w:val="24"/>
        </w:rPr>
        <w:t xml:space="preserve"> </w:t>
      </w:r>
      <w:r>
        <w:rPr>
          <w:rFonts w:ascii="Times New Roman" w:hAnsi="Times New Roman" w:cs="Times New Roman"/>
          <w:sz w:val="24"/>
          <w:szCs w:val="24"/>
        </w:rPr>
        <w:t>six-monthly.</w:t>
      </w: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194</w:t>
      </w:r>
    </w:p>
    <w:p w:rsidR="00A04C41" w:rsidRPr="007647A8" w:rsidRDefault="00A04C41" w:rsidP="002A39C9">
      <w:pPr>
        <w:pStyle w:val="Heading1"/>
        <w:tabs>
          <w:tab w:val="left" w:pos="360"/>
        </w:tabs>
        <w:spacing w:before="0" w:line="276" w:lineRule="auto"/>
        <w:ind w:right="0"/>
        <w:rPr>
          <w:sz w:val="24"/>
          <w:szCs w:val="24"/>
          <w:lang w:val="en-US"/>
        </w:rPr>
      </w:pPr>
      <w:r>
        <w:rPr>
          <w:sz w:val="24"/>
          <w:szCs w:val="24"/>
          <w:lang w:val="en-US"/>
        </w:rPr>
        <w:t>Exchange of</w:t>
      </w:r>
      <w:r>
        <w:rPr>
          <w:spacing w:val="25"/>
          <w:sz w:val="24"/>
          <w:szCs w:val="24"/>
          <w:lang w:val="en-US"/>
        </w:rPr>
        <w:t xml:space="preserve"> </w:t>
      </w:r>
      <w:r>
        <w:rPr>
          <w:sz w:val="24"/>
          <w:szCs w:val="24"/>
          <w:lang w:val="en-US"/>
        </w:rPr>
        <w:t>information</w:t>
      </w:r>
      <w:r>
        <w:rPr>
          <w:spacing w:val="23"/>
          <w:sz w:val="24"/>
          <w:szCs w:val="24"/>
          <w:lang w:val="en-US"/>
        </w:rPr>
        <w:t xml:space="preserve"> </w:t>
      </w:r>
      <w:r>
        <w:rPr>
          <w:sz w:val="24"/>
          <w:szCs w:val="24"/>
          <w:lang w:val="en-US"/>
        </w:rPr>
        <w:t>with</w:t>
      </w:r>
      <w:r>
        <w:rPr>
          <w:spacing w:val="24"/>
          <w:sz w:val="24"/>
          <w:szCs w:val="24"/>
          <w:lang w:val="en-US"/>
        </w:rPr>
        <w:t xml:space="preserve"> third countries</w:t>
      </w:r>
    </w:p>
    <w:p w:rsidR="00A04C41" w:rsidRPr="007647A8" w:rsidRDefault="00A04C41" w:rsidP="002A39C9">
      <w:pPr>
        <w:pStyle w:val="Heading1"/>
        <w:tabs>
          <w:tab w:val="left" w:pos="360"/>
        </w:tabs>
        <w:spacing w:before="0" w:line="276" w:lineRule="auto"/>
        <w:ind w:right="0"/>
        <w:rPr>
          <w:sz w:val="24"/>
          <w:szCs w:val="24"/>
          <w:lang w:val="en-US"/>
        </w:rPr>
      </w:pPr>
    </w:p>
    <w:p w:rsidR="00A04C41" w:rsidRPr="007647A8" w:rsidRDefault="00D24680" w:rsidP="002A39C9">
      <w:pPr>
        <w:pStyle w:val="ListParagraph"/>
        <w:widowControl w:val="0"/>
        <w:numPr>
          <w:ilvl w:val="0"/>
          <w:numId w:val="3"/>
        </w:numPr>
        <w:tabs>
          <w:tab w:val="left" w:pos="360"/>
          <w:tab w:val="left" w:pos="851"/>
          <w:tab w:val="left" w:pos="993"/>
          <w:tab w:val="left" w:pos="1276"/>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In implementation of Part IV of this law, the Albanian customs authorities within the framework of mutual administrative assistance agreements, may transmit the following information to a third country, after obtaining written authorisation from the competent authorities that initially received this information:</w:t>
      </w:r>
    </w:p>
    <w:p w:rsidR="00A04C41" w:rsidRPr="007647A8" w:rsidRDefault="00A04C41" w:rsidP="002A39C9">
      <w:pPr>
        <w:pStyle w:val="ListParagraph"/>
        <w:widowControl w:val="0"/>
        <w:numPr>
          <w:ilvl w:val="0"/>
          <w:numId w:val="1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statements </w:t>
      </w:r>
      <w:r>
        <w:rPr>
          <w:rFonts w:ascii="Times New Roman" w:hAnsi="Times New Roman" w:cs="Times New Roman"/>
          <w:i/>
          <w:sz w:val="24"/>
          <w:szCs w:val="24"/>
        </w:rPr>
        <w:t>by virtue of office</w:t>
      </w:r>
      <w:r>
        <w:rPr>
          <w:rFonts w:ascii="Times New Roman" w:hAnsi="Times New Roman" w:cs="Times New Roman"/>
          <w:sz w:val="24"/>
          <w:szCs w:val="24"/>
        </w:rPr>
        <w:t xml:space="preserve"> drafted in accordance with point 3 of Article 188; </w:t>
      </w:r>
    </w:p>
    <w:p w:rsidR="00A04C41" w:rsidRPr="007647A8" w:rsidRDefault="00A04C41" w:rsidP="002A39C9">
      <w:pPr>
        <w:pStyle w:val="ListParagraph"/>
        <w:widowControl w:val="0"/>
        <w:numPr>
          <w:ilvl w:val="0"/>
          <w:numId w:val="12"/>
        </w:numPr>
        <w:tabs>
          <w:tab w:val="left" w:pos="360"/>
          <w:tab w:val="left" w:pos="709"/>
          <w:tab w:val="left" w:pos="851"/>
          <w:tab w:val="left" w:pos="1134"/>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the information received in accordance with Article 189; </w:t>
      </w:r>
    </w:p>
    <w:p w:rsidR="00A04C41" w:rsidRPr="007647A8" w:rsidRDefault="00A04C41" w:rsidP="002A39C9">
      <w:pPr>
        <w:pStyle w:val="ListParagraph"/>
        <w:widowControl w:val="0"/>
        <w:numPr>
          <w:ilvl w:val="0"/>
          <w:numId w:val="12"/>
        </w:numPr>
        <w:tabs>
          <w:tab w:val="left" w:pos="360"/>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declarations received in accordance with Articles 186 or 187, when there are indications that the monetary means are linked to money laundering or the financing of terrorism.</w:t>
      </w:r>
    </w:p>
    <w:p w:rsidR="00A04C41" w:rsidRPr="007647A8" w:rsidRDefault="00682615" w:rsidP="002A39C9">
      <w:pPr>
        <w:pStyle w:val="BodyText"/>
        <w:tabs>
          <w:tab w:val="left" w:pos="360"/>
        </w:tabs>
        <w:spacing w:line="276" w:lineRule="auto"/>
        <w:jc w:val="both"/>
        <w:rPr>
          <w:sz w:val="24"/>
          <w:szCs w:val="24"/>
          <w:lang w:val="en-US"/>
        </w:rPr>
      </w:pPr>
      <w:r>
        <w:rPr>
          <w:sz w:val="24"/>
          <w:szCs w:val="24"/>
          <w:lang w:val="en-US"/>
        </w:rPr>
        <w:tab/>
        <w:t xml:space="preserve">2. The information transmitted according to pointof point 1 of this Article shall be exchanged in accordance with the legislation in force on the protection of personal data. </w:t>
      </w:r>
    </w:p>
    <w:p w:rsidR="00682615" w:rsidRPr="007647A8" w:rsidRDefault="00682615" w:rsidP="002A39C9">
      <w:pPr>
        <w:pStyle w:val="BodyText"/>
        <w:tabs>
          <w:tab w:val="left" w:pos="360"/>
        </w:tabs>
        <w:spacing w:line="276" w:lineRule="auto"/>
        <w:rPr>
          <w:sz w:val="24"/>
          <w:szCs w:val="24"/>
          <w:lang w:val="en-US"/>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195</w:t>
      </w:r>
    </w:p>
    <w:p w:rsidR="00A04C41" w:rsidRPr="007647A8" w:rsidRDefault="00A04C41" w:rsidP="002A39C9">
      <w:pPr>
        <w:pStyle w:val="Heading1"/>
        <w:tabs>
          <w:tab w:val="left" w:pos="360"/>
        </w:tabs>
        <w:spacing w:before="0" w:line="276" w:lineRule="auto"/>
        <w:ind w:right="0"/>
        <w:rPr>
          <w:spacing w:val="29"/>
          <w:sz w:val="24"/>
          <w:szCs w:val="24"/>
          <w:lang w:val="en-US"/>
        </w:rPr>
      </w:pPr>
      <w:r>
        <w:rPr>
          <w:sz w:val="24"/>
          <w:szCs w:val="24"/>
          <w:lang w:val="en-US"/>
        </w:rPr>
        <w:t>Secret</w:t>
      </w:r>
      <w:r>
        <w:rPr>
          <w:spacing w:val="26"/>
          <w:sz w:val="24"/>
          <w:szCs w:val="24"/>
          <w:lang w:val="en-US"/>
        </w:rPr>
        <w:t xml:space="preserve"> p</w:t>
      </w:r>
      <w:r>
        <w:rPr>
          <w:sz w:val="24"/>
          <w:szCs w:val="24"/>
          <w:lang w:val="en-US"/>
        </w:rPr>
        <w:t>professional,</w:t>
      </w:r>
      <w:r>
        <w:rPr>
          <w:spacing w:val="29"/>
          <w:sz w:val="24"/>
          <w:szCs w:val="24"/>
          <w:lang w:val="en-US"/>
        </w:rPr>
        <w:t xml:space="preserve"> </w:t>
      </w:r>
      <w:r>
        <w:rPr>
          <w:sz w:val="24"/>
          <w:szCs w:val="24"/>
          <w:lang w:val="en-US"/>
        </w:rPr>
        <w:t>confidentiality</w:t>
      </w:r>
      <w:r>
        <w:rPr>
          <w:spacing w:val="23"/>
          <w:sz w:val="24"/>
          <w:szCs w:val="24"/>
          <w:lang w:val="en-US"/>
        </w:rPr>
        <w:t xml:space="preserve"> </w:t>
      </w:r>
      <w:r>
        <w:rPr>
          <w:sz w:val="24"/>
          <w:szCs w:val="24"/>
          <w:lang w:val="en-US"/>
        </w:rPr>
        <w:t>and</w:t>
      </w:r>
      <w:r>
        <w:rPr>
          <w:spacing w:val="30"/>
          <w:sz w:val="24"/>
          <w:szCs w:val="24"/>
          <w:lang w:val="en-US"/>
        </w:rPr>
        <w:t xml:space="preserve"> protection of the</w:t>
      </w:r>
      <w:r>
        <w:rPr>
          <w:sz w:val="24"/>
          <w:szCs w:val="24"/>
          <w:lang w:val="en-US"/>
        </w:rPr>
        <w:t xml:space="preserve"> data</w:t>
      </w:r>
      <w:r>
        <w:rPr>
          <w:spacing w:val="29"/>
          <w:sz w:val="24"/>
          <w:szCs w:val="24"/>
          <w:lang w:val="en-US"/>
        </w:rPr>
        <w:t xml:space="preserve"> </w:t>
      </w:r>
    </w:p>
    <w:p w:rsidR="00A04C41" w:rsidRPr="007647A8" w:rsidRDefault="00A04C41" w:rsidP="002A39C9">
      <w:pPr>
        <w:pStyle w:val="Heading1"/>
        <w:tabs>
          <w:tab w:val="left" w:pos="360"/>
        </w:tabs>
        <w:spacing w:before="0" w:line="276" w:lineRule="auto"/>
        <w:ind w:right="0"/>
        <w:rPr>
          <w:sz w:val="24"/>
          <w:szCs w:val="24"/>
          <w:lang w:val="en-US"/>
        </w:rPr>
      </w:pPr>
    </w:p>
    <w:p w:rsidR="00A04C41" w:rsidRPr="007647A8" w:rsidRDefault="00A04C41" w:rsidP="002A39C9">
      <w:pPr>
        <w:pStyle w:val="ListParagraph"/>
        <w:widowControl w:val="0"/>
        <w:numPr>
          <w:ilvl w:val="0"/>
          <w:numId w:val="13"/>
        </w:numPr>
        <w:tabs>
          <w:tab w:val="left" w:pos="2"/>
          <w:tab w:val="left" w:pos="270"/>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ensure the protection and security of the data received in accordance with Articles 186, 187, 188, point 3, and Article 189.</w:t>
      </w:r>
    </w:p>
    <w:p w:rsidR="00A04C41" w:rsidRPr="007647A8" w:rsidRDefault="00A04C41" w:rsidP="002A39C9">
      <w:pPr>
        <w:pStyle w:val="ListParagraph"/>
        <w:widowControl w:val="0"/>
        <w:numPr>
          <w:ilvl w:val="0"/>
          <w:numId w:val="13"/>
        </w:numPr>
        <w:tabs>
          <w:tab w:val="left" w:pos="2"/>
          <w:tab w:val="left" w:pos="270"/>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information received from the competent authorities is covered by the obligation to maintain professional secrecy.</w:t>
      </w:r>
    </w:p>
    <w:p w:rsidR="00A04C41" w:rsidRPr="007647A8" w:rsidRDefault="00A04C41" w:rsidP="002A39C9">
      <w:pPr>
        <w:pStyle w:val="BodyText"/>
        <w:tabs>
          <w:tab w:val="left" w:pos="360"/>
        </w:tabs>
        <w:spacing w:line="276" w:lineRule="auto"/>
        <w:rPr>
          <w:sz w:val="24"/>
          <w:szCs w:val="24"/>
          <w:lang w:val="en-US"/>
        </w:rPr>
      </w:pP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196</w:t>
      </w:r>
    </w:p>
    <w:p w:rsidR="00A04C41" w:rsidRPr="007647A8" w:rsidRDefault="00A04C41" w:rsidP="002A39C9">
      <w:pPr>
        <w:pStyle w:val="Heading1"/>
        <w:tabs>
          <w:tab w:val="left" w:pos="360"/>
        </w:tabs>
        <w:spacing w:before="0" w:line="276" w:lineRule="auto"/>
        <w:ind w:right="0"/>
        <w:rPr>
          <w:spacing w:val="23"/>
          <w:sz w:val="24"/>
          <w:szCs w:val="24"/>
          <w:lang w:val="en-US"/>
        </w:rPr>
      </w:pPr>
      <w:r>
        <w:rPr>
          <w:sz w:val="24"/>
          <w:szCs w:val="24"/>
          <w:lang w:val="en-US"/>
        </w:rPr>
        <w:t>Protection of personal data</w:t>
      </w:r>
      <w:r>
        <w:rPr>
          <w:spacing w:val="25"/>
          <w:sz w:val="24"/>
          <w:szCs w:val="24"/>
          <w:lang w:val="en-US"/>
        </w:rPr>
        <w:t xml:space="preserve"> </w:t>
      </w:r>
      <w:r>
        <w:rPr>
          <w:sz w:val="24"/>
          <w:szCs w:val="24"/>
          <w:lang w:val="en-US"/>
        </w:rPr>
        <w:t>and</w:t>
      </w:r>
      <w:r>
        <w:rPr>
          <w:spacing w:val="25"/>
          <w:sz w:val="24"/>
          <w:szCs w:val="24"/>
          <w:lang w:val="en-US"/>
        </w:rPr>
        <w:t xml:space="preserve"> period</w:t>
      </w:r>
      <w:r>
        <w:rPr>
          <w:sz w:val="24"/>
          <w:szCs w:val="24"/>
          <w:lang w:val="en-US"/>
        </w:rPr>
        <w:t xml:space="preserve"> of retention</w:t>
      </w:r>
      <w:r>
        <w:rPr>
          <w:spacing w:val="23"/>
          <w:sz w:val="24"/>
          <w:szCs w:val="24"/>
          <w:lang w:val="en-US"/>
        </w:rPr>
        <w:t xml:space="preserve"> </w:t>
      </w:r>
    </w:p>
    <w:p w:rsidR="00A36DEA" w:rsidRPr="007647A8" w:rsidRDefault="00A36DEA" w:rsidP="002A39C9">
      <w:pPr>
        <w:pStyle w:val="Heading1"/>
        <w:tabs>
          <w:tab w:val="left" w:pos="360"/>
        </w:tabs>
        <w:spacing w:before="0" w:line="276" w:lineRule="auto"/>
        <w:ind w:right="0"/>
        <w:rPr>
          <w:sz w:val="24"/>
          <w:szCs w:val="24"/>
          <w:lang w:val="en-US"/>
        </w:rPr>
      </w:pPr>
    </w:p>
    <w:p w:rsidR="00A04C41" w:rsidRPr="007647A8" w:rsidRDefault="00A04C41" w:rsidP="002A39C9">
      <w:pPr>
        <w:pStyle w:val="ListParagraph"/>
        <w:widowControl w:val="0"/>
        <w:numPr>
          <w:ilvl w:val="0"/>
          <w:numId w:val="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act as controllers of personal data that they receive, according to the definitions in Articles 186, 187, 188 point 3, and Article 189.</w:t>
      </w:r>
    </w:p>
    <w:p w:rsidR="00A04C41" w:rsidRPr="007647A8" w:rsidRDefault="00A04C41" w:rsidP="002A39C9">
      <w:pPr>
        <w:pStyle w:val="ListParagraph"/>
        <w:widowControl w:val="0"/>
        <w:numPr>
          <w:ilvl w:val="0"/>
          <w:numId w:val="2"/>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processing of personal data on the basis of Part IV of this law is carried out only for the purposes of the prevention and fight against criminal activities.</w:t>
      </w:r>
    </w:p>
    <w:p w:rsidR="00FF790D" w:rsidRPr="007647A8" w:rsidRDefault="00A04C41" w:rsidP="002A39C9">
      <w:pPr>
        <w:pStyle w:val="ListParagraph"/>
        <w:widowControl w:val="0"/>
        <w:numPr>
          <w:ilvl w:val="0"/>
          <w:numId w:val="2"/>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Of</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personal data obtained pursuant to Articles 186, 187, 188 point 3, and Article 189 are accessed only by authorised employees of the customs authorities and are appropriately protected against unauthorised access or transmission. </w:t>
      </w:r>
    </w:p>
    <w:p w:rsidR="00A04C41" w:rsidRPr="007647A8" w:rsidRDefault="00FF790D" w:rsidP="002A39C9">
      <w:pPr>
        <w:pStyle w:val="ListParagraph"/>
        <w:widowControl w:val="0"/>
        <w:tabs>
          <w:tab w:val="left" w:pos="360"/>
          <w:tab w:val="left" w:pos="709"/>
          <w:tab w:val="left" w:pos="851"/>
          <w:tab w:val="left" w:pos="1442"/>
        </w:tabs>
        <w:autoSpaceDE w:val="0"/>
        <w:autoSpaceDN w:val="0"/>
        <w:spacing w:after="0"/>
        <w:ind w:left="0" w:firstLine="0"/>
        <w:contextualSpacing w:val="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 xml:space="preserve"> </w:t>
      </w:r>
      <w:r w:rsidR="00364A13" w:rsidRPr="007647A8">
        <w:rPr>
          <w:rFonts w:ascii="Times New Roman" w:hAnsi="Times New Roman" w:cs="Times New Roman"/>
          <w:sz w:val="24"/>
          <w:szCs w:val="24"/>
        </w:rPr>
        <w:tab/>
      </w:r>
      <w:r>
        <w:rPr>
          <w:rFonts w:ascii="Times New Roman" w:hAnsi="Times New Roman" w:cs="Times New Roman"/>
          <w:sz w:val="24"/>
          <w:szCs w:val="24"/>
        </w:rPr>
        <w:t>Except in cases where otherwise provided for in Articles 192, 193 and 194, the data may not be made known or transmitted without the express authorisation of the customs authority from which they were originally obtained. This authorisation is not necessary when the customs authorities must disclose or transmit the data in accordance with the legislation in force, especially in connection with judicial proceedings.</w:t>
      </w:r>
    </w:p>
    <w:p w:rsidR="00A04C41" w:rsidRPr="007647A8" w:rsidRDefault="00A04C41" w:rsidP="002A39C9">
      <w:pPr>
        <w:pStyle w:val="ListParagraph"/>
        <w:widowControl w:val="0"/>
        <w:numPr>
          <w:ilvl w:val="0"/>
          <w:numId w:val="2"/>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customs authorities and the Financial Intelligence Agency retain the personal data obtained pursuant to Articles 186, 187, 188 point 3, and Article 189 for a period of 5 years from the date on which the data were obtained. The personal data shall be erased after the end of this period.</w:t>
      </w:r>
    </w:p>
    <w:p w:rsidR="00A04C41" w:rsidRPr="007647A8" w:rsidRDefault="002C2079" w:rsidP="002A39C9">
      <w:pPr>
        <w:pStyle w:val="ListParagraph"/>
        <w:widowControl w:val="0"/>
        <w:numPr>
          <w:ilvl w:val="0"/>
          <w:numId w:val="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Pr>
          <w:rFonts w:ascii="Times New Roman" w:hAnsi="Times New Roman" w:cs="Times New Roman"/>
          <w:sz w:val="24"/>
          <w:szCs w:val="24"/>
        </w:rPr>
        <w:t>The retention period may be extended only once for an additional period not exceeding 3 years, if:</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a) The Financial Intelligence Agency, after having carried out a full assessment of the need and proportionality for further retention and has assessed it justified for</w:t>
      </w:r>
      <w:r>
        <w:rPr>
          <w:rFonts w:ascii="Times New Roman" w:hAnsi="Times New Roman" w:cs="Times New Roman"/>
          <w:spacing w:val="40"/>
          <w:sz w:val="24"/>
          <w:szCs w:val="24"/>
        </w:rPr>
        <w:t xml:space="preserve"> </w:t>
      </w:r>
      <w:r>
        <w:rPr>
          <w:rFonts w:ascii="Times New Roman" w:hAnsi="Times New Roman" w:cs="Times New Roman"/>
          <w:sz w:val="24"/>
          <w:szCs w:val="24"/>
        </w:rPr>
        <w:t>the fulfilment of</w:t>
      </w:r>
      <w:r>
        <w:rPr>
          <w:rFonts w:ascii="Times New Roman" w:hAnsi="Times New Roman" w:cs="Times New Roman"/>
          <w:spacing w:val="40"/>
          <w:sz w:val="24"/>
          <w:szCs w:val="24"/>
        </w:rPr>
        <w:t xml:space="preserve"> </w:t>
      </w:r>
      <w:r>
        <w:rPr>
          <w:rFonts w:ascii="Times New Roman" w:hAnsi="Times New Roman" w:cs="Times New Roman"/>
          <w:sz w:val="24"/>
          <w:szCs w:val="24"/>
        </w:rPr>
        <w:t>its duties</w:t>
      </w:r>
      <w:r>
        <w:rPr>
          <w:rFonts w:ascii="Times New Roman" w:hAnsi="Times New Roman" w:cs="Times New Roman"/>
          <w:spacing w:val="40"/>
          <w:sz w:val="24"/>
          <w:szCs w:val="24"/>
        </w:rPr>
        <w:t xml:space="preserve"> </w:t>
      </w:r>
      <w:r>
        <w:rPr>
          <w:rFonts w:ascii="Times New Roman" w:hAnsi="Times New Roman" w:cs="Times New Roman"/>
          <w:sz w:val="24"/>
          <w:szCs w:val="24"/>
        </w:rPr>
        <w:t>within the framework of</w:t>
      </w:r>
      <w:r>
        <w:rPr>
          <w:rFonts w:ascii="Times New Roman" w:hAnsi="Times New Roman" w:cs="Times New Roman"/>
          <w:spacing w:val="40"/>
          <w:sz w:val="24"/>
          <w:szCs w:val="24"/>
        </w:rPr>
        <w:t xml:space="preserve"> </w:t>
      </w:r>
      <w:r>
        <w:rPr>
          <w:rFonts w:ascii="Times New Roman" w:hAnsi="Times New Roman" w:cs="Times New Roman"/>
          <w:sz w:val="24"/>
          <w:szCs w:val="24"/>
        </w:rPr>
        <w:t>the fight against money laundering and terrorist financing, determines that</w:t>
      </w:r>
      <w:r>
        <w:rPr>
          <w:rFonts w:ascii="Times New Roman" w:hAnsi="Times New Roman" w:cs="Times New Roman"/>
          <w:spacing w:val="40"/>
          <w:sz w:val="24"/>
          <w:szCs w:val="24"/>
        </w:rPr>
        <w:t xml:space="preserve"> </w:t>
      </w:r>
      <w:r>
        <w:rPr>
          <w:rFonts w:ascii="Times New Roman" w:hAnsi="Times New Roman" w:cs="Times New Roman"/>
          <w:sz w:val="24"/>
          <w:szCs w:val="24"/>
        </w:rPr>
        <w:t>further retention</w:t>
      </w:r>
      <w:r>
        <w:rPr>
          <w:rFonts w:ascii="Times New Roman" w:hAnsi="Times New Roman" w:cs="Times New Roman"/>
          <w:spacing w:val="40"/>
          <w:sz w:val="24"/>
          <w:szCs w:val="24"/>
        </w:rPr>
        <w:t xml:space="preserve"> </w:t>
      </w:r>
      <w:r>
        <w:rPr>
          <w:rFonts w:ascii="Times New Roman" w:hAnsi="Times New Roman" w:cs="Times New Roman"/>
          <w:sz w:val="24"/>
          <w:szCs w:val="24"/>
        </w:rPr>
        <w:t>is</w:t>
      </w:r>
      <w:r>
        <w:rPr>
          <w:rFonts w:ascii="Times New Roman" w:hAnsi="Times New Roman" w:cs="Times New Roman"/>
          <w:spacing w:val="40"/>
          <w:sz w:val="24"/>
          <w:szCs w:val="24"/>
        </w:rPr>
        <w:t xml:space="preserve"> </w:t>
      </w:r>
      <w:r>
        <w:rPr>
          <w:rFonts w:ascii="Times New Roman" w:hAnsi="Times New Roman" w:cs="Times New Roman"/>
          <w:sz w:val="24"/>
          <w:szCs w:val="24"/>
        </w:rPr>
        <w:t>necessary;</w:t>
      </w:r>
      <w:r>
        <w:rPr>
          <w:rFonts w:ascii="Times New Roman" w:hAnsi="Times New Roman" w:cs="Times New Roman"/>
          <w:spacing w:val="40"/>
          <w:sz w:val="24"/>
          <w:szCs w:val="24"/>
        </w:rPr>
        <w:t xml:space="preserve"> </w:t>
      </w:r>
      <w:r>
        <w:rPr>
          <w:rFonts w:ascii="Times New Roman" w:hAnsi="Times New Roman" w:cs="Times New Roman"/>
          <w:sz w:val="24"/>
          <w:szCs w:val="24"/>
        </w:rPr>
        <w:t>or</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b) The customs authorities determine that further retention is necessary, after having carried out a full assessment of the necessity and proportionality of the further retention and having assessed it as justified for the performance of their duties for the exercise of effective controls related to the obligation to declare accompanied cash or the obligation to declare unaccompanied cash.</w:t>
      </w:r>
    </w:p>
    <w:p w:rsidR="004116B0" w:rsidRPr="007647A8" w:rsidRDefault="004116B0" w:rsidP="002A39C9">
      <w:pPr>
        <w:pStyle w:val="ListParagraph"/>
        <w:tabs>
          <w:tab w:val="left" w:pos="360"/>
          <w:tab w:val="left" w:pos="1325"/>
        </w:tabs>
        <w:spacing w:after="0"/>
        <w:ind w:left="0" w:firstLine="567"/>
        <w:rPr>
          <w:rFonts w:ascii="Times New Roman" w:hAnsi="Times New Roman" w:cs="Times New Roman"/>
          <w:sz w:val="24"/>
          <w:szCs w:val="24"/>
        </w:rPr>
      </w:pPr>
    </w:p>
    <w:p w:rsidR="00A04C41" w:rsidRPr="007647A8" w:rsidRDefault="00A04C41" w:rsidP="002A39C9">
      <w:pPr>
        <w:tabs>
          <w:tab w:val="left" w:pos="0"/>
        </w:tabs>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197</w:t>
      </w:r>
    </w:p>
    <w:p w:rsidR="00A04C41" w:rsidRPr="007647A8" w:rsidRDefault="00584BEE" w:rsidP="002A39C9">
      <w:pPr>
        <w:pStyle w:val="Heading1"/>
        <w:tabs>
          <w:tab w:val="left" w:pos="0"/>
        </w:tabs>
        <w:spacing w:before="0" w:line="276" w:lineRule="auto"/>
        <w:ind w:right="0"/>
        <w:rPr>
          <w:spacing w:val="-2"/>
          <w:sz w:val="24"/>
          <w:szCs w:val="24"/>
          <w:lang w:val="en-US"/>
        </w:rPr>
      </w:pPr>
      <w:r>
        <w:rPr>
          <w:sz w:val="24"/>
          <w:szCs w:val="24"/>
          <w:lang w:val="en-US"/>
        </w:rPr>
        <w:t>Fines and administrative measures</w:t>
      </w:r>
    </w:p>
    <w:p w:rsidR="00DA7CE3" w:rsidRPr="007647A8" w:rsidRDefault="00DA7CE3" w:rsidP="002A39C9">
      <w:pPr>
        <w:pStyle w:val="Heading1"/>
        <w:tabs>
          <w:tab w:val="left" w:pos="0"/>
        </w:tabs>
        <w:spacing w:before="0" w:line="276" w:lineRule="auto"/>
        <w:ind w:right="0"/>
        <w:rPr>
          <w:sz w:val="24"/>
          <w:szCs w:val="24"/>
          <w:lang w:val="en-US"/>
        </w:rPr>
      </w:pPr>
    </w:p>
    <w:p w:rsidR="00A04C41" w:rsidRPr="007647A8" w:rsidRDefault="00A04C41" w:rsidP="002A39C9">
      <w:pPr>
        <w:pStyle w:val="BodyText"/>
        <w:tabs>
          <w:tab w:val="left" w:pos="360"/>
        </w:tabs>
        <w:spacing w:line="276" w:lineRule="auto"/>
        <w:ind w:firstLine="567"/>
        <w:jc w:val="both"/>
        <w:rPr>
          <w:sz w:val="24"/>
          <w:szCs w:val="24"/>
          <w:lang w:val="en-US"/>
        </w:rPr>
      </w:pPr>
      <w:r>
        <w:rPr>
          <w:bCs/>
          <w:sz w:val="24"/>
          <w:szCs w:val="24"/>
          <w:lang w:val="en-US"/>
        </w:rPr>
        <w:t>1. Customs authorities</w:t>
      </w:r>
      <w:r>
        <w:rPr>
          <w:sz w:val="24"/>
          <w:szCs w:val="24"/>
          <w:lang w:val="en-US"/>
        </w:rPr>
        <w:t xml:space="preserve"> impose administrative measures with a fine that is applied in the event of failure to comply with the obligation to declare the accompanied cash defined in Article 186 or the obligation to declare the unaccompanied cash defined in Article 187. </w:t>
      </w:r>
    </w:p>
    <w:p w:rsidR="00A04C41" w:rsidRPr="007647A8" w:rsidRDefault="00A04C41" w:rsidP="002A39C9">
      <w:pPr>
        <w:pStyle w:val="BodyText"/>
        <w:tabs>
          <w:tab w:val="left" w:pos="0"/>
          <w:tab w:val="left" w:pos="360"/>
        </w:tabs>
        <w:spacing w:line="276" w:lineRule="auto"/>
        <w:ind w:firstLine="567"/>
        <w:jc w:val="both"/>
        <w:rPr>
          <w:sz w:val="24"/>
          <w:szCs w:val="24"/>
          <w:lang w:val="en-US"/>
        </w:rPr>
      </w:pPr>
      <w:r>
        <w:rPr>
          <w:sz w:val="24"/>
          <w:szCs w:val="24"/>
          <w:lang w:val="en-US"/>
        </w:rPr>
        <w:t>2. If the customs authorities ascertain non-declaration, according to Articles 186 or 187, they impose an administrative measure with a fine, which is calculated as a percentage of the value provided for in these Articles, in the amount, as follows:</w:t>
      </w:r>
    </w:p>
    <w:p w:rsidR="00A04C41" w:rsidRPr="007647A8" w:rsidRDefault="005D4145" w:rsidP="002A39C9">
      <w:pPr>
        <w:pStyle w:val="BodyText"/>
        <w:numPr>
          <w:ilvl w:val="0"/>
          <w:numId w:val="15"/>
        </w:numPr>
        <w:tabs>
          <w:tab w:val="left" w:pos="0"/>
          <w:tab w:val="left" w:pos="360"/>
          <w:tab w:val="left" w:pos="851"/>
        </w:tabs>
        <w:spacing w:line="276" w:lineRule="auto"/>
        <w:ind w:left="0" w:firstLine="567"/>
        <w:jc w:val="both"/>
        <w:rPr>
          <w:sz w:val="24"/>
          <w:szCs w:val="24"/>
          <w:lang w:val="en-US"/>
        </w:rPr>
      </w:pPr>
      <w:r>
        <w:rPr>
          <w:sz w:val="24"/>
          <w:szCs w:val="24"/>
          <w:lang w:val="en-US"/>
        </w:rPr>
        <w:t>30 % of the amount over 10 000 (ten thousand) euro when the total amount of monetary funds is no more than 20 000 (twenty thousand) euro. In any case the administrative measure with a fine may not be less than 500 (five hundred) euro;</w:t>
      </w:r>
    </w:p>
    <w:p w:rsidR="00A04C41" w:rsidRPr="007647A8" w:rsidRDefault="00A92BED" w:rsidP="002A39C9">
      <w:pPr>
        <w:pStyle w:val="BodyText"/>
        <w:numPr>
          <w:ilvl w:val="0"/>
          <w:numId w:val="15"/>
        </w:numPr>
        <w:tabs>
          <w:tab w:val="left" w:pos="0"/>
          <w:tab w:val="left" w:pos="360"/>
          <w:tab w:val="left" w:pos="851"/>
        </w:tabs>
        <w:spacing w:line="276" w:lineRule="auto"/>
        <w:ind w:left="0" w:firstLine="567"/>
        <w:jc w:val="both"/>
        <w:rPr>
          <w:sz w:val="24"/>
          <w:szCs w:val="24"/>
          <w:lang w:val="en-US"/>
        </w:rPr>
      </w:pPr>
      <w:r>
        <w:rPr>
          <w:sz w:val="24"/>
          <w:szCs w:val="24"/>
          <w:lang w:val="en-US"/>
        </w:rPr>
        <w:t>40 % of the amount over 10 000 (ten thousand) euros when the total amount of monetary funds is more than 20 000 (twenty thousand) euros but not more than 50 000 (fifty thousand);</w:t>
      </w:r>
    </w:p>
    <w:p w:rsidR="00A04C41" w:rsidRPr="007647A8" w:rsidRDefault="00A92BED" w:rsidP="002A39C9">
      <w:pPr>
        <w:pStyle w:val="BodyText"/>
        <w:numPr>
          <w:ilvl w:val="0"/>
          <w:numId w:val="15"/>
        </w:numPr>
        <w:tabs>
          <w:tab w:val="left" w:pos="0"/>
          <w:tab w:val="left" w:pos="360"/>
          <w:tab w:val="left" w:pos="851"/>
        </w:tabs>
        <w:spacing w:line="276" w:lineRule="auto"/>
        <w:ind w:left="0" w:firstLine="567"/>
        <w:jc w:val="both"/>
        <w:rPr>
          <w:sz w:val="24"/>
          <w:szCs w:val="24"/>
          <w:lang w:val="en-US"/>
        </w:rPr>
      </w:pPr>
      <w:r>
        <w:rPr>
          <w:sz w:val="24"/>
          <w:szCs w:val="24"/>
          <w:lang w:val="en-US"/>
        </w:rPr>
        <w:t>50% of the amount over 10,000 (ten thousand) euros when the total amount of monetary funds is more than 50,000 (fifty thousand) euros.</w:t>
      </w:r>
    </w:p>
    <w:p w:rsidR="00A04C41" w:rsidRPr="007647A8" w:rsidRDefault="00A04C41" w:rsidP="002A39C9">
      <w:pPr>
        <w:pStyle w:val="BodyText"/>
        <w:numPr>
          <w:ilvl w:val="0"/>
          <w:numId w:val="13"/>
        </w:numPr>
        <w:tabs>
          <w:tab w:val="left" w:pos="2"/>
          <w:tab w:val="left" w:pos="360"/>
          <w:tab w:val="left" w:pos="851"/>
        </w:tabs>
        <w:spacing w:line="276" w:lineRule="auto"/>
        <w:ind w:left="0" w:firstLine="567"/>
        <w:jc w:val="both"/>
        <w:rPr>
          <w:sz w:val="24"/>
          <w:szCs w:val="24"/>
          <w:lang w:val="en-US"/>
        </w:rPr>
      </w:pPr>
      <w:r>
        <w:rPr>
          <w:sz w:val="24"/>
          <w:szCs w:val="24"/>
          <w:lang w:val="en-US"/>
        </w:rPr>
        <w:t xml:space="preserve">If the monetary funds are not divisible in the manner that allows the immediate collection of the exact amount of the fine, the customs authority keeps the monetary funds in an amount greater than the value of the fine, but approximate to the amount in question. </w:t>
      </w:r>
    </w:p>
    <w:p w:rsidR="00A2459F" w:rsidRPr="007647A8" w:rsidRDefault="00A04C41" w:rsidP="002A39C9">
      <w:pPr>
        <w:pStyle w:val="Paragrafi"/>
        <w:numPr>
          <w:ilvl w:val="0"/>
          <w:numId w:val="13"/>
        </w:numPr>
        <w:tabs>
          <w:tab w:val="left" w:pos="2"/>
          <w:tab w:val="left" w:pos="360"/>
          <w:tab w:val="left" w:pos="709"/>
          <w:tab w:val="left" w:pos="851"/>
        </w:tabs>
        <w:autoSpaceDE w:val="0"/>
        <w:autoSpaceDN w:val="0"/>
        <w:spacing w:line="276" w:lineRule="auto"/>
        <w:ind w:left="0" w:firstLine="567"/>
        <w:rPr>
          <w:rFonts w:ascii="Times New Roman" w:hAnsi="Times New Roman"/>
          <w:sz w:val="24"/>
          <w:szCs w:val="24"/>
        </w:rPr>
      </w:pPr>
      <w:r>
        <w:rPr>
          <w:rFonts w:ascii="Times New Roman" w:hAnsi="Times New Roman"/>
          <w:sz w:val="24"/>
          <w:szCs w:val="24"/>
        </w:rPr>
        <w:t>When the customs authorities suspect that the non-declaration under articles 186 or 187 constitutes a criminal offence of money laundering and terrorist financing, the criminal complaint together with the relevant file shall be transferred to the competent judicial authorities for further criminal proceedings, within 72 hours from the moment of verification of the violation. The decision imposing the administrative measure with a fine shall also be attached to the complaint material.</w:t>
      </w:r>
    </w:p>
    <w:p w:rsidR="00A04C41" w:rsidRPr="007647A8" w:rsidRDefault="00A04C41" w:rsidP="002A39C9">
      <w:pPr>
        <w:tabs>
          <w:tab w:val="left" w:pos="360"/>
        </w:tabs>
        <w:spacing w:after="0"/>
        <w:jc w:val="center"/>
        <w:rPr>
          <w:rFonts w:ascii="Times New Roman" w:hAnsi="Times New Roman" w:cs="Times New Roman"/>
          <w:i/>
          <w:sz w:val="24"/>
          <w:szCs w:val="24"/>
        </w:rPr>
      </w:pPr>
    </w:p>
    <w:p w:rsidR="00B81AC8" w:rsidRPr="007647A8" w:rsidRDefault="00B81AC8" w:rsidP="002A39C9">
      <w:pPr>
        <w:pStyle w:val="ListParagraph"/>
        <w:tabs>
          <w:tab w:val="left" w:pos="360"/>
          <w:tab w:val="left" w:pos="1324"/>
        </w:tabs>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Article 198</w:t>
      </w:r>
    </w:p>
    <w:p w:rsidR="00B81AC8" w:rsidRPr="007647A8" w:rsidRDefault="00B81AC8" w:rsidP="002A39C9">
      <w:pPr>
        <w:pStyle w:val="ListParagraph"/>
        <w:tabs>
          <w:tab w:val="left" w:pos="360"/>
          <w:tab w:val="left" w:pos="1324"/>
        </w:tabs>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Transmission and publication of information</w:t>
      </w:r>
    </w:p>
    <w:p w:rsidR="00B81AC8" w:rsidRPr="007647A8" w:rsidRDefault="00B81AC8" w:rsidP="002A39C9">
      <w:pPr>
        <w:pStyle w:val="ListParagraph"/>
        <w:tabs>
          <w:tab w:val="left" w:pos="360"/>
          <w:tab w:val="left" w:pos="1324"/>
        </w:tabs>
        <w:spacing w:after="0"/>
        <w:ind w:left="0" w:firstLine="0"/>
        <w:rPr>
          <w:rFonts w:ascii="Times New Roman" w:hAnsi="Times New Roman" w:cs="Times New Roman"/>
          <w:sz w:val="24"/>
          <w:szCs w:val="24"/>
        </w:rPr>
      </w:pPr>
    </w:p>
    <w:p w:rsidR="00B81AC8" w:rsidRPr="007647A8" w:rsidRDefault="00923851" w:rsidP="002A39C9">
      <w:pPr>
        <w:pStyle w:val="ListParagraph"/>
        <w:tabs>
          <w:tab w:val="left" w:pos="360"/>
          <w:tab w:val="left" w:pos="1324"/>
        </w:tabs>
        <w:spacing w:after="0"/>
        <w:ind w:left="0" w:firstLine="18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1.  The General Directorate of Customs publishes on its official website, at least once a year, the list of the competent authorities for the implementation of Part IV of this law, the administrative measures applicable pursuant to Article 197 of this law, as well as anonymised statistical information relating to declarations, controls and violations, using the format specified in Article 199, paragraph 4, letter “c” of this law.</w:t>
      </w:r>
    </w:p>
    <w:p w:rsidR="00B81AC8" w:rsidRPr="007647A8" w:rsidRDefault="00AE5C54"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2.  The General Directorate of Customs keeps and updates any change in relation to what is determined in point 1 of this article and publishes it on the official website. Any change in the information published according to point 1 of this article is published no later than one month from the date of entry into force of the change.</w:t>
      </w:r>
    </w:p>
    <w:p w:rsidR="00B81AC8" w:rsidRPr="007647A8" w:rsidRDefault="00AE5C54"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Pr>
          <w:rFonts w:ascii="Times New Roman" w:hAnsi="Times New Roman" w:cs="Times New Roman"/>
          <w:sz w:val="24"/>
          <w:szCs w:val="24"/>
        </w:rPr>
        <w:t>3. The General Directorate of Customs informs users, in a clear and accessible manner, about the controls carried out on monetary instruments entering or leaving the Republic of Albania.</w:t>
      </w:r>
    </w:p>
    <w:p w:rsidR="00B81AC8" w:rsidRPr="007647A8" w:rsidRDefault="00395B3E"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p>
    <w:p w:rsidR="00A04C41" w:rsidRPr="007647A8" w:rsidRDefault="00A04C41" w:rsidP="002A39C9">
      <w:pPr>
        <w:tabs>
          <w:tab w:val="left" w:pos="360"/>
        </w:tabs>
        <w:spacing w:after="0"/>
        <w:jc w:val="center"/>
        <w:rPr>
          <w:rFonts w:ascii="Times New Roman" w:hAnsi="Times New Roman" w:cs="Times New Roman"/>
          <w:sz w:val="24"/>
          <w:szCs w:val="24"/>
        </w:rPr>
      </w:pPr>
      <w:r>
        <w:rPr>
          <w:rFonts w:ascii="Times New Roman" w:hAnsi="Times New Roman" w:cs="Times New Roman"/>
          <w:sz w:val="24"/>
          <w:szCs w:val="24"/>
        </w:rPr>
        <w:t>Article</w:t>
      </w:r>
      <w:r>
        <w:rPr>
          <w:rFonts w:ascii="Times New Roman" w:hAnsi="Times New Roman" w:cs="Times New Roman"/>
          <w:spacing w:val="27"/>
          <w:sz w:val="24"/>
          <w:szCs w:val="24"/>
        </w:rPr>
        <w:t xml:space="preserve"> 199</w:t>
      </w:r>
    </w:p>
    <w:p w:rsidR="00A04C41" w:rsidRPr="007647A8" w:rsidRDefault="00A04C41" w:rsidP="002A39C9">
      <w:pPr>
        <w:pStyle w:val="Heading1"/>
        <w:tabs>
          <w:tab w:val="left" w:pos="360"/>
        </w:tabs>
        <w:spacing w:before="0" w:line="276" w:lineRule="auto"/>
        <w:ind w:right="0"/>
        <w:rPr>
          <w:sz w:val="24"/>
          <w:szCs w:val="24"/>
          <w:lang w:val="en-US"/>
        </w:rPr>
      </w:pPr>
      <w:r>
        <w:rPr>
          <w:sz w:val="24"/>
          <w:szCs w:val="24"/>
          <w:lang w:val="en-US"/>
        </w:rPr>
        <w:t>Bylaws</w:t>
      </w:r>
    </w:p>
    <w:p w:rsidR="000D45EB" w:rsidRPr="007647A8" w:rsidRDefault="000D45EB" w:rsidP="002A39C9">
      <w:pPr>
        <w:pStyle w:val="Heading1"/>
        <w:tabs>
          <w:tab w:val="left" w:pos="360"/>
        </w:tabs>
        <w:spacing w:before="0" w:line="276" w:lineRule="auto"/>
        <w:ind w:right="0"/>
        <w:rPr>
          <w:sz w:val="24"/>
          <w:szCs w:val="24"/>
          <w:lang w:val="en-US"/>
        </w:rPr>
      </w:pPr>
    </w:p>
    <w:p w:rsidR="000D45EB" w:rsidRPr="007647A8" w:rsidRDefault="00A04C41" w:rsidP="002A39C9">
      <w:pPr>
        <w:tabs>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1. The Council of Ministers, upon the proposal of the minister responsible for finance, issues detailed rules on the manner of implementation of Article 197 of this law.</w:t>
      </w:r>
    </w:p>
    <w:p w:rsidR="00AE39AC" w:rsidRPr="007647A8" w:rsidRDefault="000D45EB" w:rsidP="002A39C9">
      <w:pPr>
        <w:tabs>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2. The Council of Ministers, upon the proposal of the minister responsible for finance, updates the list of Annex I of Part IV of this law, in assessment of new typologies of money laundering, or terrorist financing, best practices for the prevention of money laundering or terrorist financing, as well as to prevent the misuse and circumvention of the obligations provided for in Articles 186 and 187</w:t>
      </w:r>
      <w:r>
        <w:rPr>
          <w:rFonts w:ascii="Times New Roman" w:hAnsi="Times New Roman" w:cs="Times New Roman"/>
          <w:spacing w:val="-4"/>
          <w:sz w:val="24"/>
          <w:szCs w:val="24"/>
        </w:rPr>
        <w:t xml:space="preserve"> of this law</w:t>
      </w:r>
      <w:r>
        <w:rPr>
          <w:rFonts w:ascii="Times New Roman" w:hAnsi="Times New Roman" w:cs="Times New Roman"/>
          <w:sz w:val="24"/>
          <w:szCs w:val="24"/>
        </w:rPr>
        <w:t xml:space="preserve"> for goods that are used as stores of value with high liquidity and prepaid cards.</w:t>
      </w:r>
    </w:p>
    <w:p w:rsidR="00AE1BE1" w:rsidRPr="007647A8" w:rsidRDefault="00AE1BE1" w:rsidP="002A39C9">
      <w:pPr>
        <w:tabs>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3. The Council of Ministers, upon the proposal of the minister responsible for finance, issues the technical rules for the effective exchange of information according to the points of Article 193</w:t>
      </w:r>
      <w:r>
        <w:rPr>
          <w:rFonts w:ascii="Times New Roman" w:hAnsi="Times New Roman" w:cs="Times New Roman"/>
          <w:spacing w:val="-4"/>
          <w:sz w:val="24"/>
          <w:szCs w:val="24"/>
        </w:rPr>
        <w:t xml:space="preserve"> of this law </w:t>
      </w:r>
      <w:r>
        <w:rPr>
          <w:rFonts w:ascii="Times New Roman" w:hAnsi="Times New Roman" w:cs="Times New Roman"/>
          <w:sz w:val="24"/>
          <w:szCs w:val="24"/>
        </w:rPr>
        <w:t>through the Customs Information System (CIS), in implementation of</w:t>
      </w:r>
      <w:r>
        <w:rPr>
          <w:rFonts w:ascii="Times New Roman" w:hAnsi="Times New Roman" w:cs="Times New Roman"/>
          <w:spacing w:val="40"/>
          <w:sz w:val="24"/>
          <w:szCs w:val="24"/>
        </w:rPr>
        <w:t xml:space="preserve"> </w:t>
      </w:r>
      <w:r>
        <w:rPr>
          <w:rFonts w:ascii="Times New Roman" w:hAnsi="Times New Roman" w:cs="Times New Roman"/>
          <w:sz w:val="24"/>
          <w:szCs w:val="24"/>
        </w:rPr>
        <w:t>Article</w:t>
      </w:r>
      <w:r>
        <w:rPr>
          <w:rFonts w:ascii="Times New Roman" w:hAnsi="Times New Roman" w:cs="Times New Roman"/>
          <w:spacing w:val="40"/>
          <w:sz w:val="24"/>
          <w:szCs w:val="24"/>
        </w:rPr>
        <w:t xml:space="preserve"> </w:t>
      </w:r>
      <w:r>
        <w:rPr>
          <w:rFonts w:ascii="Times New Roman" w:hAnsi="Times New Roman" w:cs="Times New Roman"/>
          <w:sz w:val="24"/>
          <w:szCs w:val="24"/>
        </w:rPr>
        <w:t>23</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of Council Regulation (EC) No 515/97 of 13 March 1997 on mutual assistance between the administrative authorities of the Member States and cooperation between the latter and the Commission, to ensure the implementation of the law on customs and agricultural matters. </w:t>
      </w:r>
      <w:r>
        <w:rPr>
          <w:rFonts w:ascii="Times New Roman" w:hAnsi="Times New Roman" w:cs="Times New Roman"/>
          <w:strike/>
          <w:sz w:val="24"/>
          <w:szCs w:val="24"/>
        </w:rPr>
        <w:t xml:space="preserve"> </w:t>
      </w:r>
    </w:p>
    <w:p w:rsidR="00A04C41" w:rsidRPr="007647A8" w:rsidRDefault="005E16F7" w:rsidP="002A39C9">
      <w:pPr>
        <w:tabs>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4. The minister responsible for finance, upon the proposal of the customs authority, issues the bylaws for the approval of the following measures to ensure the uniform implementation of controls by the competent customs authorities:</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 xml:space="preserve">a) the models of the declaration form, referred to in Article 186, point 3 and of the informative declaration form referred to in Article 187, point 3 of this law; </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b) the criteria for the common framework of risk management referred to in Article 188, paragraph 4 and,</w:t>
      </w:r>
      <w:r>
        <w:rPr>
          <w:rFonts w:ascii="Times New Roman" w:hAnsi="Times New Roman" w:cs="Times New Roman"/>
          <w:spacing w:val="40"/>
          <w:sz w:val="24"/>
          <w:szCs w:val="24"/>
        </w:rPr>
        <w:t xml:space="preserve"> </w:t>
      </w:r>
      <w:r>
        <w:rPr>
          <w:rFonts w:ascii="Times New Roman" w:hAnsi="Times New Roman" w:cs="Times New Roman"/>
          <w:sz w:val="24"/>
          <w:szCs w:val="24"/>
        </w:rPr>
        <w:t>more specifically,</w:t>
      </w:r>
      <w:r>
        <w:rPr>
          <w:rFonts w:ascii="Times New Roman" w:hAnsi="Times New Roman" w:cs="Times New Roman"/>
          <w:spacing w:val="37"/>
          <w:sz w:val="24"/>
          <w:szCs w:val="24"/>
        </w:rPr>
        <w:t xml:space="preserve"> </w:t>
      </w:r>
      <w:r>
        <w:rPr>
          <w:rFonts w:ascii="Times New Roman" w:hAnsi="Times New Roman" w:cs="Times New Roman"/>
          <w:sz w:val="24"/>
          <w:szCs w:val="24"/>
        </w:rPr>
        <w:t>risk criteria,</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standards and priority areas of control, based on the information exchanged pursuant to Article 193, paragraph 1, letter “d” of this law as well as on national and international policies and best practices; </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 xml:space="preserve">c) the format of the form for the transmission of the information referred to in Article 193, point 3 of this law; </w:t>
      </w:r>
    </w:p>
    <w:p w:rsidR="002F4A6E" w:rsidRPr="007647A8" w:rsidRDefault="00975624"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d) the methods and procedures for providing information according to Article 192 of this law;</w:t>
      </w:r>
    </w:p>
    <w:p w:rsidR="00A04C41" w:rsidRPr="007647A8" w:rsidRDefault="00975624" w:rsidP="002A39C9">
      <w:pPr>
        <w:pStyle w:val="ListParagraph"/>
        <w:tabs>
          <w:tab w:val="left" w:pos="360"/>
          <w:tab w:val="left" w:pos="1325"/>
        </w:tabs>
        <w:spacing w:after="0"/>
        <w:ind w:left="0" w:firstLine="567"/>
        <w:rPr>
          <w:rFonts w:ascii="Times New Roman" w:hAnsi="Times New Roman" w:cs="Times New Roman"/>
          <w:sz w:val="24"/>
          <w:szCs w:val="24"/>
        </w:rPr>
      </w:pPr>
      <w:r>
        <w:rPr>
          <w:rFonts w:ascii="Times New Roman" w:hAnsi="Times New Roman" w:cs="Times New Roman"/>
          <w:sz w:val="24"/>
          <w:szCs w:val="24"/>
        </w:rPr>
        <w:t>e) technical rules for the effective exchange of information according to Articles 193 and 194 of this law.</w:t>
      </w:r>
    </w:p>
    <w:p w:rsidR="00A04C41" w:rsidRPr="007647A8" w:rsidRDefault="00B30F36" w:rsidP="002A39C9">
      <w:pPr>
        <w:pStyle w:val="ListParagraph"/>
        <w:tabs>
          <w:tab w:val="left" w:pos="360"/>
          <w:tab w:val="left" w:pos="1325"/>
        </w:tabs>
        <w:spacing w:after="0"/>
        <w:ind w:left="0" w:firstLine="0"/>
        <w:rPr>
          <w:rFonts w:ascii="Times New Roman" w:hAnsi="Times New Roman" w:cs="Times New Roman"/>
          <w:sz w:val="24"/>
          <w:szCs w:val="24"/>
        </w:rPr>
      </w:pPr>
      <w:r>
        <w:rPr>
          <w:rFonts w:ascii="Times New Roman" w:hAnsi="Times New Roman" w:cs="Times New Roman"/>
          <w:sz w:val="24"/>
          <w:szCs w:val="24"/>
        </w:rPr>
        <w:tab/>
        <w:t xml:space="preserve">    </w:t>
      </w:r>
    </w:p>
    <w:p w:rsidR="00A04C41" w:rsidRPr="007647A8" w:rsidRDefault="00A04C41" w:rsidP="002A39C9">
      <w:pPr>
        <w:pStyle w:val="ListParagraph"/>
        <w:tabs>
          <w:tab w:val="left" w:pos="360"/>
          <w:tab w:val="left" w:pos="1325"/>
        </w:tabs>
        <w:spacing w:after="0"/>
        <w:ind w:left="0" w:firstLine="0"/>
        <w:rPr>
          <w:rFonts w:ascii="Times New Roman" w:hAnsi="Times New Roman" w:cs="Times New Roman"/>
          <w:sz w:val="24"/>
          <w:szCs w:val="24"/>
        </w:rPr>
      </w:pPr>
    </w:p>
    <w:p w:rsidR="007E5438" w:rsidRPr="007647A8" w:rsidRDefault="007E5438" w:rsidP="002A39C9">
      <w:pPr>
        <w:pStyle w:val="ListParagraph"/>
        <w:tabs>
          <w:tab w:val="left" w:pos="360"/>
        </w:tabs>
        <w:spacing w:after="0"/>
        <w:contextualSpacing w:val="0"/>
        <w:rPr>
          <w:rFonts w:ascii="Times New Roman" w:hAnsi="Times New Roman" w:cs="Times New Roman"/>
          <w:sz w:val="24"/>
          <w:szCs w:val="24"/>
        </w:rPr>
      </w:pPr>
    </w:p>
    <w:p w:rsidR="007E5438" w:rsidRPr="007647A8" w:rsidRDefault="00BB5289" w:rsidP="002A39C9">
      <w:pPr>
        <w:pStyle w:val="ListParagraph"/>
        <w:tabs>
          <w:tab w:val="left" w:pos="360"/>
        </w:tabs>
        <w:spacing w:after="0"/>
        <w:ind w:left="0" w:firstLine="0"/>
        <w:contextualSpacing w:val="0"/>
        <w:jc w:val="center"/>
        <w:rPr>
          <w:rFonts w:ascii="Times New Roman" w:hAnsi="Times New Roman" w:cs="Times New Roman"/>
          <w:sz w:val="24"/>
          <w:szCs w:val="24"/>
        </w:rPr>
      </w:pPr>
      <w:r>
        <w:rPr>
          <w:rFonts w:ascii="Times New Roman" w:hAnsi="Times New Roman" w:cs="Times New Roman"/>
          <w:sz w:val="24"/>
          <w:szCs w:val="24"/>
        </w:rPr>
        <w:t>CHAPTER 1</w:t>
      </w:r>
    </w:p>
    <w:p w:rsidR="007E5438" w:rsidRPr="007647A8" w:rsidRDefault="005D397E" w:rsidP="002A39C9">
      <w:pPr>
        <w:pStyle w:val="ListParagraph"/>
        <w:tabs>
          <w:tab w:val="left" w:pos="360"/>
        </w:tabs>
        <w:spacing w:after="0"/>
        <w:contextualSpacing w:val="0"/>
        <w:jc w:val="center"/>
        <w:rPr>
          <w:rFonts w:ascii="Times New Roman" w:hAnsi="Times New Roman" w:cs="Times New Roman"/>
          <w:b/>
          <w:sz w:val="24"/>
          <w:szCs w:val="24"/>
        </w:rPr>
      </w:pPr>
      <w:r>
        <w:rPr>
          <w:rFonts w:ascii="Times New Roman" w:hAnsi="Times New Roman" w:cs="Times New Roman"/>
          <w:b/>
          <w:sz w:val="24"/>
          <w:szCs w:val="24"/>
        </w:rPr>
        <w:t>TRANSITIONAL AND FINAL PROVISIONS</w:t>
      </w:r>
    </w:p>
    <w:p w:rsidR="00E73F36" w:rsidRPr="007647A8" w:rsidRDefault="00E73F36" w:rsidP="002A39C9">
      <w:pPr>
        <w:pStyle w:val="ListParagraph"/>
        <w:tabs>
          <w:tab w:val="left" w:pos="360"/>
        </w:tabs>
        <w:spacing w:after="0"/>
        <w:contextualSpacing w:val="0"/>
        <w:jc w:val="center"/>
        <w:rPr>
          <w:rFonts w:ascii="Times New Roman" w:hAnsi="Times New Roman" w:cs="Times New Roman"/>
          <w:b/>
          <w:sz w:val="24"/>
          <w:szCs w:val="24"/>
        </w:rPr>
      </w:pPr>
    </w:p>
    <w:p w:rsidR="00E73F36"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200</w:t>
      </w:r>
    </w:p>
    <w:p w:rsidR="00E73F36" w:rsidRPr="007647A8" w:rsidRDefault="00E73F36" w:rsidP="002A39C9">
      <w:pPr>
        <w:pStyle w:val="NeniTitull"/>
        <w:spacing w:line="276" w:lineRule="auto"/>
        <w:rPr>
          <w:rFonts w:ascii="Times New Roman" w:hAnsi="Times New Roman"/>
          <w:sz w:val="24"/>
          <w:szCs w:val="24"/>
          <w:lang w:val="en-US"/>
        </w:rPr>
      </w:pPr>
      <w:r>
        <w:rPr>
          <w:rFonts w:ascii="Times New Roman" w:hAnsi="Times New Roman"/>
          <w:sz w:val="24"/>
          <w:szCs w:val="24"/>
          <w:lang w:val="en-US"/>
        </w:rPr>
        <w:t>Transitional provisions</w:t>
      </w:r>
    </w:p>
    <w:p w:rsidR="00E73F36" w:rsidRPr="007647A8" w:rsidRDefault="00E73F36" w:rsidP="002A39C9">
      <w:pPr>
        <w:pStyle w:val="Paragrafi"/>
        <w:spacing w:line="276" w:lineRule="auto"/>
        <w:rPr>
          <w:rFonts w:ascii="Times New Roman" w:hAnsi="Times New Roman"/>
          <w:sz w:val="24"/>
          <w:szCs w:val="24"/>
        </w:rPr>
      </w:pPr>
    </w:p>
    <w:p w:rsidR="00EA661B" w:rsidRPr="007647A8" w:rsidRDefault="00E73F36" w:rsidP="002A39C9">
      <w:pPr>
        <w:pStyle w:val="Paragrafi"/>
        <w:spacing w:line="276" w:lineRule="auto"/>
        <w:rPr>
          <w:sz w:val="24"/>
          <w:szCs w:val="24"/>
        </w:rPr>
      </w:pPr>
      <w:r>
        <w:rPr>
          <w:rFonts w:ascii="Times New Roman" w:hAnsi="Times New Roman"/>
          <w:sz w:val="24"/>
          <w:szCs w:val="24"/>
        </w:rPr>
        <w:t xml:space="preserve">1. </w:t>
      </w:r>
      <w:r>
        <w:rPr>
          <w:sz w:val="24"/>
          <w:szCs w:val="24"/>
        </w:rPr>
        <w:t>The provisions of this law, for the obliged entities defined in Article 86, point 3, letters "n" and "o", begin to apply on 10 July 2029.</w:t>
      </w:r>
    </w:p>
    <w:p w:rsidR="00C22003" w:rsidRPr="007647A8" w:rsidRDefault="006E7DF3" w:rsidP="002A39C9">
      <w:pPr>
        <w:pStyle w:val="Paragrafi"/>
        <w:spacing w:line="276" w:lineRule="auto"/>
        <w:rPr>
          <w:rFonts w:ascii="Times New Roman" w:hAnsi="Times New Roman"/>
          <w:sz w:val="24"/>
          <w:szCs w:val="24"/>
        </w:rPr>
      </w:pPr>
      <w:r>
        <w:rPr>
          <w:rFonts w:ascii="Times New Roman" w:hAnsi="Times New Roman"/>
          <w:sz w:val="24"/>
          <w:szCs w:val="24"/>
        </w:rPr>
        <w:t>2. Exceptionally, Article 199, point 3 enters into force after access to the system is granted to the Republic of Albania by the European Union.</w:t>
      </w:r>
    </w:p>
    <w:p w:rsidR="00F914CF" w:rsidRPr="007647A8" w:rsidRDefault="005C09E5" w:rsidP="002A39C9">
      <w:pPr>
        <w:pStyle w:val="Paragrafi"/>
        <w:spacing w:line="276" w:lineRule="auto"/>
        <w:rPr>
          <w:rFonts w:ascii="Times New Roman" w:hAnsi="Times New Roman"/>
          <w:sz w:val="24"/>
          <w:szCs w:val="24"/>
        </w:rPr>
      </w:pPr>
      <w:r>
        <w:rPr>
          <w:rFonts w:ascii="Times New Roman" w:hAnsi="Times New Roman"/>
          <w:sz w:val="24"/>
          <w:szCs w:val="24"/>
        </w:rPr>
        <w:t>3. Until the entry into force of this law, the provisions of Law no. 9917, dated 19.5.2008 “On the prevention of money laundering and terrorist financing”, as amended, shall apply. All bylaws, issued for the implementation of this law, shall apply insofar as they do not conflict with this law, until their replacement by other bylaws, which shall be issued for the implementation of this law.</w:t>
      </w:r>
    </w:p>
    <w:p w:rsidR="00E73F36" w:rsidRPr="007647A8" w:rsidRDefault="005C09E5" w:rsidP="002A39C9">
      <w:pPr>
        <w:pStyle w:val="Paragrafi"/>
        <w:spacing w:line="276" w:lineRule="auto"/>
        <w:rPr>
          <w:rFonts w:ascii="Times New Roman" w:hAnsi="Times New Roman"/>
          <w:sz w:val="24"/>
          <w:szCs w:val="24"/>
        </w:rPr>
      </w:pPr>
      <w:r>
        <w:rPr>
          <w:rFonts w:ascii="Times New Roman" w:hAnsi="Times New Roman"/>
          <w:sz w:val="24"/>
          <w:szCs w:val="24"/>
        </w:rPr>
        <w:t>4. Offences which on the date of entry into force of this law are in the process of review by supervisory authority or by the court, shall be dealt with in accordance with the provisions in force of the law at the time of their submission and at the time of commission of the violation.</w:t>
      </w:r>
    </w:p>
    <w:p w:rsidR="00CE2907" w:rsidRPr="007647A8" w:rsidRDefault="005C09E5" w:rsidP="002A39C9">
      <w:pPr>
        <w:pStyle w:val="Paragrafi"/>
        <w:spacing w:line="276" w:lineRule="auto"/>
        <w:rPr>
          <w:rFonts w:ascii="Times New Roman" w:hAnsi="Times New Roman"/>
          <w:sz w:val="24"/>
          <w:szCs w:val="24"/>
        </w:rPr>
      </w:pPr>
      <w:r>
        <w:rPr>
          <w:rFonts w:ascii="Times New Roman" w:hAnsi="Times New Roman"/>
          <w:sz w:val="24"/>
          <w:szCs w:val="24"/>
        </w:rPr>
        <w:t>5. Every public authority, within a 3-month period from the date of adoption of this law, assesses the compliance of the existing laws, regulations and bylaws with this law.</w:t>
      </w:r>
    </w:p>
    <w:p w:rsidR="00CE2907" w:rsidRPr="007647A8" w:rsidRDefault="005C09E5" w:rsidP="002A39C9">
      <w:pPr>
        <w:pStyle w:val="Paragrafi"/>
        <w:spacing w:line="276" w:lineRule="auto"/>
        <w:rPr>
          <w:rFonts w:ascii="Times New Roman" w:hAnsi="Times New Roman"/>
          <w:sz w:val="24"/>
          <w:szCs w:val="24"/>
        </w:rPr>
      </w:pPr>
      <w:r>
        <w:rPr>
          <w:rFonts w:ascii="Times New Roman" w:hAnsi="Times New Roman"/>
          <w:sz w:val="24"/>
          <w:szCs w:val="24"/>
        </w:rPr>
        <w:t>6. When there is inconsistency or a gap with this law, identified during the assessment, the relevant public authority shall immediately amend or propose amendments to the relevant legislation and bylaws to bring them into compliance with this law.</w:t>
      </w:r>
    </w:p>
    <w:p w:rsidR="007B30EF" w:rsidRPr="007647A8" w:rsidRDefault="005C09E5" w:rsidP="002A39C9">
      <w:pPr>
        <w:pStyle w:val="Paragrafi"/>
        <w:spacing w:line="276" w:lineRule="auto"/>
        <w:rPr>
          <w:rFonts w:ascii="Times New Roman" w:hAnsi="Times New Roman"/>
          <w:sz w:val="24"/>
          <w:szCs w:val="24"/>
        </w:rPr>
      </w:pPr>
      <w:r>
        <w:rPr>
          <w:rFonts w:ascii="Times New Roman" w:hAnsi="Times New Roman"/>
          <w:sz w:val="24"/>
          <w:szCs w:val="24"/>
        </w:rPr>
        <w:t>7. Before the date of accession of the Republic of Albania to the European Union, the provisions of articles 30 point 5, 33 points 2, 3, 5 and 6, 35, 45, 48, 49, 50, 53, 54, 55, 57, 58, 64, 72, 73 point 7, 74 point 2, 75, 76, 77, 90, 99, 100 point 6, 113, 119, 138, 144, 145, 146, 147, shall apply to the extent provided for by international agreements, cooperation agreements, or the institutional framework established between the Republic of Albania and the institutions of the European Union in the field of the prevention of money laundering and terrorist financing, as well as by the obligations arising from the process of European integration.</w:t>
      </w:r>
    </w:p>
    <w:p w:rsidR="00A95491" w:rsidRPr="007647A8" w:rsidRDefault="00A95491" w:rsidP="002A39C9">
      <w:pPr>
        <w:pStyle w:val="Paragrafi"/>
        <w:spacing w:line="276" w:lineRule="auto"/>
        <w:rPr>
          <w:rFonts w:ascii="Times New Roman" w:hAnsi="Times New Roman"/>
          <w:sz w:val="24"/>
          <w:szCs w:val="24"/>
        </w:rPr>
      </w:pPr>
    </w:p>
    <w:p w:rsidR="00465E90" w:rsidRPr="007647A8" w:rsidRDefault="00465E90" w:rsidP="002A39C9">
      <w:pPr>
        <w:pStyle w:val="Paragrafi"/>
        <w:spacing w:line="276" w:lineRule="auto"/>
        <w:rPr>
          <w:rFonts w:ascii="Times New Roman" w:hAnsi="Times New Roman"/>
          <w:sz w:val="24"/>
          <w:szCs w:val="24"/>
        </w:rPr>
      </w:pPr>
    </w:p>
    <w:p w:rsidR="00B90B71" w:rsidRPr="007647A8" w:rsidRDefault="00B90B71" w:rsidP="002A39C9">
      <w:pPr>
        <w:pStyle w:val="ListParagraph"/>
        <w:tabs>
          <w:tab w:val="left" w:pos="360"/>
        </w:tabs>
        <w:spacing w:after="0"/>
        <w:ind w:left="0" w:firstLine="0"/>
        <w:jc w:val="center"/>
        <w:rPr>
          <w:rFonts w:ascii="Times New Roman" w:hAnsi="Times New Roman" w:cs="Times New Roman"/>
          <w:sz w:val="24"/>
          <w:szCs w:val="24"/>
        </w:rPr>
      </w:pPr>
      <w:r>
        <w:rPr>
          <w:rFonts w:ascii="Times New Roman" w:hAnsi="Times New Roman" w:cs="Times New Roman"/>
          <w:sz w:val="24"/>
          <w:szCs w:val="24"/>
        </w:rPr>
        <w:t>Article 201</w:t>
      </w:r>
    </w:p>
    <w:p w:rsidR="00B90B71" w:rsidRPr="007647A8" w:rsidRDefault="00B90B71" w:rsidP="002A39C9">
      <w:pPr>
        <w:pStyle w:val="ListParagraph"/>
        <w:tabs>
          <w:tab w:val="left" w:pos="360"/>
        </w:tabs>
        <w:spacing w:after="0"/>
        <w:ind w:left="0" w:firstLine="0"/>
        <w:jc w:val="center"/>
        <w:rPr>
          <w:rFonts w:ascii="Times New Roman" w:hAnsi="Times New Roman" w:cs="Times New Roman"/>
          <w:b/>
          <w:sz w:val="24"/>
          <w:szCs w:val="24"/>
        </w:rPr>
      </w:pPr>
      <w:r>
        <w:rPr>
          <w:rFonts w:ascii="Times New Roman" w:hAnsi="Times New Roman" w:cs="Times New Roman"/>
          <w:b/>
          <w:sz w:val="24"/>
          <w:szCs w:val="24"/>
        </w:rPr>
        <w:t>Institutional continuity and the rights of the personnel of the Financial Intelligence Agency</w:t>
      </w:r>
    </w:p>
    <w:p w:rsidR="00B90B71" w:rsidRPr="007647A8" w:rsidRDefault="00B90B71" w:rsidP="002A39C9">
      <w:pPr>
        <w:pStyle w:val="ListParagraph"/>
        <w:tabs>
          <w:tab w:val="left" w:pos="360"/>
        </w:tabs>
        <w:spacing w:after="0"/>
        <w:ind w:left="0" w:firstLine="0"/>
        <w:jc w:val="center"/>
        <w:rPr>
          <w:rFonts w:ascii="Times New Roman" w:hAnsi="Times New Roman" w:cs="Times New Roman"/>
          <w:sz w:val="24"/>
          <w:szCs w:val="24"/>
        </w:rPr>
      </w:pPr>
    </w:p>
    <w:p w:rsidR="00BC1094" w:rsidRPr="007647A8" w:rsidRDefault="00B90B71" w:rsidP="002A39C9">
      <w:pPr>
        <w:pStyle w:val="ListParagraph"/>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1. The Financial Intelligence Agency, which is organised and operates in accordance with Law no. 9917, dated 19.5.2008, “On the prevention of money laundering and terrorist financing”, as amended, continues its activity as the Financial Intelligence Agency under this law.</w:t>
      </w:r>
    </w:p>
    <w:p w:rsidR="00BC1094" w:rsidRPr="007647A8" w:rsidRDefault="00BC1094" w:rsidP="002A39C9">
      <w:pPr>
        <w:pStyle w:val="ListParagraph"/>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2. The entry into force of this law does not bring about the interruption, extinguishment, transfer or reorganisation of the rights, obligations, competences, functions, legal relationships, agreements, administrative procedures, analyses, access to databases, technological systems, security certificates and documentation of the Financial Intelligence Agency.</w:t>
      </w:r>
    </w:p>
    <w:p w:rsidR="00BC1094" w:rsidRPr="007647A8" w:rsidRDefault="00BC1094" w:rsidP="002A39C9">
      <w:pPr>
        <w:pStyle w:val="ListParagraph"/>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3. The employment relationships of the existing employees of the Financial Intelligence Agency continue without interruption. The entry into force of this law does not constitute grounds for the termination, modification or renewal of the employment relationship.</w:t>
      </w:r>
    </w:p>
    <w:p w:rsidR="00747FBC" w:rsidRPr="007647A8" w:rsidRDefault="00BC1094" w:rsidP="002A39C9">
      <w:pPr>
        <w:pStyle w:val="ListParagraph"/>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4. Existing employees shall have continuity of the employment relationship, seniority at work, salary, salary supplements, leave, social and health insurance, acquired rights, ongoing procedures, and valid certificates or authorisations for access to information recognised, insofar as they do not conflict with this law.</w:t>
      </w:r>
    </w:p>
    <w:p w:rsidR="007E5438" w:rsidRPr="007647A8" w:rsidRDefault="00747FBC" w:rsidP="002A39C9">
      <w:pPr>
        <w:pStyle w:val="ListParagraph"/>
        <w:tabs>
          <w:tab w:val="left" w:pos="0"/>
        </w:tabs>
        <w:spacing w:after="0"/>
        <w:ind w:left="0" w:firstLine="720"/>
        <w:rPr>
          <w:rFonts w:ascii="Times New Roman" w:hAnsi="Times New Roman" w:cs="Times New Roman"/>
          <w:sz w:val="24"/>
          <w:szCs w:val="24"/>
        </w:rPr>
      </w:pPr>
      <w:r>
        <w:rPr>
          <w:rFonts w:ascii="Times New Roman" w:hAnsi="Times New Roman" w:cs="Times New Roman"/>
          <w:sz w:val="24"/>
          <w:szCs w:val="24"/>
        </w:rPr>
        <w:t>5. Until the approval of the bylaws, the internal regulation and other acts implementing this law, the existing bylaws and internal acts of the Financial Intelligence Agency shall continue to apply, insofar as they are not contrary to this law.</w:t>
      </w:r>
    </w:p>
    <w:p w:rsidR="00B90B71" w:rsidRPr="007647A8" w:rsidRDefault="00B90B71"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202</w:t>
      </w:r>
    </w:p>
    <w:p w:rsidR="00804016" w:rsidRPr="007647A8" w:rsidRDefault="00804016"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Provisions applicable after accession</w:t>
      </w: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C95ED0"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From the date of the accession of the Republic of Albania to the European Union, the competent authorities, for the implementation of Part I of this law, fulfill the notification obligations towards the European Commission, AMLA and other competent authorities or bodies of the European Union, in full compliance with the legislation of the European Union in force.</w:t>
      </w:r>
    </w:p>
    <w:p w:rsidR="00C95ED0" w:rsidRPr="007647A8" w:rsidRDefault="00114566" w:rsidP="002A39C9">
      <w:pPr>
        <w:widowControl w:val="0"/>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 From the date of the accession of the Republic of Albania to the European Union, the provisions of Articles 30 point 5, 33 points 2, 3, 5 and 6, 35, 45, 48, 49, 50, 53, 54, 55, 57, 58, 64, 72, 73 point 7, 74 point 2, 75, 76, 77, 90, 99, 100 point 6, 113, 119, 138, 144, 145, 146, 147 and other relevant provisions of this law shall apply in full compliance with the requirements of the legislation of the European Union in force.</w:t>
      </w: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7E5438"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203</w:t>
      </w:r>
    </w:p>
    <w:p w:rsidR="00DD55EF" w:rsidRPr="007647A8" w:rsidRDefault="00DD55EF"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Repeals on the date of the accession of the Republic of Albania to the Union</w:t>
      </w:r>
    </w:p>
    <w:p w:rsidR="007E5438" w:rsidRPr="007647A8" w:rsidRDefault="00DD55EF"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European</w:t>
      </w:r>
    </w:p>
    <w:p w:rsidR="00DD55EF" w:rsidRPr="007647A8" w:rsidRDefault="00DD55EF" w:rsidP="002A39C9">
      <w:pPr>
        <w:widowControl w:val="0"/>
        <w:tabs>
          <w:tab w:val="left" w:pos="0"/>
        </w:tabs>
        <w:spacing w:after="0"/>
        <w:ind w:left="0" w:firstLine="720"/>
        <w:rPr>
          <w:rFonts w:ascii="Times New Roman" w:eastAsia="Arial Unicode MS" w:hAnsi="Times New Roman" w:cs="Times New Roman"/>
          <w:sz w:val="24"/>
          <w:szCs w:val="24"/>
          <w:lang w:bidi="en-US"/>
        </w:rPr>
      </w:pPr>
    </w:p>
    <w:p w:rsidR="00DE24D2" w:rsidRPr="007647A8" w:rsidRDefault="00DD55EF" w:rsidP="002A39C9">
      <w:pPr>
        <w:widowControl w:val="0"/>
        <w:tabs>
          <w:tab w:val="left" w:pos="0"/>
        </w:tabs>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On the date of the accession of the Republic of Albania to the European Union, the provisions of the following parts are repealed:</w:t>
      </w:r>
    </w:p>
    <w:p w:rsidR="00DE24D2" w:rsidRPr="007647A8" w:rsidRDefault="00F45BF2" w:rsidP="002A39C9">
      <w:pPr>
        <w:widowControl w:val="0"/>
        <w:tabs>
          <w:tab w:val="left" w:pos="0"/>
        </w:tabs>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Part II of this law</w:t>
      </w:r>
      <w:r>
        <w:rPr>
          <w:rFonts w:ascii="Times New Roman" w:eastAsia="Times New Roman" w:hAnsi="Times New Roman" w:cs="Times New Roman"/>
          <w:bCs/>
          <w:sz w:val="24"/>
          <w:szCs w:val="24"/>
        </w:rPr>
        <w:t xml:space="preserve"> “On the measures for implementation by obliged entities for the prevention of the use of the financial system for the purposes of money laundering and terrorist financing” from Article 84 to Article 147</w:t>
      </w:r>
      <w:r>
        <w:rPr>
          <w:rFonts w:ascii="Times New Roman" w:eastAsia="Arial Unicode MS" w:hAnsi="Times New Roman" w:cs="Times New Roman"/>
          <w:sz w:val="24"/>
          <w:szCs w:val="24"/>
          <w:lang w:bidi="en-US"/>
        </w:rPr>
        <w:t>;</w:t>
      </w:r>
    </w:p>
    <w:p w:rsidR="00DD55EF" w:rsidRPr="007647A8" w:rsidRDefault="00BF34DF" w:rsidP="002A39C9">
      <w:pPr>
        <w:widowControl w:val="0"/>
        <w:tabs>
          <w:tab w:val="left" w:pos="0"/>
        </w:tabs>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b) Part III of this law </w:t>
      </w:r>
      <w:r>
        <w:rPr>
          <w:rFonts w:ascii="Times New Roman" w:eastAsia="Calibri" w:hAnsi="Times New Roman" w:cs="Times New Roman"/>
          <w:sz w:val="24"/>
          <w:szCs w:val="24"/>
        </w:rPr>
        <w:t>“On the implementation of measures for the information accompanying transfers of funds and certain crypto-assets”, from Article 148 to Article 183;</w:t>
      </w:r>
    </w:p>
    <w:p w:rsidR="00DE24D2" w:rsidRPr="007647A8" w:rsidRDefault="007275F7" w:rsidP="002A39C9">
      <w:pPr>
        <w:widowControl w:val="0"/>
        <w:tabs>
          <w:tab w:val="left" w:pos="0"/>
        </w:tabs>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Part IV of this law </w:t>
      </w:r>
      <w:r>
        <w:rPr>
          <w:rFonts w:ascii="Times New Roman" w:hAnsi="Times New Roman" w:cs="Times New Roman"/>
          <w:sz w:val="24"/>
          <w:szCs w:val="24"/>
        </w:rPr>
        <w:t>“On the control of monetary instruments entering or leaving the Republic of Albania” from Article 184 to Article 199.</w:t>
      </w:r>
    </w:p>
    <w:p w:rsidR="00A608FB" w:rsidRPr="007647A8" w:rsidRDefault="00A608FB" w:rsidP="002A39C9">
      <w:pPr>
        <w:widowControl w:val="0"/>
        <w:spacing w:after="0"/>
        <w:ind w:left="0" w:firstLine="0"/>
        <w:jc w:val="center"/>
        <w:rPr>
          <w:rFonts w:ascii="Times New Roman" w:eastAsia="Arial Unicode MS" w:hAnsi="Times New Roman" w:cs="Times New Roman"/>
          <w:sz w:val="24"/>
          <w:szCs w:val="24"/>
          <w:lang w:bidi="en-US"/>
        </w:rPr>
      </w:pPr>
    </w:p>
    <w:p w:rsidR="007E5438"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Article 204</w:t>
      </w:r>
    </w:p>
    <w:p w:rsidR="007E5438" w:rsidRPr="007647A8" w:rsidRDefault="007E5438" w:rsidP="002A39C9">
      <w:pPr>
        <w:pStyle w:val="NeniTitull"/>
        <w:spacing w:line="276" w:lineRule="auto"/>
        <w:rPr>
          <w:rFonts w:ascii="Times New Roman" w:hAnsi="Times New Roman"/>
          <w:sz w:val="24"/>
          <w:szCs w:val="24"/>
          <w:lang w:val="en-US"/>
        </w:rPr>
      </w:pPr>
      <w:r>
        <w:rPr>
          <w:rFonts w:ascii="Times New Roman" w:hAnsi="Times New Roman"/>
          <w:sz w:val="24"/>
          <w:szCs w:val="24"/>
          <w:lang w:val="en-US"/>
        </w:rPr>
        <w:t>Repealing provisions</w:t>
      </w:r>
    </w:p>
    <w:p w:rsidR="007E5438" w:rsidRPr="007647A8" w:rsidRDefault="007E5438" w:rsidP="002A39C9">
      <w:pPr>
        <w:pStyle w:val="Paragrafi"/>
        <w:spacing w:line="276" w:lineRule="auto"/>
        <w:rPr>
          <w:rFonts w:ascii="Times New Roman" w:hAnsi="Times New Roman"/>
          <w:sz w:val="24"/>
          <w:szCs w:val="24"/>
        </w:rPr>
      </w:pPr>
    </w:p>
    <w:p w:rsidR="007E5438" w:rsidRPr="007647A8" w:rsidRDefault="0089501D" w:rsidP="002A39C9">
      <w:pPr>
        <w:pStyle w:val="Paragrafi"/>
        <w:spacing w:line="276" w:lineRule="auto"/>
        <w:rPr>
          <w:rFonts w:ascii="Times New Roman" w:hAnsi="Times New Roman"/>
          <w:sz w:val="24"/>
          <w:szCs w:val="24"/>
        </w:rPr>
      </w:pPr>
      <w:r>
        <w:rPr>
          <w:rFonts w:ascii="Times New Roman" w:hAnsi="Times New Roman"/>
          <w:sz w:val="24"/>
          <w:szCs w:val="24"/>
        </w:rPr>
        <w:t xml:space="preserve">1. Law no. 9917, dated 19.5.2008 “On the prevention of money laundering and financing </w:t>
      </w:r>
    </w:p>
    <w:p w:rsidR="007E5438" w:rsidRPr="007647A8" w:rsidRDefault="007E5438" w:rsidP="002A39C9">
      <w:pPr>
        <w:pStyle w:val="Paragrafi"/>
        <w:spacing w:line="276" w:lineRule="auto"/>
        <w:ind w:firstLine="0"/>
        <w:rPr>
          <w:rFonts w:ascii="Times New Roman" w:hAnsi="Times New Roman"/>
          <w:sz w:val="24"/>
          <w:szCs w:val="24"/>
        </w:rPr>
      </w:pPr>
      <w:r>
        <w:rPr>
          <w:rFonts w:ascii="Times New Roman" w:hAnsi="Times New Roman"/>
          <w:sz w:val="24"/>
          <w:szCs w:val="24"/>
        </w:rPr>
        <w:t>of terrorism” as amended, is repealed.</w:t>
      </w:r>
    </w:p>
    <w:p w:rsidR="00196C4B" w:rsidRPr="007647A8" w:rsidRDefault="0089501D" w:rsidP="002A39C9">
      <w:pPr>
        <w:pStyle w:val="Paragrafi"/>
        <w:spacing w:line="276" w:lineRule="auto"/>
        <w:rPr>
          <w:rFonts w:ascii="Times New Roman" w:eastAsia="Arial Unicode MS" w:hAnsi="Times New Roman"/>
          <w:iCs/>
          <w:sz w:val="24"/>
          <w:szCs w:val="24"/>
          <w:lang w:bidi="en-US"/>
        </w:rPr>
      </w:pPr>
      <w:r>
        <w:rPr>
          <w:rFonts w:ascii="Times New Roman" w:eastAsia="Arial Unicode MS" w:hAnsi="Times New Roman"/>
          <w:iCs/>
          <w:sz w:val="24"/>
          <w:szCs w:val="24"/>
          <w:lang w:bidi="en-US"/>
        </w:rPr>
        <w:t xml:space="preserve">2. All bylaws issued in implementation of Law No. 9917, dated 19.5.2008, </w:t>
      </w:r>
      <w:r>
        <w:rPr>
          <w:rFonts w:ascii="Times New Roman" w:hAnsi="Times New Roman"/>
          <w:sz w:val="24"/>
          <w:szCs w:val="24"/>
        </w:rPr>
        <w:t>“On the prevention of money laundering and terrorist financing” as amended,</w:t>
      </w:r>
      <w:r>
        <w:rPr>
          <w:rFonts w:ascii="Times New Roman" w:eastAsia="Arial Unicode MS" w:hAnsi="Times New Roman"/>
          <w:iCs/>
          <w:sz w:val="24"/>
          <w:szCs w:val="24"/>
          <w:lang w:bidi="en-US"/>
        </w:rPr>
        <w:t xml:space="preserve"> continue to apply insofar as they do not conflict with this law, until they are replaced by the bylaws issued in implementation of this law.</w:t>
      </w:r>
    </w:p>
    <w:p w:rsidR="00A608FB" w:rsidRPr="007647A8" w:rsidRDefault="00A608FB" w:rsidP="002A39C9">
      <w:pPr>
        <w:pStyle w:val="Paragrafi"/>
        <w:spacing w:line="276" w:lineRule="auto"/>
        <w:rPr>
          <w:rFonts w:ascii="Times New Roman" w:hAnsi="Times New Roman"/>
          <w:sz w:val="24"/>
          <w:szCs w:val="24"/>
        </w:rPr>
      </w:pPr>
    </w:p>
    <w:p w:rsidR="00196C4B" w:rsidRPr="007647A8" w:rsidRDefault="00196C4B" w:rsidP="002A39C9">
      <w:pPr>
        <w:pStyle w:val="Paragrafi"/>
        <w:spacing w:line="276" w:lineRule="auto"/>
        <w:ind w:firstLine="0"/>
        <w:rPr>
          <w:rFonts w:ascii="Times New Roman" w:hAnsi="Times New Roman"/>
          <w:sz w:val="24"/>
          <w:szCs w:val="24"/>
        </w:rPr>
      </w:pPr>
    </w:p>
    <w:p w:rsidR="007E5438" w:rsidRPr="007647A8" w:rsidRDefault="006A6865" w:rsidP="002A39C9">
      <w:pPr>
        <w:pStyle w:val="NeniNr"/>
        <w:spacing w:line="276" w:lineRule="auto"/>
        <w:rPr>
          <w:rFonts w:ascii="Times New Roman" w:hAnsi="Times New Roman"/>
          <w:sz w:val="24"/>
          <w:szCs w:val="24"/>
          <w:lang w:val="en-US"/>
        </w:rPr>
      </w:pPr>
      <w:r>
        <w:rPr>
          <w:rFonts w:ascii="Times New Roman" w:hAnsi="Times New Roman"/>
          <w:sz w:val="24"/>
          <w:szCs w:val="24"/>
          <w:lang w:val="en-US"/>
        </w:rPr>
        <w:t>Article 205</w:t>
      </w:r>
    </w:p>
    <w:p w:rsidR="007E5438" w:rsidRPr="007647A8" w:rsidRDefault="007E5438" w:rsidP="002A39C9">
      <w:pPr>
        <w:pStyle w:val="NeniTitull"/>
        <w:spacing w:line="276" w:lineRule="auto"/>
        <w:rPr>
          <w:rFonts w:ascii="Times New Roman" w:hAnsi="Times New Roman"/>
          <w:sz w:val="24"/>
          <w:szCs w:val="24"/>
          <w:lang w:val="en-US"/>
        </w:rPr>
      </w:pPr>
      <w:r>
        <w:rPr>
          <w:rFonts w:ascii="Times New Roman" w:hAnsi="Times New Roman"/>
          <w:sz w:val="24"/>
          <w:szCs w:val="24"/>
          <w:lang w:val="en-US"/>
        </w:rPr>
        <w:t>Entry into force</w:t>
      </w:r>
    </w:p>
    <w:p w:rsidR="007E5438" w:rsidRPr="007647A8" w:rsidRDefault="007E5438" w:rsidP="002A39C9">
      <w:pPr>
        <w:pStyle w:val="Paragrafi"/>
        <w:spacing w:line="276" w:lineRule="auto"/>
        <w:rPr>
          <w:rFonts w:ascii="Times New Roman" w:hAnsi="Times New Roman"/>
          <w:sz w:val="24"/>
          <w:szCs w:val="24"/>
        </w:rPr>
      </w:pPr>
    </w:p>
    <w:p w:rsidR="007E5438" w:rsidRPr="007647A8" w:rsidRDefault="007E5438" w:rsidP="002A39C9">
      <w:pPr>
        <w:pStyle w:val="Paragrafi"/>
        <w:spacing w:line="276" w:lineRule="auto"/>
        <w:rPr>
          <w:rFonts w:ascii="Times New Roman" w:hAnsi="Times New Roman"/>
          <w:sz w:val="24"/>
          <w:szCs w:val="24"/>
        </w:rPr>
      </w:pPr>
      <w:r>
        <w:rPr>
          <w:rFonts w:ascii="Times New Roman" w:hAnsi="Times New Roman"/>
          <w:sz w:val="24"/>
          <w:szCs w:val="24"/>
        </w:rPr>
        <w:t>This law enters into force on 1 January 2028.</w:t>
      </w:r>
    </w:p>
    <w:p w:rsidR="007E5438" w:rsidRPr="007647A8" w:rsidRDefault="007E5438" w:rsidP="002A39C9">
      <w:pPr>
        <w:widowControl w:val="0"/>
        <w:spacing w:after="0"/>
        <w:ind w:left="0" w:firstLine="0"/>
        <w:jc w:val="center"/>
        <w:rPr>
          <w:rFonts w:ascii="Times New Roman" w:eastAsia="Arial Unicode MS" w:hAnsi="Times New Roman" w:cs="Times New Roman"/>
          <w:b/>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ANNEX</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 xml:space="preserve">PART II </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Measures for the prevention of money laundering and financing of terrorism</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iCs/>
          <w:sz w:val="24"/>
          <w:szCs w:val="24"/>
          <w:lang w:bidi="en-US"/>
        </w:rPr>
        <w:t>ANNEX  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4" w:name="bookmark58"/>
      <w:r>
        <w:rPr>
          <w:rFonts w:ascii="Times New Roman" w:eastAsia="Arial Unicode MS" w:hAnsi="Times New Roman" w:cs="Times New Roman"/>
          <w:b/>
          <w:bCs/>
          <w:sz w:val="24"/>
          <w:szCs w:val="24"/>
          <w:lang w:bidi="en-US"/>
        </w:rPr>
        <w:t>Indicative list of risk variables</w:t>
      </w:r>
      <w:bookmarkEnd w:id="34"/>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Below is provided a non-exhaustive list of risk variables that obliged entities must take into consideration when preparing their risk assessment in accordance with Article 92 and when determining to what extent they must apply customer due diligence measures in accordance with Article 102 of this law:</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customer risk variables: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commercial or professional activity of the client and of the beneficial owner;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reputation of the client and of the client's beneficial owner;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the nature and conduct of the client and of the beneficial owner;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the jurisdictions where the client and the beneficial owner are based;</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the jurisdictions that constitute the principal places of conduct of the activity of the client and of the beneficial owner;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 the jurisdictions with which the client and the beneficial owner have relevant personal connections;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the risk variables of the product, service or transaction: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purpose of an account or relationship;</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ii. </w:t>
      </w:r>
      <w:r>
        <w:rPr>
          <w:rFonts w:ascii="Times New Roman" w:hAnsi="Times New Roman" w:cs="Times New Roman"/>
          <w:sz w:val="24"/>
          <w:szCs w:val="24"/>
        </w:rPr>
        <w:t>the regularity or duration of the business relationship</w:t>
      </w:r>
      <w:r>
        <w:rPr>
          <w:rFonts w:ascii="Times New Roman" w:eastAsia="Arial Unicode MS" w:hAnsi="Times New Roman" w:cs="Times New Roman"/>
          <w:sz w:val="24"/>
          <w:szCs w:val="24"/>
          <w:lang w:bidi="en-US"/>
        </w:rPr>
        <w: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the level of assets that will be deposited by a client or the size of the transactions undertaken;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the level of transparency or of lack of transparency of the product, service or transaction;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 complexity of the product, service or transaction;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vi. the value or dimensions of the product, service or transaction;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the risk variables of the distribution channel:</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extent to which the business relationship is conducted at a distance;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the presence of agents or intermediaries that the client may use and the nature of their relationship with the client;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risk variable for life insurance and other insurance linked to investments: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level of risk posed by the beneficiary of the insurance policy.</w:t>
      </w: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iCs/>
          <w:sz w:val="24"/>
          <w:szCs w:val="24"/>
          <w:lang w:bidi="en-US"/>
        </w:rPr>
        <w:t>ANNEX II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35" w:name="bookmark59"/>
      <w:r>
        <w:rPr>
          <w:rFonts w:ascii="Times New Roman" w:eastAsia="Arial Unicode MS" w:hAnsi="Times New Roman" w:cs="Times New Roman"/>
          <w:b/>
          <w:bCs/>
          <w:sz w:val="24"/>
          <w:szCs w:val="24"/>
          <w:lang w:bidi="en-US"/>
        </w:rPr>
        <w:t>Lower risk factors</w:t>
      </w:r>
      <w:bookmarkEnd w:id="35"/>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Below is given a non-exhaustive list that includes the factors and types of potentially lower risk indicators, referred to in Article 102 of this law:</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Customer risk factors: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public companies listed on an exchange and subject to disclosure requirements (whether under the rules of the exchange or under law or binding instruments), which establish requirements to ensure adequate transparency of beneficial ownership;</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public administrations or public undertakings;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customers who are resident in geographical areas with lower risk, as defined in point 3;</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Product, service, transaction or distribution channel risk factors: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life insurance policies for which the premium is low;</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insurance policies for pension schemes, if there is no possibility of early surrender and the policy cannot be used as collateral;</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a pension scheme, supplementary pension or similar scheme that provides pension benefits for employees, where contributions are made by means of deduction from wages and the rules of the scheme do not allow the transfer of a member's interest on the basis of the scheme;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financial products or services that provide well-defined and limited services for certain types of customers, with the aim of increasing access for purposes of financial inclusion;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products where the risks of money laundering and terrorist financing are managed by other factors, such as wallet amount limits or transparency of ownership (e.g. certain types of electronic money);</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Geographical risk factors registration, establishment, residence in: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Member States;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third countries that have effective systems for combating money laundering and terrorist financing;</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third countries identified by reliable sources as countries with a low level of corruption or other criminal activities;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third countries that, based on reliable sources such as mutual evaluations, detailed assessment reports or published monitoring reports, have requirements to combat money laundering and the financing of terrorism in accordance with the revised FATF recommendations and implement those requirements effectively.</w:t>
      </w: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Pr>
          <w:rFonts w:ascii="Times New Roman" w:eastAsia="Arial Unicode MS" w:hAnsi="Times New Roman" w:cs="Times New Roman"/>
          <w:b/>
          <w:iCs/>
          <w:sz w:val="24"/>
          <w:szCs w:val="24"/>
          <w:lang w:bidi="en-US"/>
        </w:rPr>
        <w:t>ANNEX III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6" w:name="bookmark60"/>
      <w:r>
        <w:rPr>
          <w:rFonts w:ascii="Times New Roman" w:eastAsia="Arial Unicode MS" w:hAnsi="Times New Roman" w:cs="Times New Roman"/>
          <w:b/>
          <w:bCs/>
          <w:sz w:val="24"/>
          <w:szCs w:val="24"/>
          <w:lang w:bidi="en-US"/>
        </w:rPr>
        <w:t>Higher risk factors</w:t>
      </w:r>
      <w:bookmarkEnd w:id="36"/>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Below is provided a non-exhaustive list that includes the factors and types of potentially higher risk indicators referred to in Article 102 of this law:</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Customer risk factors: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the business relationship or occasional transaction is carried out in unusual circumstances;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customers who are resident in geographical areas with higher risk, as defined in point 3 of this annex;</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legal persons or legal arrangements that serve as vehicles for holding personal assets (</w:t>
      </w:r>
      <w:r>
        <w:rPr>
          <w:rFonts w:ascii="Times New Roman" w:eastAsia="Arial Unicode MS" w:hAnsi="Times New Roman" w:cs="Times New Roman"/>
          <w:i/>
          <w:sz w:val="24"/>
          <w:szCs w:val="24"/>
          <w:lang w:bidi="en-US"/>
        </w:rPr>
        <w:t>personal asset-holding vehicles</w:t>
      </w:r>
      <w:r>
        <w:rPr>
          <w:rFonts w:ascii="Times New Roman" w:eastAsia="Arial Unicode MS" w:hAnsi="Times New Roman" w:cs="Times New Roman"/>
          <w:sz w:val="24"/>
          <w:szCs w:val="24"/>
          <w:lang w:bidi="en-US"/>
        </w:rPr>
        <w: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corporations that have nominee shareholders or shares in the form of bearer shares;</w:t>
      </w:r>
      <w:r>
        <w:t xml:space="preserve">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businesses that operate mainly in cash;</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the ownership structure of the company appears unusual or excessively complex, having regard to the nature of the company's activity;</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the client is a third-country national who applies for residence rights in a Member State in exchange for any kind of investment, including capital transfers, the purchase or leasing of properties, investments in government bonds, investments in commercial companies, the donation or financing of an activity in the public interest and contributions to the state budget;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w:t>
      </w:r>
      <w:r>
        <w:t xml:space="preserve"> </w:t>
      </w:r>
      <w:r>
        <w:rPr>
          <w:rFonts w:ascii="Times New Roman" w:eastAsia="Arial Unicode MS" w:hAnsi="Times New Roman" w:cs="Times New Roman"/>
          <w:sz w:val="24"/>
          <w:szCs w:val="24"/>
          <w:lang w:bidi="en-US"/>
        </w:rPr>
        <w:t>the client is a legal person or legal arrangement created or established in a jurisdiction where it does not carry out real economic activity, does not have a significant economic presence or does not have an apparent economic reason;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the client is under the direct or indirect ownership of one or more entities or arrangements according to letter "h";</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2. The risk factors of the product, service, transaction or distribution channel:</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private banking;</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products or transactions that may favor anonymity;</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w:t>
      </w:r>
      <w:r>
        <w:t xml:space="preserve"> </w:t>
      </w:r>
      <w:r>
        <w:rPr>
          <w:rFonts w:ascii="Times New Roman" w:eastAsia="Arial Unicode MS" w:hAnsi="Times New Roman" w:cs="Times New Roman"/>
          <w:sz w:val="24"/>
          <w:szCs w:val="24"/>
          <w:lang w:bidi="en-US"/>
        </w:rPr>
        <w:t>payments received from unknown third parties or unrelated to the client;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new products and new business practices, including new distribution mechanisms, and the use of new or developing technologies both for new products and for existing ones;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transactions related to oil, weapons, precious metals or stones, tobacco products, cultural artefacts and other objects of archaeological, historical, cultural and religious importance or of rare scientific value, as well as ivory and protected species;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Geographical risk factors: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third countries that are subject to increased monitoring or have been identified by FATF due to deficiencies related to compliance in their anti-money laundering and counter-terrorist financing systems;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third countries identified by credible sources/recognised processes, such as mutual evaluations, detailed assessment reports or published monitoring reports, as countries that do not have effective systems for combating money laundering and terrorist financing;</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countries with high levels of corruption or other criminal activities;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third countries that are subject to sanctions, embargoes or similar measures taken, for example, by the European Union or the United Nations;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e) vendet e treta që ofrojnë financim ose mbështetje për veprimtaritë terroriste ose që kanë organizata terroriste që veprojnë brenda tyre;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f) third countries identified by reliable sources or in the implementation of recognised processes as countries that enable financial secrecy through:</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 placing obstacles to cooperation and exchange of information with other jurisdictions;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 rigorous secrecy laws for corporations or banks, which prevent institutions and their employees from giving information on clients to the competent authorities, even through the imposition of fines and sanctions;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iii. weak controls for the creation of legal persons or the creation of legal arrangements; or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iv. absence of requirements for registration or retention of information on beneficial ownership in a database or central register.</w:t>
      </w: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ANNEX IV</w:t>
      </w:r>
    </w:p>
    <w:p w:rsidR="00A608FB" w:rsidRPr="007647A8" w:rsidRDefault="00A608FB" w:rsidP="002A39C9">
      <w:pPr>
        <w:widowControl w:val="0"/>
        <w:spacing w:after="0"/>
        <w:ind w:left="0" w:firstLine="72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List of high-value goods defined in Article 85, point 34 of this law:</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jewellery, gold or silver articles with </w:t>
      </w:r>
      <w:r>
        <w:rPr>
          <w:rFonts w:ascii="Times New Roman" w:hAnsi="Times New Roman" w:cs="Times New Roman"/>
          <w:sz w:val="24"/>
          <w:szCs w:val="24"/>
        </w:rPr>
        <w:t xml:space="preserve">value over </w:t>
      </w:r>
      <w:r>
        <w:rPr>
          <w:rFonts w:ascii="Times New Roman" w:eastAsia="Arial Unicode MS" w:hAnsi="Times New Roman" w:cs="Times New Roman"/>
          <w:sz w:val="24"/>
          <w:szCs w:val="24"/>
          <w:lang w:bidi="en-US"/>
        </w:rPr>
        <w:t>1 000 000 (one million) lek or its equivalent value in other foreign currencies;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2. hours and wristwatches of value </w:t>
      </w:r>
      <w:r>
        <w:rPr>
          <w:rFonts w:ascii="Times New Roman" w:hAnsi="Times New Roman" w:cs="Times New Roman"/>
          <w:sz w:val="24"/>
          <w:szCs w:val="24"/>
        </w:rPr>
        <w:t xml:space="preserve">over </w:t>
      </w:r>
      <w:r>
        <w:rPr>
          <w:rFonts w:ascii="Times New Roman" w:eastAsia="Arial Unicode MS" w:hAnsi="Times New Roman" w:cs="Times New Roman"/>
          <w:sz w:val="24"/>
          <w:szCs w:val="24"/>
          <w:lang w:bidi="en-US"/>
        </w:rPr>
        <w:t>1 000 000 (one million) lek or the equivalent amount in the national currency;</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3. motor vehicles with a price exceeding 25 000 000 (twenty-five million) lek or its equivalent value in other foreign currencies;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4. aircraft with a price exceeding 750 000 000 (seven hundred and fifty million) lek or its equivalent in other foreign currencies;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5. vessels with a price exceeding 750 000 000 (seven hundred and fifty million) lek or its equivalent in other foreign currencies.</w:t>
      </w:r>
    </w:p>
    <w:p w:rsidR="00620352" w:rsidRPr="007647A8" w:rsidRDefault="00620352" w:rsidP="002A39C9">
      <w:pPr>
        <w:widowControl w:val="0"/>
        <w:spacing w:after="0"/>
        <w:ind w:left="0" w:firstLine="63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Pr>
          <w:rFonts w:ascii="Times New Roman" w:eastAsia="Arial Unicode MS" w:hAnsi="Times New Roman" w:cs="Times New Roman"/>
          <w:b/>
          <w:iCs/>
          <w:sz w:val="24"/>
          <w:szCs w:val="24"/>
          <w:lang w:bidi="en-US"/>
        </w:rPr>
        <w:t>ANNEX V</w:t>
      </w: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Precious metals defined in Article 85, point 35:</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Gold;</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Silver;</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c) Platinum;</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Iridium;</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Osmium;</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f) Palladium;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g) Rhodium;</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h) Ruthenium.</w:t>
      </w:r>
    </w:p>
    <w:p w:rsidR="00620352" w:rsidRPr="007647A8" w:rsidRDefault="00436F36" w:rsidP="00436F36">
      <w:pPr>
        <w:widowControl w:val="0"/>
        <w:spacing w:after="0"/>
        <w:ind w:left="0" w:firstLine="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Precious stones defined in Article 85, point 35:</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a) Diamond;</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Ruby;</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c) Sapphire;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d) Emerald.</w:t>
      </w:r>
    </w:p>
    <w:p w:rsidR="007E5438" w:rsidRPr="007647A8" w:rsidRDefault="007E5438" w:rsidP="002A39C9">
      <w:pPr>
        <w:pStyle w:val="ListParagraph"/>
        <w:tabs>
          <w:tab w:val="left" w:pos="360"/>
        </w:tabs>
        <w:spacing w:after="0"/>
        <w:contextualSpacing w:val="0"/>
        <w:rPr>
          <w:rFonts w:ascii="Times New Roman" w:hAnsi="Times New Roman" w:cs="Times New Roman"/>
          <w:sz w:val="24"/>
          <w:szCs w:val="24"/>
        </w:rPr>
      </w:pPr>
    </w:p>
    <w:p w:rsidR="00436F36" w:rsidRPr="007647A8" w:rsidRDefault="00620352" w:rsidP="002A39C9">
      <w:pPr>
        <w:tabs>
          <w:tab w:val="left" w:pos="360"/>
        </w:tabs>
        <w:spacing w:after="0"/>
        <w:jc w:val="center"/>
        <w:rPr>
          <w:rFonts w:ascii="Times New Roman" w:hAnsi="Times New Roman" w:cs="Times New Roman"/>
          <w:b/>
          <w:sz w:val="24"/>
          <w:szCs w:val="24"/>
        </w:rPr>
      </w:pPr>
      <w:r>
        <w:rPr>
          <w:rFonts w:ascii="Times New Roman" w:hAnsi="Times New Roman" w:cs="Times New Roman"/>
          <w:b/>
          <w:sz w:val="24"/>
          <w:szCs w:val="24"/>
        </w:rPr>
        <w:t>ANNEX</w:t>
      </w:r>
    </w:p>
    <w:p w:rsidR="00620352" w:rsidRPr="007647A8" w:rsidRDefault="00620352" w:rsidP="002A39C9">
      <w:pPr>
        <w:tabs>
          <w:tab w:val="left" w:pos="36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IV </w:t>
      </w:r>
    </w:p>
    <w:p w:rsidR="00620352" w:rsidRPr="007647A8" w:rsidRDefault="00620352" w:rsidP="002A39C9">
      <w:pPr>
        <w:tabs>
          <w:tab w:val="left" w:pos="360"/>
        </w:tabs>
        <w:spacing w:after="0"/>
        <w:jc w:val="center"/>
        <w:rPr>
          <w:rFonts w:ascii="Times New Roman" w:hAnsi="Times New Roman" w:cs="Times New Roman"/>
          <w:b/>
          <w:sz w:val="24"/>
          <w:szCs w:val="24"/>
        </w:rPr>
      </w:pPr>
    </w:p>
    <w:p w:rsidR="00620352" w:rsidRPr="007647A8" w:rsidRDefault="00620352" w:rsidP="002A39C9">
      <w:pPr>
        <w:tabs>
          <w:tab w:val="left" w:pos="360"/>
        </w:tabs>
        <w:spacing w:after="0"/>
        <w:jc w:val="center"/>
        <w:rPr>
          <w:rFonts w:ascii="Times New Roman" w:hAnsi="Times New Roman" w:cs="Times New Roman"/>
          <w:b/>
          <w:sz w:val="24"/>
          <w:szCs w:val="24"/>
        </w:rPr>
      </w:pPr>
      <w:r>
        <w:rPr>
          <w:rFonts w:ascii="Times New Roman" w:hAnsi="Times New Roman" w:cs="Times New Roman"/>
          <w:b/>
          <w:sz w:val="24"/>
          <w:szCs w:val="24"/>
        </w:rPr>
        <w:t>ANNEX</w:t>
      </w:r>
      <w:r>
        <w:rPr>
          <w:rFonts w:ascii="Times New Roman" w:hAnsi="Times New Roman" w:cs="Times New Roman"/>
          <w:b/>
          <w:spacing w:val="20"/>
          <w:sz w:val="24"/>
          <w:szCs w:val="24"/>
        </w:rPr>
        <w:t xml:space="preserve"> I</w:t>
      </w:r>
    </w:p>
    <w:p w:rsidR="00620352" w:rsidRPr="007647A8" w:rsidRDefault="00620352" w:rsidP="002A39C9">
      <w:pPr>
        <w:tabs>
          <w:tab w:val="left" w:pos="360"/>
        </w:tabs>
        <w:spacing w:after="0"/>
        <w:ind w:hanging="1"/>
        <w:jc w:val="center"/>
        <w:rPr>
          <w:rFonts w:ascii="Times New Roman" w:hAnsi="Times New Roman" w:cs="Times New Roman"/>
          <w:b/>
          <w:spacing w:val="-4"/>
          <w:sz w:val="24"/>
          <w:szCs w:val="24"/>
        </w:rPr>
      </w:pPr>
      <w:r>
        <w:rPr>
          <w:rFonts w:ascii="Times New Roman" w:hAnsi="Times New Roman" w:cs="Times New Roman"/>
          <w:b/>
          <w:sz w:val="24"/>
          <w:szCs w:val="24"/>
        </w:rPr>
        <w:t>Goods used as stores of value with high liquidity and</w:t>
      </w:r>
      <w:r>
        <w:rPr>
          <w:rFonts w:ascii="Times New Roman" w:hAnsi="Times New Roman" w:cs="Times New Roman"/>
          <w:b/>
          <w:spacing w:val="17"/>
          <w:sz w:val="24"/>
          <w:szCs w:val="24"/>
        </w:rPr>
        <w:t xml:space="preserve"> </w:t>
      </w:r>
      <w:r>
        <w:rPr>
          <w:rFonts w:ascii="Times New Roman" w:hAnsi="Times New Roman" w:cs="Times New Roman"/>
          <w:b/>
          <w:sz w:val="24"/>
          <w:szCs w:val="24"/>
        </w:rPr>
        <w:t>prepaid cards</w:t>
      </w:r>
      <w:r>
        <w:rPr>
          <w:rFonts w:ascii="Times New Roman" w:hAnsi="Times New Roman" w:cs="Times New Roman"/>
          <w:b/>
          <w:spacing w:val="17"/>
          <w:sz w:val="24"/>
          <w:szCs w:val="24"/>
        </w:rPr>
        <w:t xml:space="preserve"> </w:t>
      </w:r>
      <w:r>
        <w:rPr>
          <w:rFonts w:ascii="Times New Roman" w:hAnsi="Times New Roman" w:cs="Times New Roman"/>
          <w:b/>
          <w:sz w:val="24"/>
          <w:szCs w:val="24"/>
        </w:rPr>
        <w:t>which are considered</w:t>
      </w:r>
      <w:r>
        <w:rPr>
          <w:rFonts w:ascii="Times New Roman" w:hAnsi="Times New Roman" w:cs="Times New Roman"/>
          <w:b/>
          <w:spacing w:val="16"/>
          <w:sz w:val="24"/>
          <w:szCs w:val="24"/>
        </w:rPr>
        <w:t xml:space="preserve"> </w:t>
      </w:r>
      <w:r>
        <w:rPr>
          <w:rFonts w:ascii="Times New Roman" w:hAnsi="Times New Roman" w:cs="Times New Roman"/>
          <w:b/>
          <w:sz w:val="24"/>
          <w:szCs w:val="24"/>
        </w:rPr>
        <w:t>monetary instruments</w:t>
      </w:r>
      <w:r>
        <w:rPr>
          <w:rFonts w:ascii="Times New Roman" w:hAnsi="Times New Roman" w:cs="Times New Roman"/>
          <w:b/>
          <w:spacing w:val="16"/>
          <w:sz w:val="24"/>
          <w:szCs w:val="24"/>
        </w:rPr>
        <w:t xml:space="preserve"> </w:t>
      </w:r>
      <w:r>
        <w:rPr>
          <w:rFonts w:ascii="Times New Roman" w:hAnsi="Times New Roman" w:cs="Times New Roman"/>
          <w:b/>
          <w:sz w:val="24"/>
          <w:szCs w:val="24"/>
        </w:rPr>
        <w:t>in accordance</w:t>
      </w:r>
      <w:r>
        <w:rPr>
          <w:rFonts w:ascii="Times New Roman" w:hAnsi="Times New Roman" w:cs="Times New Roman"/>
          <w:b/>
          <w:spacing w:val="17"/>
          <w:sz w:val="24"/>
          <w:szCs w:val="24"/>
        </w:rPr>
        <w:t xml:space="preserve"> </w:t>
      </w:r>
      <w:r>
        <w:rPr>
          <w:rFonts w:ascii="Times New Roman" w:hAnsi="Times New Roman" w:cs="Times New Roman"/>
          <w:b/>
          <w:sz w:val="24"/>
          <w:szCs w:val="24"/>
        </w:rPr>
        <w:t>with</w:t>
      </w:r>
      <w:r>
        <w:rPr>
          <w:rFonts w:ascii="Times New Roman" w:hAnsi="Times New Roman" w:cs="Times New Roman"/>
          <w:b/>
          <w:spacing w:val="16"/>
          <w:sz w:val="24"/>
          <w:szCs w:val="24"/>
        </w:rPr>
        <w:t xml:space="preserve"> article 185</w:t>
      </w:r>
    </w:p>
    <w:p w:rsidR="00620352" w:rsidRPr="007647A8" w:rsidRDefault="00620352" w:rsidP="002A39C9">
      <w:pPr>
        <w:tabs>
          <w:tab w:val="left" w:pos="360"/>
        </w:tabs>
        <w:spacing w:after="0"/>
        <w:ind w:hanging="1"/>
        <w:jc w:val="center"/>
        <w:rPr>
          <w:b/>
          <w:sz w:val="24"/>
          <w:szCs w:val="24"/>
        </w:rPr>
      </w:pPr>
    </w:p>
    <w:p w:rsidR="00620352" w:rsidRPr="007647A8" w:rsidRDefault="00620352" w:rsidP="002A39C9">
      <w:pPr>
        <w:pStyle w:val="ListParagraph"/>
        <w:tabs>
          <w:tab w:val="left" w:pos="211"/>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1. Goods used as a store of value with high liquidity</w:t>
      </w:r>
      <w:r>
        <w:rPr>
          <w:rFonts w:ascii="Times New Roman" w:hAnsi="Times New Roman" w:cs="Times New Roman"/>
          <w:spacing w:val="-2"/>
          <w:sz w:val="24"/>
          <w:szCs w:val="24"/>
        </w:rPr>
        <w:t>:</w:t>
      </w:r>
    </w:p>
    <w:p w:rsidR="00620352" w:rsidRPr="007647A8" w:rsidRDefault="00620352" w:rsidP="002A39C9">
      <w:pPr>
        <w:pStyle w:val="ListParagraph"/>
        <w:tabs>
          <w:tab w:val="left" w:pos="278"/>
          <w:tab w:val="left" w:pos="360"/>
        </w:tabs>
        <w:spacing w:after="0"/>
        <w:ind w:left="0" w:firstLine="567"/>
        <w:rPr>
          <w:rFonts w:ascii="Times New Roman" w:hAnsi="Times New Roman" w:cs="Times New Roman"/>
          <w:sz w:val="24"/>
          <w:szCs w:val="24"/>
        </w:rPr>
      </w:pPr>
      <w:r>
        <w:rPr>
          <w:rFonts w:ascii="Times New Roman" w:hAnsi="Times New Roman" w:cs="Times New Roman"/>
          <w:sz w:val="24"/>
          <w:szCs w:val="24"/>
        </w:rPr>
        <w:t>a) coin</w:t>
      </w:r>
      <w:r>
        <w:rPr>
          <w:rFonts w:ascii="Times New Roman" w:hAnsi="Times New Roman" w:cs="Times New Roman"/>
          <w:spacing w:val="22"/>
          <w:sz w:val="24"/>
          <w:szCs w:val="24"/>
        </w:rPr>
        <w:t xml:space="preserve"> </w:t>
      </w:r>
      <w:r>
        <w:rPr>
          <w:rFonts w:ascii="Times New Roman" w:hAnsi="Times New Roman" w:cs="Times New Roman"/>
          <w:sz w:val="24"/>
          <w:szCs w:val="24"/>
        </w:rPr>
        <w:t>with</w:t>
      </w:r>
      <w:r>
        <w:rPr>
          <w:rFonts w:ascii="Times New Roman" w:hAnsi="Times New Roman" w:cs="Times New Roman"/>
          <w:spacing w:val="22"/>
          <w:sz w:val="24"/>
          <w:szCs w:val="24"/>
        </w:rPr>
        <w:t xml:space="preserve"> </w:t>
      </w:r>
      <w:r>
        <w:rPr>
          <w:rFonts w:ascii="Times New Roman" w:hAnsi="Times New Roman" w:cs="Times New Roman"/>
          <w:sz w:val="24"/>
          <w:szCs w:val="24"/>
        </w:rPr>
        <w:t>content</w:t>
      </w:r>
      <w:r>
        <w:rPr>
          <w:rFonts w:ascii="Times New Roman" w:hAnsi="Times New Roman" w:cs="Times New Roman"/>
          <w:spacing w:val="21"/>
          <w:sz w:val="24"/>
          <w:szCs w:val="24"/>
        </w:rPr>
        <w:t xml:space="preserve"> </w:t>
      </w:r>
      <w:r>
        <w:rPr>
          <w:rFonts w:ascii="Times New Roman" w:hAnsi="Times New Roman" w:cs="Times New Roman"/>
          <w:sz w:val="24"/>
          <w:szCs w:val="24"/>
        </w:rPr>
        <w:t>gold</w:t>
      </w:r>
      <w:r>
        <w:rPr>
          <w:rFonts w:ascii="Times New Roman" w:hAnsi="Times New Roman" w:cs="Times New Roman"/>
          <w:spacing w:val="24"/>
          <w:sz w:val="24"/>
          <w:szCs w:val="24"/>
        </w:rPr>
        <w:t xml:space="preserve"> </w:t>
      </w:r>
      <w:r>
        <w:rPr>
          <w:rFonts w:ascii="Times New Roman" w:hAnsi="Times New Roman" w:cs="Times New Roman"/>
          <w:sz w:val="24"/>
          <w:szCs w:val="24"/>
        </w:rPr>
        <w:t>not less than</w:t>
      </w:r>
      <w:r>
        <w:rPr>
          <w:rFonts w:ascii="Times New Roman" w:hAnsi="Times New Roman" w:cs="Times New Roman"/>
          <w:spacing w:val="20"/>
          <w:sz w:val="24"/>
          <w:szCs w:val="24"/>
        </w:rPr>
        <w:t xml:space="preserve"> </w:t>
      </w:r>
      <w:r>
        <w:rPr>
          <w:rFonts w:ascii="Times New Roman" w:hAnsi="Times New Roman" w:cs="Times New Roman"/>
          <w:sz w:val="24"/>
          <w:szCs w:val="24"/>
        </w:rPr>
        <w:t>90%;</w:t>
      </w:r>
      <w:r>
        <w:rPr>
          <w:rFonts w:ascii="Times New Roman" w:hAnsi="Times New Roman" w:cs="Times New Roman"/>
          <w:spacing w:val="21"/>
          <w:sz w:val="24"/>
          <w:szCs w:val="24"/>
        </w:rPr>
        <w:t xml:space="preserve"> and</w:t>
      </w:r>
    </w:p>
    <w:p w:rsidR="00620352" w:rsidRPr="007647A8" w:rsidRDefault="00620352" w:rsidP="002A39C9">
      <w:pPr>
        <w:pStyle w:val="ListParagraph"/>
        <w:tabs>
          <w:tab w:val="left" w:pos="360"/>
          <w:tab w:val="left" w:pos="1501"/>
          <w:tab w:val="left" w:pos="1503"/>
        </w:tabs>
        <w:spacing w:after="0"/>
        <w:ind w:left="0" w:firstLine="567"/>
        <w:rPr>
          <w:rFonts w:ascii="Times New Roman" w:hAnsi="Times New Roman" w:cs="Times New Roman"/>
          <w:sz w:val="24"/>
          <w:szCs w:val="24"/>
        </w:rPr>
      </w:pPr>
      <w:r>
        <w:rPr>
          <w:rFonts w:ascii="Times New Roman" w:hAnsi="Times New Roman" w:cs="Times New Roman"/>
          <w:sz w:val="24"/>
          <w:szCs w:val="24"/>
        </w:rPr>
        <w:t>b) gold ingots, bars, pieces or other unprocessed forms with a gold content of not less than 99.5</w:t>
      </w:r>
      <w:r>
        <w:rPr>
          <w:rFonts w:ascii="Times New Roman" w:hAnsi="Times New Roman" w:cs="Times New Roman"/>
          <w:spacing w:val="40"/>
          <w:sz w:val="24"/>
          <w:szCs w:val="24"/>
        </w:rPr>
        <w:t xml:space="preserve"> </w:t>
      </w:r>
      <w:r>
        <w:rPr>
          <w:rFonts w:ascii="Times New Roman" w:hAnsi="Times New Roman" w:cs="Times New Roman"/>
          <w:sz w:val="24"/>
          <w:szCs w:val="24"/>
        </w:rPr>
        <w:t>%.</w:t>
      </w:r>
    </w:p>
    <w:p w:rsidR="00620352" w:rsidRPr="007647A8" w:rsidRDefault="00620352" w:rsidP="00436F36">
      <w:pPr>
        <w:pStyle w:val="ListParagraph"/>
        <w:tabs>
          <w:tab w:val="left" w:pos="360"/>
          <w:tab w:val="left" w:pos="1222"/>
        </w:tabs>
        <w:spacing w:after="0"/>
        <w:ind w:left="0" w:firstLine="567"/>
        <w:rPr>
          <w:rFonts w:ascii="Times New Roman" w:hAnsi="Times New Roman" w:cs="Times New Roman"/>
          <w:sz w:val="24"/>
          <w:szCs w:val="24"/>
        </w:rPr>
      </w:pPr>
      <w:r>
        <w:rPr>
          <w:rFonts w:ascii="Times New Roman" w:hAnsi="Times New Roman" w:cs="Times New Roman"/>
          <w:sz w:val="24"/>
          <w:szCs w:val="24"/>
        </w:rPr>
        <w:t>2. Prepaid cards.</w:t>
      </w:r>
      <w:bookmarkStart w:id="37" w:name="Article_3_Obligation_to_declare_accompan"/>
      <w:bookmarkStart w:id="38" w:name="Article_4_Obligation_to_disclose_unaccom"/>
      <w:bookmarkStart w:id="39" w:name="Article_6_Sub-threshold_amounts_suspecte"/>
      <w:bookmarkStart w:id="40" w:name="Article_7_Temporary_detention_of_cash_by"/>
      <w:bookmarkStart w:id="41" w:name="Article_11_Exchange_of_information_with_"/>
      <w:bookmarkStart w:id="42" w:name="Article_12_Professional_secrecy_and_conf"/>
      <w:bookmarkStart w:id="43" w:name="Article_13_Personal_data_protection_and_"/>
      <w:bookmarkStart w:id="44" w:name="Article_14_Penalties"/>
      <w:bookmarkStart w:id="45" w:name="Article_15_Exercise_of_the_delegation"/>
      <w:bookmarkStart w:id="46" w:name="Article_16_Implementing_acts"/>
      <w:bookmarkStart w:id="47" w:name="Article_17_Committee_procedure"/>
      <w:bookmarkStart w:id="48" w:name="Article_18_Transmission_of_information_r"/>
      <w:bookmarkStart w:id="49" w:name="Article_19_Evaluation"/>
      <w:bookmarkStart w:id="50" w:name="ANNEX_I_Commodities_used_as_highly-liqui"/>
      <w:bookmarkStart w:id="51" w:name="ANNEX_II_CORRELATION_TABLE"/>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sectPr w:rsidR="00620352" w:rsidRPr="007647A8" w:rsidSect="00B723ED">
      <w:headerReference w:type="default" r:id="rId9"/>
      <w:footerReference w:type="default" r:id="rId10"/>
      <w:pgSz w:w="11906" w:h="16838"/>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2DA" w:rsidRDefault="000C12DA" w:rsidP="0079476C">
      <w:pPr>
        <w:spacing w:after="0" w:line="240" w:lineRule="auto"/>
      </w:pPr>
      <w:r>
        <w:separator/>
      </w:r>
    </w:p>
  </w:endnote>
  <w:endnote w:type="continuationSeparator" w:id="0">
    <w:p w:rsidR="000C12DA" w:rsidRDefault="000C12DA" w:rsidP="0079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13394"/>
      <w:docPartObj>
        <w:docPartGallery w:val="Page Numbers (Bottom of Page)"/>
        <w:docPartUnique/>
      </w:docPartObj>
    </w:sdtPr>
    <w:sdtEndPr>
      <w:rPr>
        <w:noProof/>
      </w:rPr>
    </w:sdtEndPr>
    <w:sdtContent>
      <w:p w:rsidR="00704E5D" w:rsidRDefault="00704E5D">
        <w:pPr>
          <w:pStyle w:val="Footer"/>
          <w:jc w:val="right"/>
        </w:pPr>
        <w:r>
          <w:fldChar w:fldCharType="begin"/>
        </w:r>
        <w:r>
          <w:instrText xml:space="preserve"> PAGE   \* MERGEFORMAT </w:instrText>
        </w:r>
        <w:r>
          <w:fldChar w:fldCharType="separate"/>
        </w:r>
        <w:r w:rsidR="003A41B8">
          <w:rPr>
            <w:noProof/>
          </w:rPr>
          <w:t>171</w:t>
        </w:r>
        <w:r>
          <w:rPr>
            <w:noProof/>
          </w:rPr>
          <w:fldChar w:fldCharType="end"/>
        </w:r>
      </w:p>
    </w:sdtContent>
  </w:sdt>
  <w:p w:rsidR="00704E5D" w:rsidRDefault="00704E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2DA" w:rsidRDefault="000C12DA" w:rsidP="0079476C">
      <w:pPr>
        <w:spacing w:after="0" w:line="240" w:lineRule="auto"/>
      </w:pPr>
      <w:r>
        <w:separator/>
      </w:r>
    </w:p>
  </w:footnote>
  <w:footnote w:type="continuationSeparator" w:id="0">
    <w:p w:rsidR="000C12DA" w:rsidRDefault="000C12DA" w:rsidP="0079476C">
      <w:pPr>
        <w:spacing w:after="0" w:line="240" w:lineRule="auto"/>
      </w:pPr>
      <w:r>
        <w:continuationSeparator/>
      </w:r>
    </w:p>
  </w:footnote>
  <w:footnote w:id="1">
    <w:p w:rsidR="00704E5D" w:rsidRPr="003463CF" w:rsidRDefault="00704E5D" w:rsidP="00862187">
      <w:pPr>
        <w:pStyle w:val="Paragrafi"/>
        <w:ind w:firstLine="0"/>
        <w:rPr>
          <w:rFonts w:ascii="Times New Roman" w:hAnsi="Times New Roman"/>
          <w:i/>
          <w:sz w:val="18"/>
          <w:szCs w:val="18"/>
        </w:rPr>
      </w:pPr>
      <w:r>
        <w:rPr>
          <w:rStyle w:val="FootnoteReference"/>
        </w:rPr>
        <w:footnoteRef/>
      </w:r>
      <w:r>
        <w:t xml:space="preserve"> </w:t>
      </w:r>
      <w:r>
        <w:rPr>
          <w:i/>
          <w:sz w:val="18"/>
          <w:szCs w:val="18"/>
        </w:rPr>
        <w:t>This law e</w:t>
      </w:r>
      <w:r>
        <w:rPr>
          <w:rFonts w:ascii="Times New Roman" w:hAnsi="Times New Roman"/>
          <w:i/>
          <w:sz w:val="18"/>
          <w:szCs w:val="18"/>
        </w:rPr>
        <w:t>fully transposes Directive (EU) 2024/1640 of the European Parliament and of the Council, dated 31 May 2024, “On the mechanisms to be put in place by the Member States for the prevention of the use of the financial system for the purposes of money laundering or terrorist financing, amending Directive (EU) 2019/1937 and amending and repealing Directive (EU) 2015/849” (CELEX: 32024L164)0; h</w:t>
      </w:r>
      <w:r>
        <w:rPr>
          <w:rFonts w:ascii="Times New Roman" w:hAnsi="Times New Roman"/>
          <w:i/>
          <w:color w:val="000000" w:themeColor="text1"/>
          <w:sz w:val="18"/>
          <w:szCs w:val="18"/>
        </w:rPr>
        <w:t xml:space="preserve">fully harmonises with Regulation (EU) 2024/1624 of the European Parliament and of the Council of 31 May 2024 “On the prevention of the use of the financial system for the purposes of money laundering or terrorist financing (CELEX: 32024R1624); </w:t>
      </w:r>
      <w:r>
        <w:rPr>
          <w:rFonts w:ascii="Times New Roman" w:hAnsi="Times New Roman"/>
          <w:i/>
          <w:sz w:val="18"/>
          <w:szCs w:val="18"/>
        </w:rPr>
        <w:t>Regulation (EU) 2023/1113 of the European Parliament and of the Council of 31 May 2023 “On the information accompanying transfers of funds and certain crypto-assets and amending Directive (EU) 2015/849” (CELEX: 32023R1113) and with</w:t>
      </w:r>
      <w:r>
        <w:rPr>
          <w:i/>
          <w:color w:val="000000" w:themeColor="text1"/>
          <w:sz w:val="18"/>
          <w:szCs w:val="18"/>
        </w:rPr>
        <w:t xml:space="preserve"> Regulation (EU) 2018/1672 of the European Parliament and of the Council, dated 23 October 2018, “On controls on cash entering or leaving the Union and repealing Regulation (EC) No 1889/2005 (Consolidated text) (CELEX: 32018R1672).</w:t>
      </w:r>
    </w:p>
    <w:p w:rsidR="00704E5D" w:rsidRPr="003463CF" w:rsidRDefault="00704E5D" w:rsidP="00862187">
      <w:pPr>
        <w:pStyle w:val="Paragrafi"/>
        <w:ind w:firstLine="0"/>
        <w:rPr>
          <w:i/>
          <w:color w:val="C00000"/>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5D" w:rsidRDefault="00704E5D" w:rsidP="0079476C">
    <w:pPr>
      <w:pStyle w:val="Header"/>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68444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00264"/>
    <w:multiLevelType w:val="hybridMultilevel"/>
    <w:tmpl w:val="CA5EECAA"/>
    <w:lvl w:ilvl="0" w:tplc="0409001B">
      <w:start w:val="1"/>
      <w:numFmt w:val="lowerRoman"/>
      <w:lvlText w:val="%1."/>
      <w:lvlJc w:val="righ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AA5C9C"/>
    <w:multiLevelType w:val="multilevel"/>
    <w:tmpl w:val="2588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F049F"/>
    <w:multiLevelType w:val="hybridMultilevel"/>
    <w:tmpl w:val="FBCEB952"/>
    <w:lvl w:ilvl="0" w:tplc="721E42E0">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4" w15:restartNumberingAfterBreak="0">
    <w:nsid w:val="0593114B"/>
    <w:multiLevelType w:val="hybridMultilevel"/>
    <w:tmpl w:val="723C0206"/>
    <w:lvl w:ilvl="0" w:tplc="D61A40E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15:restartNumberingAfterBreak="0">
    <w:nsid w:val="07045F92"/>
    <w:multiLevelType w:val="hybridMultilevel"/>
    <w:tmpl w:val="5A20DE7A"/>
    <w:lvl w:ilvl="0" w:tplc="38CC3422">
      <w:start w:val="6"/>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77E25F9"/>
    <w:multiLevelType w:val="multilevel"/>
    <w:tmpl w:val="F736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255432"/>
    <w:multiLevelType w:val="hybridMultilevel"/>
    <w:tmpl w:val="402C2EB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A4CD6"/>
    <w:multiLevelType w:val="hybridMultilevel"/>
    <w:tmpl w:val="C43AA212"/>
    <w:lvl w:ilvl="0" w:tplc="0409001B">
      <w:start w:val="1"/>
      <w:numFmt w:val="lowerRoman"/>
      <w:lvlText w:val="%1."/>
      <w:lvlJc w:val="right"/>
      <w:pPr>
        <w:ind w:left="1287" w:hanging="360"/>
      </w:pPr>
    </w:lvl>
    <w:lvl w:ilvl="1" w:tplc="29864F68">
      <w:start w:val="1"/>
      <w:numFmt w:val="upperRoman"/>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6877D1F"/>
    <w:multiLevelType w:val="hybridMultilevel"/>
    <w:tmpl w:val="9ABC99A6"/>
    <w:lvl w:ilvl="0" w:tplc="8468F9F4">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183C5A39"/>
    <w:multiLevelType w:val="hybridMultilevel"/>
    <w:tmpl w:val="E9E817C2"/>
    <w:lvl w:ilvl="0" w:tplc="133E6F14">
      <w:start w:val="4"/>
      <w:numFmt w:val="decimal"/>
      <w:lvlText w:val="%1."/>
      <w:lvlJc w:val="left"/>
      <w:pPr>
        <w:ind w:left="927" w:hanging="360"/>
      </w:pPr>
      <w:rPr>
        <w:rFonts w:hint="default"/>
        <w:color w:val="231F20"/>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1" w15:restartNumberingAfterBreak="0">
    <w:nsid w:val="184E252B"/>
    <w:multiLevelType w:val="hybridMultilevel"/>
    <w:tmpl w:val="AF083C1E"/>
    <w:lvl w:ilvl="0" w:tplc="95BA7084">
      <w:start w:val="1"/>
      <w:numFmt w:val="lowerLetter"/>
      <w:lvlText w:val="%1)"/>
      <w:lvlJc w:val="left"/>
      <w:pPr>
        <w:ind w:left="2430" w:hanging="360"/>
      </w:pPr>
      <w:rPr>
        <w:color w:val="auto"/>
      </w:r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12" w15:restartNumberingAfterBreak="0">
    <w:nsid w:val="1B7644BC"/>
    <w:multiLevelType w:val="hybridMultilevel"/>
    <w:tmpl w:val="94D8B9A0"/>
    <w:lvl w:ilvl="0" w:tplc="DDF6D76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D8D630CA">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7A78BF18">
      <w:numFmt w:val="bullet"/>
      <w:lvlText w:val="•"/>
      <w:lvlJc w:val="left"/>
      <w:pPr>
        <w:ind w:left="2212" w:hanging="313"/>
      </w:pPr>
      <w:rPr>
        <w:rFonts w:hint="default"/>
        <w:lang w:val="en-US" w:eastAsia="en-US" w:bidi="ar-SA"/>
      </w:rPr>
    </w:lvl>
    <w:lvl w:ilvl="3" w:tplc="92FC7B4C">
      <w:numFmt w:val="bullet"/>
      <w:lvlText w:val="•"/>
      <w:lvlJc w:val="left"/>
      <w:pPr>
        <w:ind w:left="3105" w:hanging="313"/>
      </w:pPr>
      <w:rPr>
        <w:rFonts w:hint="default"/>
        <w:lang w:val="en-US" w:eastAsia="en-US" w:bidi="ar-SA"/>
      </w:rPr>
    </w:lvl>
    <w:lvl w:ilvl="4" w:tplc="7FC088D2">
      <w:numFmt w:val="bullet"/>
      <w:lvlText w:val="•"/>
      <w:lvlJc w:val="left"/>
      <w:pPr>
        <w:ind w:left="3998" w:hanging="313"/>
      </w:pPr>
      <w:rPr>
        <w:rFonts w:hint="default"/>
        <w:lang w:val="en-US" w:eastAsia="en-US" w:bidi="ar-SA"/>
      </w:rPr>
    </w:lvl>
    <w:lvl w:ilvl="5" w:tplc="7D56E3E2">
      <w:numFmt w:val="bullet"/>
      <w:lvlText w:val="•"/>
      <w:lvlJc w:val="left"/>
      <w:pPr>
        <w:ind w:left="4891" w:hanging="313"/>
      </w:pPr>
      <w:rPr>
        <w:rFonts w:hint="default"/>
        <w:lang w:val="en-US" w:eastAsia="en-US" w:bidi="ar-SA"/>
      </w:rPr>
    </w:lvl>
    <w:lvl w:ilvl="6" w:tplc="FC9C79DA">
      <w:numFmt w:val="bullet"/>
      <w:lvlText w:val="•"/>
      <w:lvlJc w:val="left"/>
      <w:pPr>
        <w:ind w:left="5784" w:hanging="313"/>
      </w:pPr>
      <w:rPr>
        <w:rFonts w:hint="default"/>
        <w:lang w:val="en-US" w:eastAsia="en-US" w:bidi="ar-SA"/>
      </w:rPr>
    </w:lvl>
    <w:lvl w:ilvl="7" w:tplc="3E56F21A">
      <w:numFmt w:val="bullet"/>
      <w:lvlText w:val="•"/>
      <w:lvlJc w:val="left"/>
      <w:pPr>
        <w:ind w:left="6677" w:hanging="313"/>
      </w:pPr>
      <w:rPr>
        <w:rFonts w:hint="default"/>
        <w:lang w:val="en-US" w:eastAsia="en-US" w:bidi="ar-SA"/>
      </w:rPr>
    </w:lvl>
    <w:lvl w:ilvl="8" w:tplc="98F434B6">
      <w:numFmt w:val="bullet"/>
      <w:lvlText w:val="•"/>
      <w:lvlJc w:val="left"/>
      <w:pPr>
        <w:ind w:left="7569" w:hanging="313"/>
      </w:pPr>
      <w:rPr>
        <w:rFonts w:hint="default"/>
        <w:lang w:val="en-US" w:eastAsia="en-US" w:bidi="ar-SA"/>
      </w:rPr>
    </w:lvl>
  </w:abstractNum>
  <w:abstractNum w:abstractNumId="13" w15:restartNumberingAfterBreak="0">
    <w:nsid w:val="21E76509"/>
    <w:multiLevelType w:val="hybridMultilevel"/>
    <w:tmpl w:val="35F6A3E0"/>
    <w:lvl w:ilvl="0" w:tplc="960EFD48">
      <w:start w:val="2"/>
      <w:numFmt w:val="lowerLetter"/>
      <w:lvlText w:val="%1)"/>
      <w:lvlJc w:val="left"/>
      <w:pPr>
        <w:ind w:left="1069" w:hanging="360"/>
      </w:pPr>
      <w:rPr>
        <w:rFonts w:hint="default"/>
        <w:color w:val="auto"/>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4" w15:restartNumberingAfterBreak="0">
    <w:nsid w:val="232A3A49"/>
    <w:multiLevelType w:val="hybridMultilevel"/>
    <w:tmpl w:val="24367C86"/>
    <w:lvl w:ilvl="0" w:tplc="7F5C71FA">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15:restartNumberingAfterBreak="0">
    <w:nsid w:val="2725600F"/>
    <w:multiLevelType w:val="hybridMultilevel"/>
    <w:tmpl w:val="F676B9E6"/>
    <w:lvl w:ilvl="0" w:tplc="A93C007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D7F2CBA"/>
    <w:multiLevelType w:val="hybridMultilevel"/>
    <w:tmpl w:val="90685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9563F0"/>
    <w:multiLevelType w:val="hybridMultilevel"/>
    <w:tmpl w:val="1CE602E8"/>
    <w:lvl w:ilvl="0" w:tplc="81842858">
      <w:start w:val="1"/>
      <w:numFmt w:val="lowerLetter"/>
      <w:lvlText w:val="%1)"/>
      <w:lvlJc w:val="left"/>
      <w:pPr>
        <w:ind w:left="720" w:hanging="360"/>
      </w:pPr>
      <w:rPr>
        <w:rFonts w:hint="default"/>
        <w:color w:val="231F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E29C5"/>
    <w:multiLevelType w:val="hybridMultilevel"/>
    <w:tmpl w:val="CFEA02FE"/>
    <w:lvl w:ilvl="0" w:tplc="0772F656">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75B07EE4">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42CE3F10">
      <w:numFmt w:val="bullet"/>
      <w:lvlText w:val="•"/>
      <w:lvlJc w:val="left"/>
      <w:pPr>
        <w:ind w:left="2212" w:hanging="313"/>
      </w:pPr>
      <w:rPr>
        <w:rFonts w:hint="default"/>
        <w:lang w:val="en-US" w:eastAsia="en-US" w:bidi="ar-SA"/>
      </w:rPr>
    </w:lvl>
    <w:lvl w:ilvl="3" w:tplc="C47C7F00">
      <w:numFmt w:val="bullet"/>
      <w:lvlText w:val="•"/>
      <w:lvlJc w:val="left"/>
      <w:pPr>
        <w:ind w:left="3105" w:hanging="313"/>
      </w:pPr>
      <w:rPr>
        <w:rFonts w:hint="default"/>
        <w:lang w:val="en-US" w:eastAsia="en-US" w:bidi="ar-SA"/>
      </w:rPr>
    </w:lvl>
    <w:lvl w:ilvl="4" w:tplc="AF48F3FA">
      <w:numFmt w:val="bullet"/>
      <w:lvlText w:val="•"/>
      <w:lvlJc w:val="left"/>
      <w:pPr>
        <w:ind w:left="3998" w:hanging="313"/>
      </w:pPr>
      <w:rPr>
        <w:rFonts w:hint="default"/>
        <w:lang w:val="en-US" w:eastAsia="en-US" w:bidi="ar-SA"/>
      </w:rPr>
    </w:lvl>
    <w:lvl w:ilvl="5" w:tplc="48E62C48">
      <w:numFmt w:val="bullet"/>
      <w:lvlText w:val="•"/>
      <w:lvlJc w:val="left"/>
      <w:pPr>
        <w:ind w:left="4891" w:hanging="313"/>
      </w:pPr>
      <w:rPr>
        <w:rFonts w:hint="default"/>
        <w:lang w:val="en-US" w:eastAsia="en-US" w:bidi="ar-SA"/>
      </w:rPr>
    </w:lvl>
    <w:lvl w:ilvl="6" w:tplc="40628526">
      <w:numFmt w:val="bullet"/>
      <w:lvlText w:val="•"/>
      <w:lvlJc w:val="left"/>
      <w:pPr>
        <w:ind w:left="5784" w:hanging="313"/>
      </w:pPr>
      <w:rPr>
        <w:rFonts w:hint="default"/>
        <w:lang w:val="en-US" w:eastAsia="en-US" w:bidi="ar-SA"/>
      </w:rPr>
    </w:lvl>
    <w:lvl w:ilvl="7" w:tplc="A530C72C">
      <w:numFmt w:val="bullet"/>
      <w:lvlText w:val="•"/>
      <w:lvlJc w:val="left"/>
      <w:pPr>
        <w:ind w:left="6677" w:hanging="313"/>
      </w:pPr>
      <w:rPr>
        <w:rFonts w:hint="default"/>
        <w:lang w:val="en-US" w:eastAsia="en-US" w:bidi="ar-SA"/>
      </w:rPr>
    </w:lvl>
    <w:lvl w:ilvl="8" w:tplc="757229C2">
      <w:numFmt w:val="bullet"/>
      <w:lvlText w:val="•"/>
      <w:lvlJc w:val="left"/>
      <w:pPr>
        <w:ind w:left="7569" w:hanging="313"/>
      </w:pPr>
      <w:rPr>
        <w:rFonts w:hint="default"/>
        <w:lang w:val="en-US" w:eastAsia="en-US" w:bidi="ar-SA"/>
      </w:rPr>
    </w:lvl>
  </w:abstractNum>
  <w:abstractNum w:abstractNumId="19" w15:restartNumberingAfterBreak="0">
    <w:nsid w:val="35676BE4"/>
    <w:multiLevelType w:val="hybridMultilevel"/>
    <w:tmpl w:val="FE7201B4"/>
    <w:lvl w:ilvl="0" w:tplc="7F543C8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6406BE6"/>
    <w:multiLevelType w:val="hybridMultilevel"/>
    <w:tmpl w:val="2F96FC3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8AA0A51"/>
    <w:multiLevelType w:val="multilevel"/>
    <w:tmpl w:val="CC86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111075"/>
    <w:multiLevelType w:val="multilevel"/>
    <w:tmpl w:val="3572A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382523"/>
    <w:multiLevelType w:val="hybridMultilevel"/>
    <w:tmpl w:val="E69A5838"/>
    <w:lvl w:ilvl="0" w:tplc="C144EDB8">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971A4358">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19"/>
        <w:szCs w:val="19"/>
        <w:lang w:val="en-US" w:eastAsia="en-US" w:bidi="ar-SA"/>
      </w:rPr>
    </w:lvl>
    <w:lvl w:ilvl="2" w:tplc="179E71AA">
      <w:numFmt w:val="bullet"/>
      <w:lvlText w:val="•"/>
      <w:lvlJc w:val="left"/>
      <w:pPr>
        <w:ind w:left="2212" w:hanging="313"/>
      </w:pPr>
      <w:rPr>
        <w:rFonts w:hint="default"/>
        <w:lang w:val="en-US" w:eastAsia="en-US" w:bidi="ar-SA"/>
      </w:rPr>
    </w:lvl>
    <w:lvl w:ilvl="3" w:tplc="03E8524E">
      <w:numFmt w:val="bullet"/>
      <w:lvlText w:val="•"/>
      <w:lvlJc w:val="left"/>
      <w:pPr>
        <w:ind w:left="3105" w:hanging="313"/>
      </w:pPr>
      <w:rPr>
        <w:rFonts w:hint="default"/>
        <w:lang w:val="en-US" w:eastAsia="en-US" w:bidi="ar-SA"/>
      </w:rPr>
    </w:lvl>
    <w:lvl w:ilvl="4" w:tplc="D3085802">
      <w:numFmt w:val="bullet"/>
      <w:lvlText w:val="•"/>
      <w:lvlJc w:val="left"/>
      <w:pPr>
        <w:ind w:left="3998" w:hanging="313"/>
      </w:pPr>
      <w:rPr>
        <w:rFonts w:hint="default"/>
        <w:lang w:val="en-US" w:eastAsia="en-US" w:bidi="ar-SA"/>
      </w:rPr>
    </w:lvl>
    <w:lvl w:ilvl="5" w:tplc="AAD41DCA">
      <w:numFmt w:val="bullet"/>
      <w:lvlText w:val="•"/>
      <w:lvlJc w:val="left"/>
      <w:pPr>
        <w:ind w:left="4891" w:hanging="313"/>
      </w:pPr>
      <w:rPr>
        <w:rFonts w:hint="default"/>
        <w:lang w:val="en-US" w:eastAsia="en-US" w:bidi="ar-SA"/>
      </w:rPr>
    </w:lvl>
    <w:lvl w:ilvl="6" w:tplc="54E0789C">
      <w:numFmt w:val="bullet"/>
      <w:lvlText w:val="•"/>
      <w:lvlJc w:val="left"/>
      <w:pPr>
        <w:ind w:left="5784" w:hanging="313"/>
      </w:pPr>
      <w:rPr>
        <w:rFonts w:hint="default"/>
        <w:lang w:val="en-US" w:eastAsia="en-US" w:bidi="ar-SA"/>
      </w:rPr>
    </w:lvl>
    <w:lvl w:ilvl="7" w:tplc="7A0215B0">
      <w:numFmt w:val="bullet"/>
      <w:lvlText w:val="•"/>
      <w:lvlJc w:val="left"/>
      <w:pPr>
        <w:ind w:left="6677" w:hanging="313"/>
      </w:pPr>
      <w:rPr>
        <w:rFonts w:hint="default"/>
        <w:lang w:val="en-US" w:eastAsia="en-US" w:bidi="ar-SA"/>
      </w:rPr>
    </w:lvl>
    <w:lvl w:ilvl="8" w:tplc="59184140">
      <w:numFmt w:val="bullet"/>
      <w:lvlText w:val="•"/>
      <w:lvlJc w:val="left"/>
      <w:pPr>
        <w:ind w:left="7569" w:hanging="313"/>
      </w:pPr>
      <w:rPr>
        <w:rFonts w:hint="default"/>
        <w:lang w:val="en-US" w:eastAsia="en-US" w:bidi="ar-SA"/>
      </w:rPr>
    </w:lvl>
  </w:abstractNum>
  <w:abstractNum w:abstractNumId="24" w15:restartNumberingAfterBreak="0">
    <w:nsid w:val="407F0EE6"/>
    <w:multiLevelType w:val="hybridMultilevel"/>
    <w:tmpl w:val="2F483166"/>
    <w:lvl w:ilvl="0" w:tplc="9CB68ADA">
      <w:start w:val="4"/>
      <w:numFmt w:val="decimal"/>
      <w:lvlText w:val="%1."/>
      <w:lvlJc w:val="left"/>
      <w:pPr>
        <w:ind w:left="1620" w:hanging="360"/>
      </w:pPr>
      <w:rPr>
        <w:rFonts w:hint="default"/>
        <w:color w:val="C00000"/>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2430" w:hanging="180"/>
      </w:pPr>
    </w:lvl>
    <w:lvl w:ilvl="3" w:tplc="041C000F" w:tentative="1">
      <w:start w:val="1"/>
      <w:numFmt w:val="decimal"/>
      <w:lvlText w:val="%4."/>
      <w:lvlJc w:val="left"/>
      <w:pPr>
        <w:ind w:left="-1710" w:hanging="360"/>
      </w:pPr>
    </w:lvl>
    <w:lvl w:ilvl="4" w:tplc="041C0019" w:tentative="1">
      <w:start w:val="1"/>
      <w:numFmt w:val="lowerLetter"/>
      <w:lvlText w:val="%5."/>
      <w:lvlJc w:val="left"/>
      <w:pPr>
        <w:ind w:left="-990" w:hanging="360"/>
      </w:pPr>
    </w:lvl>
    <w:lvl w:ilvl="5" w:tplc="041C001B" w:tentative="1">
      <w:start w:val="1"/>
      <w:numFmt w:val="lowerRoman"/>
      <w:lvlText w:val="%6."/>
      <w:lvlJc w:val="right"/>
      <w:pPr>
        <w:ind w:left="-270" w:hanging="180"/>
      </w:pPr>
    </w:lvl>
    <w:lvl w:ilvl="6" w:tplc="041C000F" w:tentative="1">
      <w:start w:val="1"/>
      <w:numFmt w:val="decimal"/>
      <w:lvlText w:val="%7."/>
      <w:lvlJc w:val="left"/>
      <w:pPr>
        <w:ind w:left="450" w:hanging="360"/>
      </w:pPr>
    </w:lvl>
    <w:lvl w:ilvl="7" w:tplc="041C0019" w:tentative="1">
      <w:start w:val="1"/>
      <w:numFmt w:val="lowerLetter"/>
      <w:lvlText w:val="%8."/>
      <w:lvlJc w:val="left"/>
      <w:pPr>
        <w:ind w:left="1170" w:hanging="360"/>
      </w:pPr>
    </w:lvl>
    <w:lvl w:ilvl="8" w:tplc="041C001B" w:tentative="1">
      <w:start w:val="1"/>
      <w:numFmt w:val="lowerRoman"/>
      <w:lvlText w:val="%9."/>
      <w:lvlJc w:val="right"/>
      <w:pPr>
        <w:ind w:left="1890" w:hanging="180"/>
      </w:pPr>
    </w:lvl>
  </w:abstractNum>
  <w:abstractNum w:abstractNumId="25" w15:restartNumberingAfterBreak="0">
    <w:nsid w:val="4971494A"/>
    <w:multiLevelType w:val="hybridMultilevel"/>
    <w:tmpl w:val="1A241DE6"/>
    <w:lvl w:ilvl="0" w:tplc="041C000F">
      <w:start w:val="4"/>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49AD3738"/>
    <w:multiLevelType w:val="hybridMultilevel"/>
    <w:tmpl w:val="373ECCEA"/>
    <w:lvl w:ilvl="0" w:tplc="041C001B">
      <w:start w:val="1"/>
      <w:numFmt w:val="lowerRoman"/>
      <w:lvlText w:val="%1."/>
      <w:lvlJc w:val="right"/>
      <w:pPr>
        <w:ind w:left="1287" w:hanging="360"/>
      </w:pPr>
    </w:lvl>
    <w:lvl w:ilvl="1" w:tplc="041C0019" w:tentative="1">
      <w:start w:val="1"/>
      <w:numFmt w:val="lowerLetter"/>
      <w:lvlText w:val="%2."/>
      <w:lvlJc w:val="left"/>
      <w:pPr>
        <w:ind w:left="2007" w:hanging="360"/>
      </w:pPr>
    </w:lvl>
    <w:lvl w:ilvl="2" w:tplc="041C001B" w:tentative="1">
      <w:start w:val="1"/>
      <w:numFmt w:val="lowerRoman"/>
      <w:lvlText w:val="%3."/>
      <w:lvlJc w:val="right"/>
      <w:pPr>
        <w:ind w:left="2727" w:hanging="180"/>
      </w:p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27" w15:restartNumberingAfterBreak="0">
    <w:nsid w:val="4A88005C"/>
    <w:multiLevelType w:val="hybridMultilevel"/>
    <w:tmpl w:val="FE56F7C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4BEA1C3A"/>
    <w:multiLevelType w:val="hybridMultilevel"/>
    <w:tmpl w:val="4D8689B2"/>
    <w:lvl w:ilvl="0" w:tplc="0409001B">
      <w:start w:val="1"/>
      <w:numFmt w:val="lowerRoman"/>
      <w:lvlText w:val="%1."/>
      <w:lvlJc w:val="righ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07E3576"/>
    <w:multiLevelType w:val="hybridMultilevel"/>
    <w:tmpl w:val="C80283FA"/>
    <w:lvl w:ilvl="0" w:tplc="6F6AC5E4">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8154FDD4">
      <w:numFmt w:val="bullet"/>
      <w:lvlText w:val="•"/>
      <w:lvlJc w:val="left"/>
      <w:pPr>
        <w:ind w:left="1835" w:hanging="433"/>
      </w:pPr>
      <w:rPr>
        <w:rFonts w:hint="default"/>
        <w:lang w:val="en-US" w:eastAsia="en-US" w:bidi="ar-SA"/>
      </w:rPr>
    </w:lvl>
    <w:lvl w:ilvl="2" w:tplc="6266541E">
      <w:numFmt w:val="bullet"/>
      <w:lvlText w:val="•"/>
      <w:lvlJc w:val="left"/>
      <w:pPr>
        <w:ind w:left="2671" w:hanging="433"/>
      </w:pPr>
      <w:rPr>
        <w:rFonts w:hint="default"/>
        <w:lang w:val="en-US" w:eastAsia="en-US" w:bidi="ar-SA"/>
      </w:rPr>
    </w:lvl>
    <w:lvl w:ilvl="3" w:tplc="5982434E">
      <w:numFmt w:val="bullet"/>
      <w:lvlText w:val="•"/>
      <w:lvlJc w:val="left"/>
      <w:pPr>
        <w:ind w:left="3506" w:hanging="433"/>
      </w:pPr>
      <w:rPr>
        <w:rFonts w:hint="default"/>
        <w:lang w:val="en-US" w:eastAsia="en-US" w:bidi="ar-SA"/>
      </w:rPr>
    </w:lvl>
    <w:lvl w:ilvl="4" w:tplc="8A1E3676">
      <w:numFmt w:val="bullet"/>
      <w:lvlText w:val="•"/>
      <w:lvlJc w:val="left"/>
      <w:pPr>
        <w:ind w:left="4342" w:hanging="433"/>
      </w:pPr>
      <w:rPr>
        <w:rFonts w:hint="default"/>
        <w:lang w:val="en-US" w:eastAsia="en-US" w:bidi="ar-SA"/>
      </w:rPr>
    </w:lvl>
    <w:lvl w:ilvl="5" w:tplc="DEBEAA64">
      <w:numFmt w:val="bullet"/>
      <w:lvlText w:val="•"/>
      <w:lvlJc w:val="left"/>
      <w:pPr>
        <w:ind w:left="5177" w:hanging="433"/>
      </w:pPr>
      <w:rPr>
        <w:rFonts w:hint="default"/>
        <w:lang w:val="en-US" w:eastAsia="en-US" w:bidi="ar-SA"/>
      </w:rPr>
    </w:lvl>
    <w:lvl w:ilvl="6" w:tplc="6B8C4368">
      <w:numFmt w:val="bullet"/>
      <w:lvlText w:val="•"/>
      <w:lvlJc w:val="left"/>
      <w:pPr>
        <w:ind w:left="6013" w:hanging="433"/>
      </w:pPr>
      <w:rPr>
        <w:rFonts w:hint="default"/>
        <w:lang w:val="en-US" w:eastAsia="en-US" w:bidi="ar-SA"/>
      </w:rPr>
    </w:lvl>
    <w:lvl w:ilvl="7" w:tplc="6C2409DE">
      <w:numFmt w:val="bullet"/>
      <w:lvlText w:val="•"/>
      <w:lvlJc w:val="left"/>
      <w:pPr>
        <w:ind w:left="6848" w:hanging="433"/>
      </w:pPr>
      <w:rPr>
        <w:rFonts w:hint="default"/>
        <w:lang w:val="en-US" w:eastAsia="en-US" w:bidi="ar-SA"/>
      </w:rPr>
    </w:lvl>
    <w:lvl w:ilvl="8" w:tplc="D7E02A66">
      <w:numFmt w:val="bullet"/>
      <w:lvlText w:val="•"/>
      <w:lvlJc w:val="left"/>
      <w:pPr>
        <w:ind w:left="7684" w:hanging="433"/>
      </w:pPr>
      <w:rPr>
        <w:rFonts w:hint="default"/>
        <w:lang w:val="en-US" w:eastAsia="en-US" w:bidi="ar-SA"/>
      </w:rPr>
    </w:lvl>
  </w:abstractNum>
  <w:abstractNum w:abstractNumId="30" w15:restartNumberingAfterBreak="0">
    <w:nsid w:val="51131C30"/>
    <w:multiLevelType w:val="hybridMultilevel"/>
    <w:tmpl w:val="A1EC797E"/>
    <w:lvl w:ilvl="0" w:tplc="17660A46">
      <w:start w:val="4"/>
      <w:numFmt w:val="decimal"/>
      <w:lvlText w:val="%1."/>
      <w:lvlJc w:val="left"/>
      <w:pPr>
        <w:ind w:left="720" w:hanging="360"/>
      </w:pPr>
      <w:rPr>
        <w:rFonts w:hint="default"/>
        <w:color w:val="231F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3421D"/>
    <w:multiLevelType w:val="hybridMultilevel"/>
    <w:tmpl w:val="F61C5BF4"/>
    <w:lvl w:ilvl="0" w:tplc="703AC5C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152C8952">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200A81F2">
      <w:numFmt w:val="bullet"/>
      <w:lvlText w:val="•"/>
      <w:lvlJc w:val="left"/>
      <w:pPr>
        <w:ind w:left="2212" w:hanging="313"/>
      </w:pPr>
      <w:rPr>
        <w:rFonts w:hint="default"/>
        <w:lang w:val="en-US" w:eastAsia="en-US" w:bidi="ar-SA"/>
      </w:rPr>
    </w:lvl>
    <w:lvl w:ilvl="3" w:tplc="86FCE146">
      <w:numFmt w:val="bullet"/>
      <w:lvlText w:val="•"/>
      <w:lvlJc w:val="left"/>
      <w:pPr>
        <w:ind w:left="3105" w:hanging="313"/>
      </w:pPr>
      <w:rPr>
        <w:rFonts w:hint="default"/>
        <w:lang w:val="en-US" w:eastAsia="en-US" w:bidi="ar-SA"/>
      </w:rPr>
    </w:lvl>
    <w:lvl w:ilvl="4" w:tplc="E02A5720">
      <w:numFmt w:val="bullet"/>
      <w:lvlText w:val="•"/>
      <w:lvlJc w:val="left"/>
      <w:pPr>
        <w:ind w:left="3998" w:hanging="313"/>
      </w:pPr>
      <w:rPr>
        <w:rFonts w:hint="default"/>
        <w:lang w:val="en-US" w:eastAsia="en-US" w:bidi="ar-SA"/>
      </w:rPr>
    </w:lvl>
    <w:lvl w:ilvl="5" w:tplc="D3B6A760">
      <w:numFmt w:val="bullet"/>
      <w:lvlText w:val="•"/>
      <w:lvlJc w:val="left"/>
      <w:pPr>
        <w:ind w:left="4891" w:hanging="313"/>
      </w:pPr>
      <w:rPr>
        <w:rFonts w:hint="default"/>
        <w:lang w:val="en-US" w:eastAsia="en-US" w:bidi="ar-SA"/>
      </w:rPr>
    </w:lvl>
    <w:lvl w:ilvl="6" w:tplc="BD8E7878">
      <w:numFmt w:val="bullet"/>
      <w:lvlText w:val="•"/>
      <w:lvlJc w:val="left"/>
      <w:pPr>
        <w:ind w:left="5784" w:hanging="313"/>
      </w:pPr>
      <w:rPr>
        <w:rFonts w:hint="default"/>
        <w:lang w:val="en-US" w:eastAsia="en-US" w:bidi="ar-SA"/>
      </w:rPr>
    </w:lvl>
    <w:lvl w:ilvl="7" w:tplc="1CDA5234">
      <w:numFmt w:val="bullet"/>
      <w:lvlText w:val="•"/>
      <w:lvlJc w:val="left"/>
      <w:pPr>
        <w:ind w:left="6677" w:hanging="313"/>
      </w:pPr>
      <w:rPr>
        <w:rFonts w:hint="default"/>
        <w:lang w:val="en-US" w:eastAsia="en-US" w:bidi="ar-SA"/>
      </w:rPr>
    </w:lvl>
    <w:lvl w:ilvl="8" w:tplc="F69C3FCC">
      <w:numFmt w:val="bullet"/>
      <w:lvlText w:val="•"/>
      <w:lvlJc w:val="left"/>
      <w:pPr>
        <w:ind w:left="7569" w:hanging="313"/>
      </w:pPr>
      <w:rPr>
        <w:rFonts w:hint="default"/>
        <w:lang w:val="en-US" w:eastAsia="en-US" w:bidi="ar-SA"/>
      </w:rPr>
    </w:lvl>
  </w:abstractNum>
  <w:abstractNum w:abstractNumId="32" w15:restartNumberingAfterBreak="0">
    <w:nsid w:val="5BE8282C"/>
    <w:multiLevelType w:val="multilevel"/>
    <w:tmpl w:val="9430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1945A4"/>
    <w:multiLevelType w:val="hybridMultilevel"/>
    <w:tmpl w:val="A5F88C78"/>
    <w:lvl w:ilvl="0" w:tplc="9A423F08">
      <w:start w:val="1"/>
      <w:numFmt w:val="decimal"/>
      <w:lvlText w:val="%1."/>
      <w:lvlJc w:val="left"/>
      <w:pPr>
        <w:ind w:left="1080" w:hanging="360"/>
      </w:pPr>
      <w:rPr>
        <w:rFonts w:ascii="Times New Roman" w:eastAsia="Arial Unicode MS"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4B2E57"/>
    <w:multiLevelType w:val="multilevel"/>
    <w:tmpl w:val="198C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B72900"/>
    <w:multiLevelType w:val="hybridMultilevel"/>
    <w:tmpl w:val="F9280762"/>
    <w:lvl w:ilvl="0" w:tplc="AC3E32A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1CF2EC12">
      <w:numFmt w:val="bullet"/>
      <w:lvlText w:val="•"/>
      <w:lvlJc w:val="left"/>
      <w:pPr>
        <w:ind w:left="1835" w:hanging="433"/>
      </w:pPr>
      <w:rPr>
        <w:rFonts w:hint="default"/>
        <w:lang w:val="en-US" w:eastAsia="en-US" w:bidi="ar-SA"/>
      </w:rPr>
    </w:lvl>
    <w:lvl w:ilvl="2" w:tplc="0E9E316A">
      <w:numFmt w:val="bullet"/>
      <w:lvlText w:val="•"/>
      <w:lvlJc w:val="left"/>
      <w:pPr>
        <w:ind w:left="2671" w:hanging="433"/>
      </w:pPr>
      <w:rPr>
        <w:rFonts w:hint="default"/>
        <w:lang w:val="en-US" w:eastAsia="en-US" w:bidi="ar-SA"/>
      </w:rPr>
    </w:lvl>
    <w:lvl w:ilvl="3" w:tplc="00C832D4">
      <w:numFmt w:val="bullet"/>
      <w:lvlText w:val="•"/>
      <w:lvlJc w:val="left"/>
      <w:pPr>
        <w:ind w:left="3506" w:hanging="433"/>
      </w:pPr>
      <w:rPr>
        <w:rFonts w:hint="default"/>
        <w:lang w:val="en-US" w:eastAsia="en-US" w:bidi="ar-SA"/>
      </w:rPr>
    </w:lvl>
    <w:lvl w:ilvl="4" w:tplc="7C264D02">
      <w:numFmt w:val="bullet"/>
      <w:lvlText w:val="•"/>
      <w:lvlJc w:val="left"/>
      <w:pPr>
        <w:ind w:left="4342" w:hanging="433"/>
      </w:pPr>
      <w:rPr>
        <w:rFonts w:hint="default"/>
        <w:lang w:val="en-US" w:eastAsia="en-US" w:bidi="ar-SA"/>
      </w:rPr>
    </w:lvl>
    <w:lvl w:ilvl="5" w:tplc="9E7C6216">
      <w:numFmt w:val="bullet"/>
      <w:lvlText w:val="•"/>
      <w:lvlJc w:val="left"/>
      <w:pPr>
        <w:ind w:left="5177" w:hanging="433"/>
      </w:pPr>
      <w:rPr>
        <w:rFonts w:hint="default"/>
        <w:lang w:val="en-US" w:eastAsia="en-US" w:bidi="ar-SA"/>
      </w:rPr>
    </w:lvl>
    <w:lvl w:ilvl="6" w:tplc="688E896E">
      <w:numFmt w:val="bullet"/>
      <w:lvlText w:val="•"/>
      <w:lvlJc w:val="left"/>
      <w:pPr>
        <w:ind w:left="6013" w:hanging="433"/>
      </w:pPr>
      <w:rPr>
        <w:rFonts w:hint="default"/>
        <w:lang w:val="en-US" w:eastAsia="en-US" w:bidi="ar-SA"/>
      </w:rPr>
    </w:lvl>
    <w:lvl w:ilvl="7" w:tplc="EBE086BA">
      <w:numFmt w:val="bullet"/>
      <w:lvlText w:val="•"/>
      <w:lvlJc w:val="left"/>
      <w:pPr>
        <w:ind w:left="6848" w:hanging="433"/>
      </w:pPr>
      <w:rPr>
        <w:rFonts w:hint="default"/>
        <w:lang w:val="en-US" w:eastAsia="en-US" w:bidi="ar-SA"/>
      </w:rPr>
    </w:lvl>
    <w:lvl w:ilvl="8" w:tplc="0614AEB8">
      <w:numFmt w:val="bullet"/>
      <w:lvlText w:val="•"/>
      <w:lvlJc w:val="left"/>
      <w:pPr>
        <w:ind w:left="7684" w:hanging="433"/>
      </w:pPr>
      <w:rPr>
        <w:rFonts w:hint="default"/>
        <w:lang w:val="en-US" w:eastAsia="en-US" w:bidi="ar-SA"/>
      </w:rPr>
    </w:lvl>
  </w:abstractNum>
  <w:abstractNum w:abstractNumId="36" w15:restartNumberingAfterBreak="0">
    <w:nsid w:val="75115FFB"/>
    <w:multiLevelType w:val="hybridMultilevel"/>
    <w:tmpl w:val="C01A1B90"/>
    <w:lvl w:ilvl="0" w:tplc="5CB02AF0">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7" w15:restartNumberingAfterBreak="0">
    <w:nsid w:val="75365A7A"/>
    <w:multiLevelType w:val="hybridMultilevel"/>
    <w:tmpl w:val="38963F12"/>
    <w:lvl w:ilvl="0" w:tplc="041C000F">
      <w:start w:val="9"/>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783A1895"/>
    <w:multiLevelType w:val="hybridMultilevel"/>
    <w:tmpl w:val="D31A3D38"/>
    <w:lvl w:ilvl="0" w:tplc="D272F5CA">
      <w:start w:val="1"/>
      <w:numFmt w:val="decimal"/>
      <w:lvlText w:val="%1."/>
      <w:lvlJc w:val="left"/>
      <w:pPr>
        <w:ind w:left="362" w:hanging="360"/>
      </w:pPr>
      <w:rPr>
        <w:rFonts w:hint="default"/>
      </w:rPr>
    </w:lvl>
    <w:lvl w:ilvl="1" w:tplc="04090019">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9" w15:restartNumberingAfterBreak="0">
    <w:nsid w:val="7E740512"/>
    <w:multiLevelType w:val="hybridMultilevel"/>
    <w:tmpl w:val="BC0489C0"/>
    <w:lvl w:ilvl="0" w:tplc="041C0017">
      <w:start w:val="2"/>
      <w:numFmt w:val="lowerLetter"/>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7E8454C6"/>
    <w:multiLevelType w:val="hybridMultilevel"/>
    <w:tmpl w:val="747AF9CE"/>
    <w:lvl w:ilvl="0" w:tplc="5F6C273C">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0"/>
  </w:num>
  <w:num w:numId="2">
    <w:abstractNumId w:val="31"/>
  </w:num>
  <w:num w:numId="3">
    <w:abstractNumId w:val="18"/>
  </w:num>
  <w:num w:numId="4">
    <w:abstractNumId w:val="23"/>
  </w:num>
  <w:num w:numId="5">
    <w:abstractNumId w:val="29"/>
  </w:num>
  <w:num w:numId="6">
    <w:abstractNumId w:val="35"/>
  </w:num>
  <w:num w:numId="7">
    <w:abstractNumId w:val="12"/>
  </w:num>
  <w:num w:numId="8">
    <w:abstractNumId w:val="30"/>
  </w:num>
  <w:num w:numId="9">
    <w:abstractNumId w:val="11"/>
  </w:num>
  <w:num w:numId="10">
    <w:abstractNumId w:val="17"/>
  </w:num>
  <w:num w:numId="11">
    <w:abstractNumId w:val="16"/>
  </w:num>
  <w:num w:numId="12">
    <w:abstractNumId w:val="7"/>
  </w:num>
  <w:num w:numId="13">
    <w:abstractNumId w:val="38"/>
  </w:num>
  <w:num w:numId="14">
    <w:abstractNumId w:val="15"/>
  </w:num>
  <w:num w:numId="15">
    <w:abstractNumId w:val="36"/>
  </w:num>
  <w:num w:numId="16">
    <w:abstractNumId w:val="3"/>
  </w:num>
  <w:num w:numId="17">
    <w:abstractNumId w:val="8"/>
  </w:num>
  <w:num w:numId="18">
    <w:abstractNumId w:val="1"/>
  </w:num>
  <w:num w:numId="19">
    <w:abstractNumId w:val="28"/>
  </w:num>
  <w:num w:numId="20">
    <w:abstractNumId w:val="13"/>
  </w:num>
  <w:num w:numId="21">
    <w:abstractNumId w:val="39"/>
  </w:num>
  <w:num w:numId="22">
    <w:abstractNumId w:val="32"/>
  </w:num>
  <w:num w:numId="23">
    <w:abstractNumId w:val="10"/>
  </w:num>
  <w:num w:numId="24">
    <w:abstractNumId w:val="25"/>
  </w:num>
  <w:num w:numId="25">
    <w:abstractNumId w:val="24"/>
  </w:num>
  <w:num w:numId="26">
    <w:abstractNumId w:val="26"/>
  </w:num>
  <w:num w:numId="27">
    <w:abstractNumId w:val="5"/>
  </w:num>
  <w:num w:numId="28">
    <w:abstractNumId w:val="34"/>
  </w:num>
  <w:num w:numId="29">
    <w:abstractNumId w:val="20"/>
  </w:num>
  <w:num w:numId="30">
    <w:abstractNumId w:val="19"/>
  </w:num>
  <w:num w:numId="31">
    <w:abstractNumId w:val="9"/>
  </w:num>
  <w:num w:numId="32">
    <w:abstractNumId w:val="37"/>
  </w:num>
  <w:num w:numId="33">
    <w:abstractNumId w:val="4"/>
  </w:num>
  <w:num w:numId="34">
    <w:abstractNumId w:val="27"/>
  </w:num>
  <w:num w:numId="35">
    <w:abstractNumId w:val="22"/>
  </w:num>
  <w:num w:numId="36">
    <w:abstractNumId w:val="2"/>
  </w:num>
  <w:num w:numId="37">
    <w:abstractNumId w:val="6"/>
  </w:num>
  <w:num w:numId="38">
    <w:abstractNumId w:val="0"/>
  </w:num>
  <w:num w:numId="39">
    <w:abstractNumId w:val="21"/>
  </w:num>
  <w:num w:numId="40">
    <w:abstractNumId w:val="14"/>
  </w:num>
  <w:num w:numId="41">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AE"/>
    <w:rsid w:val="0000040C"/>
    <w:rsid w:val="00000417"/>
    <w:rsid w:val="00000586"/>
    <w:rsid w:val="00000D69"/>
    <w:rsid w:val="0000113A"/>
    <w:rsid w:val="000017B7"/>
    <w:rsid w:val="0000316A"/>
    <w:rsid w:val="000035B5"/>
    <w:rsid w:val="0000363B"/>
    <w:rsid w:val="000036B3"/>
    <w:rsid w:val="000039D0"/>
    <w:rsid w:val="00003A8E"/>
    <w:rsid w:val="00003F06"/>
    <w:rsid w:val="00003FDA"/>
    <w:rsid w:val="000047AB"/>
    <w:rsid w:val="000054A7"/>
    <w:rsid w:val="000056CF"/>
    <w:rsid w:val="00005DA9"/>
    <w:rsid w:val="000060DA"/>
    <w:rsid w:val="00006A79"/>
    <w:rsid w:val="00006CAD"/>
    <w:rsid w:val="00007AC1"/>
    <w:rsid w:val="000100AC"/>
    <w:rsid w:val="00010358"/>
    <w:rsid w:val="000106C9"/>
    <w:rsid w:val="000109EC"/>
    <w:rsid w:val="00010F2B"/>
    <w:rsid w:val="00010F77"/>
    <w:rsid w:val="00010F8E"/>
    <w:rsid w:val="000111A4"/>
    <w:rsid w:val="00011DAA"/>
    <w:rsid w:val="00011DE3"/>
    <w:rsid w:val="00011E4E"/>
    <w:rsid w:val="000123CC"/>
    <w:rsid w:val="0001261C"/>
    <w:rsid w:val="000127E3"/>
    <w:rsid w:val="0001283C"/>
    <w:rsid w:val="00012E42"/>
    <w:rsid w:val="000134A7"/>
    <w:rsid w:val="0001362A"/>
    <w:rsid w:val="0001377A"/>
    <w:rsid w:val="00013BAD"/>
    <w:rsid w:val="0001410D"/>
    <w:rsid w:val="00014B25"/>
    <w:rsid w:val="00014E86"/>
    <w:rsid w:val="000150BF"/>
    <w:rsid w:val="00015102"/>
    <w:rsid w:val="000151E8"/>
    <w:rsid w:val="000153BB"/>
    <w:rsid w:val="0001599A"/>
    <w:rsid w:val="00015C06"/>
    <w:rsid w:val="000162ED"/>
    <w:rsid w:val="00016904"/>
    <w:rsid w:val="00016EBA"/>
    <w:rsid w:val="000171F3"/>
    <w:rsid w:val="00017272"/>
    <w:rsid w:val="00020D1E"/>
    <w:rsid w:val="000213AE"/>
    <w:rsid w:val="0002405C"/>
    <w:rsid w:val="00024383"/>
    <w:rsid w:val="00024397"/>
    <w:rsid w:val="0002496B"/>
    <w:rsid w:val="000249BE"/>
    <w:rsid w:val="00024AE5"/>
    <w:rsid w:val="0002584C"/>
    <w:rsid w:val="0002622D"/>
    <w:rsid w:val="00026864"/>
    <w:rsid w:val="0002693A"/>
    <w:rsid w:val="00026BC1"/>
    <w:rsid w:val="000279D2"/>
    <w:rsid w:val="000301D2"/>
    <w:rsid w:val="000302CC"/>
    <w:rsid w:val="0003056A"/>
    <w:rsid w:val="000306D0"/>
    <w:rsid w:val="000306D2"/>
    <w:rsid w:val="000307B3"/>
    <w:rsid w:val="000307B4"/>
    <w:rsid w:val="0003144E"/>
    <w:rsid w:val="00031A55"/>
    <w:rsid w:val="000322B7"/>
    <w:rsid w:val="00032823"/>
    <w:rsid w:val="00032A47"/>
    <w:rsid w:val="00032C43"/>
    <w:rsid w:val="00032E93"/>
    <w:rsid w:val="00032EBD"/>
    <w:rsid w:val="000336BF"/>
    <w:rsid w:val="000336D4"/>
    <w:rsid w:val="0003383C"/>
    <w:rsid w:val="000339FE"/>
    <w:rsid w:val="00033BEB"/>
    <w:rsid w:val="000345EB"/>
    <w:rsid w:val="0003466D"/>
    <w:rsid w:val="00034CC8"/>
    <w:rsid w:val="00035399"/>
    <w:rsid w:val="0003588C"/>
    <w:rsid w:val="00035C37"/>
    <w:rsid w:val="00036036"/>
    <w:rsid w:val="000363BA"/>
    <w:rsid w:val="0003703F"/>
    <w:rsid w:val="00037478"/>
    <w:rsid w:val="000374F0"/>
    <w:rsid w:val="000376CC"/>
    <w:rsid w:val="00037A3A"/>
    <w:rsid w:val="00037CB4"/>
    <w:rsid w:val="00040B0F"/>
    <w:rsid w:val="00040B9E"/>
    <w:rsid w:val="00041542"/>
    <w:rsid w:val="000415D1"/>
    <w:rsid w:val="00041CD7"/>
    <w:rsid w:val="00042339"/>
    <w:rsid w:val="00042896"/>
    <w:rsid w:val="00042A3A"/>
    <w:rsid w:val="00042B2C"/>
    <w:rsid w:val="00043624"/>
    <w:rsid w:val="00043D88"/>
    <w:rsid w:val="00043D91"/>
    <w:rsid w:val="00043F53"/>
    <w:rsid w:val="000441BD"/>
    <w:rsid w:val="000445E9"/>
    <w:rsid w:val="00044626"/>
    <w:rsid w:val="00044918"/>
    <w:rsid w:val="00044DC3"/>
    <w:rsid w:val="0004569A"/>
    <w:rsid w:val="000457B8"/>
    <w:rsid w:val="00045AB9"/>
    <w:rsid w:val="0004619A"/>
    <w:rsid w:val="000469C9"/>
    <w:rsid w:val="000469CE"/>
    <w:rsid w:val="00046A3E"/>
    <w:rsid w:val="000471D6"/>
    <w:rsid w:val="00047E6F"/>
    <w:rsid w:val="000507ED"/>
    <w:rsid w:val="00050CC7"/>
    <w:rsid w:val="00051293"/>
    <w:rsid w:val="00051395"/>
    <w:rsid w:val="00051B53"/>
    <w:rsid w:val="00051E23"/>
    <w:rsid w:val="000524B7"/>
    <w:rsid w:val="000524E5"/>
    <w:rsid w:val="0005290B"/>
    <w:rsid w:val="00052A63"/>
    <w:rsid w:val="00052D78"/>
    <w:rsid w:val="00053A49"/>
    <w:rsid w:val="00053A84"/>
    <w:rsid w:val="00053BE8"/>
    <w:rsid w:val="00053F9B"/>
    <w:rsid w:val="00054145"/>
    <w:rsid w:val="000547F1"/>
    <w:rsid w:val="00054D74"/>
    <w:rsid w:val="00055130"/>
    <w:rsid w:val="00055238"/>
    <w:rsid w:val="00055560"/>
    <w:rsid w:val="0005560A"/>
    <w:rsid w:val="00055CBB"/>
    <w:rsid w:val="000564D6"/>
    <w:rsid w:val="00056FF9"/>
    <w:rsid w:val="00057466"/>
    <w:rsid w:val="0005774E"/>
    <w:rsid w:val="00057D97"/>
    <w:rsid w:val="00060147"/>
    <w:rsid w:val="000605EE"/>
    <w:rsid w:val="00060921"/>
    <w:rsid w:val="00060A01"/>
    <w:rsid w:val="00060F45"/>
    <w:rsid w:val="0006121E"/>
    <w:rsid w:val="0006166E"/>
    <w:rsid w:val="00062086"/>
    <w:rsid w:val="00062A2C"/>
    <w:rsid w:val="00062AB9"/>
    <w:rsid w:val="00062F7D"/>
    <w:rsid w:val="000631CE"/>
    <w:rsid w:val="00064C6B"/>
    <w:rsid w:val="0006544D"/>
    <w:rsid w:val="00065B7D"/>
    <w:rsid w:val="00065C2C"/>
    <w:rsid w:val="00065CDC"/>
    <w:rsid w:val="000664A9"/>
    <w:rsid w:val="00066804"/>
    <w:rsid w:val="00066B87"/>
    <w:rsid w:val="00066D38"/>
    <w:rsid w:val="00066ED7"/>
    <w:rsid w:val="00067186"/>
    <w:rsid w:val="000672F2"/>
    <w:rsid w:val="00067494"/>
    <w:rsid w:val="00067EAC"/>
    <w:rsid w:val="000700A0"/>
    <w:rsid w:val="00070728"/>
    <w:rsid w:val="000707B6"/>
    <w:rsid w:val="00070B2B"/>
    <w:rsid w:val="00071345"/>
    <w:rsid w:val="00071B3E"/>
    <w:rsid w:val="00071FAD"/>
    <w:rsid w:val="00072A65"/>
    <w:rsid w:val="00072BBF"/>
    <w:rsid w:val="000735D9"/>
    <w:rsid w:val="00073990"/>
    <w:rsid w:val="0007438B"/>
    <w:rsid w:val="00074413"/>
    <w:rsid w:val="0007441B"/>
    <w:rsid w:val="0007452A"/>
    <w:rsid w:val="0007515B"/>
    <w:rsid w:val="000754D1"/>
    <w:rsid w:val="00075650"/>
    <w:rsid w:val="00075D44"/>
    <w:rsid w:val="00075F1B"/>
    <w:rsid w:val="00076210"/>
    <w:rsid w:val="000763E9"/>
    <w:rsid w:val="00076588"/>
    <w:rsid w:val="00076975"/>
    <w:rsid w:val="00076A83"/>
    <w:rsid w:val="000770EB"/>
    <w:rsid w:val="00077449"/>
    <w:rsid w:val="00077716"/>
    <w:rsid w:val="00077EF7"/>
    <w:rsid w:val="00080017"/>
    <w:rsid w:val="00080211"/>
    <w:rsid w:val="000804F3"/>
    <w:rsid w:val="00080F8F"/>
    <w:rsid w:val="000811FE"/>
    <w:rsid w:val="00081A3B"/>
    <w:rsid w:val="00082355"/>
    <w:rsid w:val="00082FB2"/>
    <w:rsid w:val="0008356C"/>
    <w:rsid w:val="00083644"/>
    <w:rsid w:val="00083FDB"/>
    <w:rsid w:val="00083FFE"/>
    <w:rsid w:val="00084FD1"/>
    <w:rsid w:val="00085112"/>
    <w:rsid w:val="0008550B"/>
    <w:rsid w:val="00085732"/>
    <w:rsid w:val="000858A9"/>
    <w:rsid w:val="00085C26"/>
    <w:rsid w:val="00086807"/>
    <w:rsid w:val="000868C4"/>
    <w:rsid w:val="00086B8A"/>
    <w:rsid w:val="00086D1C"/>
    <w:rsid w:val="00087574"/>
    <w:rsid w:val="00087ABB"/>
    <w:rsid w:val="000903AB"/>
    <w:rsid w:val="00090A75"/>
    <w:rsid w:val="00090A9E"/>
    <w:rsid w:val="00090E55"/>
    <w:rsid w:val="0009126F"/>
    <w:rsid w:val="000919BE"/>
    <w:rsid w:val="00091A91"/>
    <w:rsid w:val="00091E9A"/>
    <w:rsid w:val="00092458"/>
    <w:rsid w:val="00093035"/>
    <w:rsid w:val="000931D7"/>
    <w:rsid w:val="00093279"/>
    <w:rsid w:val="0009334D"/>
    <w:rsid w:val="000935FC"/>
    <w:rsid w:val="000937E6"/>
    <w:rsid w:val="00093CCB"/>
    <w:rsid w:val="00093F96"/>
    <w:rsid w:val="00093FD0"/>
    <w:rsid w:val="00094B32"/>
    <w:rsid w:val="00094EFC"/>
    <w:rsid w:val="00095015"/>
    <w:rsid w:val="000953ED"/>
    <w:rsid w:val="000955BD"/>
    <w:rsid w:val="00095B7F"/>
    <w:rsid w:val="00095D09"/>
    <w:rsid w:val="00095D98"/>
    <w:rsid w:val="000969A8"/>
    <w:rsid w:val="00096D7F"/>
    <w:rsid w:val="00097CEB"/>
    <w:rsid w:val="00097F03"/>
    <w:rsid w:val="000A02D5"/>
    <w:rsid w:val="000A0512"/>
    <w:rsid w:val="000A0ABB"/>
    <w:rsid w:val="000A0C9F"/>
    <w:rsid w:val="000A0D33"/>
    <w:rsid w:val="000A11E8"/>
    <w:rsid w:val="000A1671"/>
    <w:rsid w:val="000A1752"/>
    <w:rsid w:val="000A18E3"/>
    <w:rsid w:val="000A18F9"/>
    <w:rsid w:val="000A19DC"/>
    <w:rsid w:val="000A1B0B"/>
    <w:rsid w:val="000A1D18"/>
    <w:rsid w:val="000A2035"/>
    <w:rsid w:val="000A2649"/>
    <w:rsid w:val="000A27D4"/>
    <w:rsid w:val="000A31A8"/>
    <w:rsid w:val="000A34E1"/>
    <w:rsid w:val="000A3AF4"/>
    <w:rsid w:val="000A4143"/>
    <w:rsid w:val="000A4517"/>
    <w:rsid w:val="000A454D"/>
    <w:rsid w:val="000A546D"/>
    <w:rsid w:val="000A5587"/>
    <w:rsid w:val="000A5CAC"/>
    <w:rsid w:val="000A5F8D"/>
    <w:rsid w:val="000A5FB0"/>
    <w:rsid w:val="000A6078"/>
    <w:rsid w:val="000A7403"/>
    <w:rsid w:val="000A7E00"/>
    <w:rsid w:val="000B05ED"/>
    <w:rsid w:val="000B0951"/>
    <w:rsid w:val="000B0F7E"/>
    <w:rsid w:val="000B150C"/>
    <w:rsid w:val="000B16D0"/>
    <w:rsid w:val="000B22B3"/>
    <w:rsid w:val="000B2571"/>
    <w:rsid w:val="000B286A"/>
    <w:rsid w:val="000B33E1"/>
    <w:rsid w:val="000B3968"/>
    <w:rsid w:val="000B3B7F"/>
    <w:rsid w:val="000B3C06"/>
    <w:rsid w:val="000B3CB9"/>
    <w:rsid w:val="000B570B"/>
    <w:rsid w:val="000B5BCA"/>
    <w:rsid w:val="000B5C6C"/>
    <w:rsid w:val="000B5E49"/>
    <w:rsid w:val="000B5E57"/>
    <w:rsid w:val="000B6073"/>
    <w:rsid w:val="000B653D"/>
    <w:rsid w:val="000B67A5"/>
    <w:rsid w:val="000B6813"/>
    <w:rsid w:val="000B6FE1"/>
    <w:rsid w:val="000B7B1C"/>
    <w:rsid w:val="000B7C63"/>
    <w:rsid w:val="000C062E"/>
    <w:rsid w:val="000C080B"/>
    <w:rsid w:val="000C0B34"/>
    <w:rsid w:val="000C114F"/>
    <w:rsid w:val="000C12DA"/>
    <w:rsid w:val="000C15DF"/>
    <w:rsid w:val="000C1681"/>
    <w:rsid w:val="000C190F"/>
    <w:rsid w:val="000C1E31"/>
    <w:rsid w:val="000C1F23"/>
    <w:rsid w:val="000C242E"/>
    <w:rsid w:val="000C3B2B"/>
    <w:rsid w:val="000C3C4A"/>
    <w:rsid w:val="000C3CAE"/>
    <w:rsid w:val="000C4312"/>
    <w:rsid w:val="000C4698"/>
    <w:rsid w:val="000C4C8C"/>
    <w:rsid w:val="000C4D96"/>
    <w:rsid w:val="000C5309"/>
    <w:rsid w:val="000C5738"/>
    <w:rsid w:val="000C6A9A"/>
    <w:rsid w:val="000C6B27"/>
    <w:rsid w:val="000C700A"/>
    <w:rsid w:val="000C7909"/>
    <w:rsid w:val="000C7960"/>
    <w:rsid w:val="000C7B39"/>
    <w:rsid w:val="000D0056"/>
    <w:rsid w:val="000D03DA"/>
    <w:rsid w:val="000D0C43"/>
    <w:rsid w:val="000D0F01"/>
    <w:rsid w:val="000D0FDF"/>
    <w:rsid w:val="000D103F"/>
    <w:rsid w:val="000D2208"/>
    <w:rsid w:val="000D28FD"/>
    <w:rsid w:val="000D3252"/>
    <w:rsid w:val="000D3522"/>
    <w:rsid w:val="000D3E73"/>
    <w:rsid w:val="000D4440"/>
    <w:rsid w:val="000D45EB"/>
    <w:rsid w:val="000D4605"/>
    <w:rsid w:val="000D4797"/>
    <w:rsid w:val="000D492F"/>
    <w:rsid w:val="000D4D67"/>
    <w:rsid w:val="000D5018"/>
    <w:rsid w:val="000D5051"/>
    <w:rsid w:val="000D5128"/>
    <w:rsid w:val="000D588C"/>
    <w:rsid w:val="000D5971"/>
    <w:rsid w:val="000D610D"/>
    <w:rsid w:val="000D68C0"/>
    <w:rsid w:val="000D75BE"/>
    <w:rsid w:val="000D7A15"/>
    <w:rsid w:val="000D7A4F"/>
    <w:rsid w:val="000D7F5C"/>
    <w:rsid w:val="000E0C38"/>
    <w:rsid w:val="000E1065"/>
    <w:rsid w:val="000E1BA0"/>
    <w:rsid w:val="000E318D"/>
    <w:rsid w:val="000E38B5"/>
    <w:rsid w:val="000E39CC"/>
    <w:rsid w:val="000E3A33"/>
    <w:rsid w:val="000E4521"/>
    <w:rsid w:val="000E49FC"/>
    <w:rsid w:val="000E4D01"/>
    <w:rsid w:val="000E4F7E"/>
    <w:rsid w:val="000E51FD"/>
    <w:rsid w:val="000E5409"/>
    <w:rsid w:val="000E5545"/>
    <w:rsid w:val="000E591F"/>
    <w:rsid w:val="000E5AD1"/>
    <w:rsid w:val="000E5DCD"/>
    <w:rsid w:val="000E5E26"/>
    <w:rsid w:val="000E606E"/>
    <w:rsid w:val="000E6560"/>
    <w:rsid w:val="000E6D8D"/>
    <w:rsid w:val="000E6DB3"/>
    <w:rsid w:val="000E6E22"/>
    <w:rsid w:val="000E6E3E"/>
    <w:rsid w:val="000E70FD"/>
    <w:rsid w:val="000E75D7"/>
    <w:rsid w:val="000E78A6"/>
    <w:rsid w:val="000E7A05"/>
    <w:rsid w:val="000E7A6A"/>
    <w:rsid w:val="000F0783"/>
    <w:rsid w:val="000F0BFF"/>
    <w:rsid w:val="000F0CE6"/>
    <w:rsid w:val="000F0CF3"/>
    <w:rsid w:val="000F0EDE"/>
    <w:rsid w:val="000F124D"/>
    <w:rsid w:val="000F16B3"/>
    <w:rsid w:val="000F1754"/>
    <w:rsid w:val="000F17B1"/>
    <w:rsid w:val="000F1923"/>
    <w:rsid w:val="000F1FCA"/>
    <w:rsid w:val="000F2235"/>
    <w:rsid w:val="000F3DB0"/>
    <w:rsid w:val="000F4780"/>
    <w:rsid w:val="000F47B6"/>
    <w:rsid w:val="000F4A24"/>
    <w:rsid w:val="000F5CE2"/>
    <w:rsid w:val="000F6694"/>
    <w:rsid w:val="000F66EC"/>
    <w:rsid w:val="000F6724"/>
    <w:rsid w:val="000F6E79"/>
    <w:rsid w:val="000F746F"/>
    <w:rsid w:val="000F78CF"/>
    <w:rsid w:val="000F7BCA"/>
    <w:rsid w:val="000F7BFA"/>
    <w:rsid w:val="000F7C8A"/>
    <w:rsid w:val="00100885"/>
    <w:rsid w:val="00100BD6"/>
    <w:rsid w:val="00100E0E"/>
    <w:rsid w:val="001010EC"/>
    <w:rsid w:val="00101553"/>
    <w:rsid w:val="0010220A"/>
    <w:rsid w:val="0010224E"/>
    <w:rsid w:val="00103089"/>
    <w:rsid w:val="0010318A"/>
    <w:rsid w:val="0010329E"/>
    <w:rsid w:val="001033EB"/>
    <w:rsid w:val="00103D3F"/>
    <w:rsid w:val="00104EC8"/>
    <w:rsid w:val="0010576C"/>
    <w:rsid w:val="00105C72"/>
    <w:rsid w:val="001066E2"/>
    <w:rsid w:val="00106A4B"/>
    <w:rsid w:val="0010711B"/>
    <w:rsid w:val="001076DD"/>
    <w:rsid w:val="00107796"/>
    <w:rsid w:val="0010781B"/>
    <w:rsid w:val="00110350"/>
    <w:rsid w:val="001108F0"/>
    <w:rsid w:val="00110B84"/>
    <w:rsid w:val="00110C86"/>
    <w:rsid w:val="00110EE0"/>
    <w:rsid w:val="00110FF6"/>
    <w:rsid w:val="0011120F"/>
    <w:rsid w:val="0011125B"/>
    <w:rsid w:val="0011204B"/>
    <w:rsid w:val="0011279D"/>
    <w:rsid w:val="001127FC"/>
    <w:rsid w:val="00113682"/>
    <w:rsid w:val="00113753"/>
    <w:rsid w:val="00113EF3"/>
    <w:rsid w:val="00114207"/>
    <w:rsid w:val="00114566"/>
    <w:rsid w:val="00114598"/>
    <w:rsid w:val="00114BCE"/>
    <w:rsid w:val="00114C42"/>
    <w:rsid w:val="0011552A"/>
    <w:rsid w:val="001158E6"/>
    <w:rsid w:val="00116C9A"/>
    <w:rsid w:val="00117082"/>
    <w:rsid w:val="00120582"/>
    <w:rsid w:val="0012108D"/>
    <w:rsid w:val="0012150D"/>
    <w:rsid w:val="0012198D"/>
    <w:rsid w:val="0012252C"/>
    <w:rsid w:val="001228CB"/>
    <w:rsid w:val="00122B51"/>
    <w:rsid w:val="00123394"/>
    <w:rsid w:val="001235C4"/>
    <w:rsid w:val="0012365B"/>
    <w:rsid w:val="00123F65"/>
    <w:rsid w:val="00123FB8"/>
    <w:rsid w:val="00124260"/>
    <w:rsid w:val="0012476E"/>
    <w:rsid w:val="0012522B"/>
    <w:rsid w:val="0012563D"/>
    <w:rsid w:val="0012587E"/>
    <w:rsid w:val="00126166"/>
    <w:rsid w:val="00126258"/>
    <w:rsid w:val="0012628C"/>
    <w:rsid w:val="001263FB"/>
    <w:rsid w:val="00126523"/>
    <w:rsid w:val="00126674"/>
    <w:rsid w:val="001302FF"/>
    <w:rsid w:val="00130825"/>
    <w:rsid w:val="00130AA7"/>
    <w:rsid w:val="001318AC"/>
    <w:rsid w:val="00131AF4"/>
    <w:rsid w:val="00131BC4"/>
    <w:rsid w:val="00131C98"/>
    <w:rsid w:val="00132242"/>
    <w:rsid w:val="00132248"/>
    <w:rsid w:val="00132BFB"/>
    <w:rsid w:val="00132E04"/>
    <w:rsid w:val="00132F3B"/>
    <w:rsid w:val="001331EF"/>
    <w:rsid w:val="00133248"/>
    <w:rsid w:val="0013396E"/>
    <w:rsid w:val="00133C03"/>
    <w:rsid w:val="00133D5C"/>
    <w:rsid w:val="00133E5D"/>
    <w:rsid w:val="00134E91"/>
    <w:rsid w:val="001351B3"/>
    <w:rsid w:val="00135369"/>
    <w:rsid w:val="00136223"/>
    <w:rsid w:val="00136458"/>
    <w:rsid w:val="0013645D"/>
    <w:rsid w:val="001365A4"/>
    <w:rsid w:val="001365CA"/>
    <w:rsid w:val="0013668F"/>
    <w:rsid w:val="00136C01"/>
    <w:rsid w:val="0013739E"/>
    <w:rsid w:val="0013751E"/>
    <w:rsid w:val="001376E1"/>
    <w:rsid w:val="001403F7"/>
    <w:rsid w:val="001404D8"/>
    <w:rsid w:val="00140C44"/>
    <w:rsid w:val="00141891"/>
    <w:rsid w:val="00141998"/>
    <w:rsid w:val="001419E6"/>
    <w:rsid w:val="001420D5"/>
    <w:rsid w:val="00142179"/>
    <w:rsid w:val="00142443"/>
    <w:rsid w:val="00142F7A"/>
    <w:rsid w:val="00143C11"/>
    <w:rsid w:val="00143EB5"/>
    <w:rsid w:val="00144240"/>
    <w:rsid w:val="001447D2"/>
    <w:rsid w:val="001454E5"/>
    <w:rsid w:val="00145604"/>
    <w:rsid w:val="001458CF"/>
    <w:rsid w:val="00145C7B"/>
    <w:rsid w:val="00146953"/>
    <w:rsid w:val="00150718"/>
    <w:rsid w:val="00150816"/>
    <w:rsid w:val="00150FD4"/>
    <w:rsid w:val="001513E5"/>
    <w:rsid w:val="00151C75"/>
    <w:rsid w:val="00151D76"/>
    <w:rsid w:val="001521BB"/>
    <w:rsid w:val="00153782"/>
    <w:rsid w:val="001538C2"/>
    <w:rsid w:val="00153CD7"/>
    <w:rsid w:val="00153CF8"/>
    <w:rsid w:val="0015401A"/>
    <w:rsid w:val="001544DA"/>
    <w:rsid w:val="001547FE"/>
    <w:rsid w:val="00154979"/>
    <w:rsid w:val="00154A70"/>
    <w:rsid w:val="00154E2B"/>
    <w:rsid w:val="00154E4F"/>
    <w:rsid w:val="00157EF6"/>
    <w:rsid w:val="0016055C"/>
    <w:rsid w:val="00160B39"/>
    <w:rsid w:val="00160D24"/>
    <w:rsid w:val="001612E8"/>
    <w:rsid w:val="00161615"/>
    <w:rsid w:val="0016182D"/>
    <w:rsid w:val="00161832"/>
    <w:rsid w:val="00161B6D"/>
    <w:rsid w:val="00161BA9"/>
    <w:rsid w:val="00161CC9"/>
    <w:rsid w:val="00161E21"/>
    <w:rsid w:val="00161F12"/>
    <w:rsid w:val="00162694"/>
    <w:rsid w:val="00163912"/>
    <w:rsid w:val="00163991"/>
    <w:rsid w:val="00163FDB"/>
    <w:rsid w:val="001648DA"/>
    <w:rsid w:val="00164A55"/>
    <w:rsid w:val="00164D5D"/>
    <w:rsid w:val="001652DE"/>
    <w:rsid w:val="0016538C"/>
    <w:rsid w:val="00165437"/>
    <w:rsid w:val="0016569B"/>
    <w:rsid w:val="0016591E"/>
    <w:rsid w:val="00165B2B"/>
    <w:rsid w:val="00166655"/>
    <w:rsid w:val="00166877"/>
    <w:rsid w:val="00166A60"/>
    <w:rsid w:val="00166FCA"/>
    <w:rsid w:val="001678E1"/>
    <w:rsid w:val="00167D11"/>
    <w:rsid w:val="001702A5"/>
    <w:rsid w:val="00170B79"/>
    <w:rsid w:val="001714EE"/>
    <w:rsid w:val="00171FEE"/>
    <w:rsid w:val="001725D9"/>
    <w:rsid w:val="00172D77"/>
    <w:rsid w:val="00173492"/>
    <w:rsid w:val="00173669"/>
    <w:rsid w:val="00173D5E"/>
    <w:rsid w:val="0017413B"/>
    <w:rsid w:val="001742EC"/>
    <w:rsid w:val="001743C8"/>
    <w:rsid w:val="0017495E"/>
    <w:rsid w:val="001749D1"/>
    <w:rsid w:val="00174BC3"/>
    <w:rsid w:val="00174F1D"/>
    <w:rsid w:val="00175177"/>
    <w:rsid w:val="001757EC"/>
    <w:rsid w:val="00175D7B"/>
    <w:rsid w:val="0017681A"/>
    <w:rsid w:val="00176DCB"/>
    <w:rsid w:val="00176EED"/>
    <w:rsid w:val="001771EA"/>
    <w:rsid w:val="0017721B"/>
    <w:rsid w:val="00177B54"/>
    <w:rsid w:val="00177B9B"/>
    <w:rsid w:val="00177D67"/>
    <w:rsid w:val="00177F2C"/>
    <w:rsid w:val="00180208"/>
    <w:rsid w:val="00180479"/>
    <w:rsid w:val="001810EC"/>
    <w:rsid w:val="00181D5E"/>
    <w:rsid w:val="00181D97"/>
    <w:rsid w:val="00182215"/>
    <w:rsid w:val="001823E1"/>
    <w:rsid w:val="0018277B"/>
    <w:rsid w:val="00182A90"/>
    <w:rsid w:val="00182EC4"/>
    <w:rsid w:val="00183502"/>
    <w:rsid w:val="00183DD4"/>
    <w:rsid w:val="00183E5C"/>
    <w:rsid w:val="0018463E"/>
    <w:rsid w:val="0018463F"/>
    <w:rsid w:val="00184D31"/>
    <w:rsid w:val="00185860"/>
    <w:rsid w:val="00185887"/>
    <w:rsid w:val="00185E77"/>
    <w:rsid w:val="00185F87"/>
    <w:rsid w:val="001866A3"/>
    <w:rsid w:val="0018671E"/>
    <w:rsid w:val="00186C45"/>
    <w:rsid w:val="00186F98"/>
    <w:rsid w:val="00186FDB"/>
    <w:rsid w:val="00187035"/>
    <w:rsid w:val="001877B6"/>
    <w:rsid w:val="00187B7A"/>
    <w:rsid w:val="00187F95"/>
    <w:rsid w:val="001900E2"/>
    <w:rsid w:val="001904DC"/>
    <w:rsid w:val="001907CF"/>
    <w:rsid w:val="00190E04"/>
    <w:rsid w:val="00190F76"/>
    <w:rsid w:val="001918F6"/>
    <w:rsid w:val="00191B8A"/>
    <w:rsid w:val="00191E3F"/>
    <w:rsid w:val="00191F8E"/>
    <w:rsid w:val="00192A40"/>
    <w:rsid w:val="00192C3E"/>
    <w:rsid w:val="00192CA8"/>
    <w:rsid w:val="00193CD8"/>
    <w:rsid w:val="00193E7E"/>
    <w:rsid w:val="00193F55"/>
    <w:rsid w:val="00193F90"/>
    <w:rsid w:val="001943D6"/>
    <w:rsid w:val="00194A4B"/>
    <w:rsid w:val="00194CAC"/>
    <w:rsid w:val="00195AE7"/>
    <w:rsid w:val="0019699E"/>
    <w:rsid w:val="00196C4B"/>
    <w:rsid w:val="00197A18"/>
    <w:rsid w:val="00197AE3"/>
    <w:rsid w:val="00197E1F"/>
    <w:rsid w:val="00197EA9"/>
    <w:rsid w:val="001A0538"/>
    <w:rsid w:val="001A0690"/>
    <w:rsid w:val="001A0E6A"/>
    <w:rsid w:val="001A0FA1"/>
    <w:rsid w:val="001A1F1C"/>
    <w:rsid w:val="001A22C3"/>
    <w:rsid w:val="001A2517"/>
    <w:rsid w:val="001A2697"/>
    <w:rsid w:val="001A2A4B"/>
    <w:rsid w:val="001A2EDD"/>
    <w:rsid w:val="001A2FEA"/>
    <w:rsid w:val="001A3177"/>
    <w:rsid w:val="001A33FA"/>
    <w:rsid w:val="001A347A"/>
    <w:rsid w:val="001A3580"/>
    <w:rsid w:val="001A35BD"/>
    <w:rsid w:val="001A366C"/>
    <w:rsid w:val="001A37AC"/>
    <w:rsid w:val="001A3EC0"/>
    <w:rsid w:val="001A4B2C"/>
    <w:rsid w:val="001A4DCC"/>
    <w:rsid w:val="001A4E18"/>
    <w:rsid w:val="001A500F"/>
    <w:rsid w:val="001A537E"/>
    <w:rsid w:val="001A5C7C"/>
    <w:rsid w:val="001A6078"/>
    <w:rsid w:val="001A6092"/>
    <w:rsid w:val="001A6424"/>
    <w:rsid w:val="001A6659"/>
    <w:rsid w:val="001A6E17"/>
    <w:rsid w:val="001A73B3"/>
    <w:rsid w:val="001A7C37"/>
    <w:rsid w:val="001B028C"/>
    <w:rsid w:val="001B0A57"/>
    <w:rsid w:val="001B0C4B"/>
    <w:rsid w:val="001B1502"/>
    <w:rsid w:val="001B1AC0"/>
    <w:rsid w:val="001B1CEF"/>
    <w:rsid w:val="001B2372"/>
    <w:rsid w:val="001B24CB"/>
    <w:rsid w:val="001B29FC"/>
    <w:rsid w:val="001B2A01"/>
    <w:rsid w:val="001B377B"/>
    <w:rsid w:val="001B44A8"/>
    <w:rsid w:val="001B5C2A"/>
    <w:rsid w:val="001B5CE2"/>
    <w:rsid w:val="001B60B8"/>
    <w:rsid w:val="001B6AEF"/>
    <w:rsid w:val="001B6DAE"/>
    <w:rsid w:val="001B75A4"/>
    <w:rsid w:val="001C0049"/>
    <w:rsid w:val="001C0CE4"/>
    <w:rsid w:val="001C0F9B"/>
    <w:rsid w:val="001C0FF6"/>
    <w:rsid w:val="001C1A45"/>
    <w:rsid w:val="001C24B9"/>
    <w:rsid w:val="001C270C"/>
    <w:rsid w:val="001C2811"/>
    <w:rsid w:val="001C2CF4"/>
    <w:rsid w:val="001C30EF"/>
    <w:rsid w:val="001C3201"/>
    <w:rsid w:val="001C351C"/>
    <w:rsid w:val="001C3D2B"/>
    <w:rsid w:val="001C4222"/>
    <w:rsid w:val="001C4328"/>
    <w:rsid w:val="001C437B"/>
    <w:rsid w:val="001C494F"/>
    <w:rsid w:val="001C4AF4"/>
    <w:rsid w:val="001C4C83"/>
    <w:rsid w:val="001C4E89"/>
    <w:rsid w:val="001C4EE1"/>
    <w:rsid w:val="001C5232"/>
    <w:rsid w:val="001C54A3"/>
    <w:rsid w:val="001C59F2"/>
    <w:rsid w:val="001C5A03"/>
    <w:rsid w:val="001C5D36"/>
    <w:rsid w:val="001C644C"/>
    <w:rsid w:val="001C6525"/>
    <w:rsid w:val="001C7019"/>
    <w:rsid w:val="001C711D"/>
    <w:rsid w:val="001C727A"/>
    <w:rsid w:val="001C73F4"/>
    <w:rsid w:val="001C7558"/>
    <w:rsid w:val="001C7862"/>
    <w:rsid w:val="001D0F5B"/>
    <w:rsid w:val="001D1199"/>
    <w:rsid w:val="001D1569"/>
    <w:rsid w:val="001D1728"/>
    <w:rsid w:val="001D18FC"/>
    <w:rsid w:val="001D1C3C"/>
    <w:rsid w:val="001D1CD6"/>
    <w:rsid w:val="001D1E41"/>
    <w:rsid w:val="001D1E90"/>
    <w:rsid w:val="001D2009"/>
    <w:rsid w:val="001D242F"/>
    <w:rsid w:val="001D30BA"/>
    <w:rsid w:val="001D368F"/>
    <w:rsid w:val="001D378C"/>
    <w:rsid w:val="001D43C7"/>
    <w:rsid w:val="001D4432"/>
    <w:rsid w:val="001D4598"/>
    <w:rsid w:val="001D4924"/>
    <w:rsid w:val="001D5007"/>
    <w:rsid w:val="001D5547"/>
    <w:rsid w:val="001D5A09"/>
    <w:rsid w:val="001D5C8F"/>
    <w:rsid w:val="001D6047"/>
    <w:rsid w:val="001D61C4"/>
    <w:rsid w:val="001D631D"/>
    <w:rsid w:val="001D66A3"/>
    <w:rsid w:val="001D6707"/>
    <w:rsid w:val="001D69AB"/>
    <w:rsid w:val="001D6BFF"/>
    <w:rsid w:val="001D70B7"/>
    <w:rsid w:val="001D70F4"/>
    <w:rsid w:val="001D7450"/>
    <w:rsid w:val="001D795D"/>
    <w:rsid w:val="001D7A7E"/>
    <w:rsid w:val="001D7DC9"/>
    <w:rsid w:val="001D7DE7"/>
    <w:rsid w:val="001E0673"/>
    <w:rsid w:val="001E0AA0"/>
    <w:rsid w:val="001E11C4"/>
    <w:rsid w:val="001E12BB"/>
    <w:rsid w:val="001E1330"/>
    <w:rsid w:val="001E1439"/>
    <w:rsid w:val="001E16FE"/>
    <w:rsid w:val="001E1CDF"/>
    <w:rsid w:val="001E2475"/>
    <w:rsid w:val="001E2AD9"/>
    <w:rsid w:val="001E35C7"/>
    <w:rsid w:val="001E385B"/>
    <w:rsid w:val="001E4093"/>
    <w:rsid w:val="001E4627"/>
    <w:rsid w:val="001E5100"/>
    <w:rsid w:val="001E5481"/>
    <w:rsid w:val="001E5977"/>
    <w:rsid w:val="001E5A6B"/>
    <w:rsid w:val="001E5AFE"/>
    <w:rsid w:val="001E5CFB"/>
    <w:rsid w:val="001E6E8B"/>
    <w:rsid w:val="001E7A31"/>
    <w:rsid w:val="001E7B4A"/>
    <w:rsid w:val="001E7D02"/>
    <w:rsid w:val="001F034E"/>
    <w:rsid w:val="001F0A1D"/>
    <w:rsid w:val="001F103F"/>
    <w:rsid w:val="001F1275"/>
    <w:rsid w:val="001F1715"/>
    <w:rsid w:val="001F172D"/>
    <w:rsid w:val="001F194D"/>
    <w:rsid w:val="001F2BDF"/>
    <w:rsid w:val="001F2D7C"/>
    <w:rsid w:val="001F2FB1"/>
    <w:rsid w:val="001F36DD"/>
    <w:rsid w:val="001F389C"/>
    <w:rsid w:val="001F3B19"/>
    <w:rsid w:val="001F43F4"/>
    <w:rsid w:val="001F440C"/>
    <w:rsid w:val="001F477D"/>
    <w:rsid w:val="001F5B28"/>
    <w:rsid w:val="001F5EB8"/>
    <w:rsid w:val="001F608C"/>
    <w:rsid w:val="001F6F64"/>
    <w:rsid w:val="001F71A6"/>
    <w:rsid w:val="001F7556"/>
    <w:rsid w:val="001F7913"/>
    <w:rsid w:val="002005E2"/>
    <w:rsid w:val="00200A71"/>
    <w:rsid w:val="00200C9D"/>
    <w:rsid w:val="00201C55"/>
    <w:rsid w:val="00201CBF"/>
    <w:rsid w:val="002022BE"/>
    <w:rsid w:val="00203A0B"/>
    <w:rsid w:val="00203E60"/>
    <w:rsid w:val="00204C27"/>
    <w:rsid w:val="00204E11"/>
    <w:rsid w:val="002059ED"/>
    <w:rsid w:val="00205C0C"/>
    <w:rsid w:val="00206ADB"/>
    <w:rsid w:val="00206EBB"/>
    <w:rsid w:val="002073AC"/>
    <w:rsid w:val="002078B9"/>
    <w:rsid w:val="00207C5C"/>
    <w:rsid w:val="0021021A"/>
    <w:rsid w:val="0021056D"/>
    <w:rsid w:val="00210718"/>
    <w:rsid w:val="00210C43"/>
    <w:rsid w:val="00210D26"/>
    <w:rsid w:val="00210EF8"/>
    <w:rsid w:val="0021124A"/>
    <w:rsid w:val="002112BA"/>
    <w:rsid w:val="002113D6"/>
    <w:rsid w:val="00211681"/>
    <w:rsid w:val="002116EC"/>
    <w:rsid w:val="002116F5"/>
    <w:rsid w:val="00211CF8"/>
    <w:rsid w:val="00211E7C"/>
    <w:rsid w:val="00212182"/>
    <w:rsid w:val="0021218D"/>
    <w:rsid w:val="00212413"/>
    <w:rsid w:val="00212901"/>
    <w:rsid w:val="00212CF3"/>
    <w:rsid w:val="00213466"/>
    <w:rsid w:val="002139D3"/>
    <w:rsid w:val="00213B08"/>
    <w:rsid w:val="00213B8D"/>
    <w:rsid w:val="00213C56"/>
    <w:rsid w:val="002146A6"/>
    <w:rsid w:val="00214888"/>
    <w:rsid w:val="002154BA"/>
    <w:rsid w:val="00215772"/>
    <w:rsid w:val="00215CBE"/>
    <w:rsid w:val="00215DF6"/>
    <w:rsid w:val="002160F0"/>
    <w:rsid w:val="002167A7"/>
    <w:rsid w:val="00216814"/>
    <w:rsid w:val="00216A80"/>
    <w:rsid w:val="00216F1A"/>
    <w:rsid w:val="00216F6F"/>
    <w:rsid w:val="00217CC2"/>
    <w:rsid w:val="00217CE6"/>
    <w:rsid w:val="00221549"/>
    <w:rsid w:val="00221631"/>
    <w:rsid w:val="00222003"/>
    <w:rsid w:val="0022226A"/>
    <w:rsid w:val="002223EA"/>
    <w:rsid w:val="00223110"/>
    <w:rsid w:val="0022370F"/>
    <w:rsid w:val="002237E8"/>
    <w:rsid w:val="00223EAA"/>
    <w:rsid w:val="002258DF"/>
    <w:rsid w:val="0022649A"/>
    <w:rsid w:val="002267B0"/>
    <w:rsid w:val="00226DAD"/>
    <w:rsid w:val="002275E0"/>
    <w:rsid w:val="0022783C"/>
    <w:rsid w:val="002278C9"/>
    <w:rsid w:val="00230192"/>
    <w:rsid w:val="00230356"/>
    <w:rsid w:val="002305C7"/>
    <w:rsid w:val="00230B7C"/>
    <w:rsid w:val="00232492"/>
    <w:rsid w:val="002328B0"/>
    <w:rsid w:val="002330C3"/>
    <w:rsid w:val="0023323E"/>
    <w:rsid w:val="0023391C"/>
    <w:rsid w:val="00233C54"/>
    <w:rsid w:val="00233CF6"/>
    <w:rsid w:val="002342B6"/>
    <w:rsid w:val="00234440"/>
    <w:rsid w:val="0023574F"/>
    <w:rsid w:val="00235D72"/>
    <w:rsid w:val="0023685A"/>
    <w:rsid w:val="002370D3"/>
    <w:rsid w:val="0023713F"/>
    <w:rsid w:val="0023720D"/>
    <w:rsid w:val="002376C9"/>
    <w:rsid w:val="0023787C"/>
    <w:rsid w:val="0023792C"/>
    <w:rsid w:val="00237CB8"/>
    <w:rsid w:val="00237D01"/>
    <w:rsid w:val="00240011"/>
    <w:rsid w:val="00240125"/>
    <w:rsid w:val="00240266"/>
    <w:rsid w:val="00240914"/>
    <w:rsid w:val="00240917"/>
    <w:rsid w:val="00240E01"/>
    <w:rsid w:val="00240E1F"/>
    <w:rsid w:val="00241150"/>
    <w:rsid w:val="00241431"/>
    <w:rsid w:val="0024184C"/>
    <w:rsid w:val="0024199B"/>
    <w:rsid w:val="00241D81"/>
    <w:rsid w:val="00242245"/>
    <w:rsid w:val="002435AB"/>
    <w:rsid w:val="002436C3"/>
    <w:rsid w:val="0024374E"/>
    <w:rsid w:val="00243980"/>
    <w:rsid w:val="00244062"/>
    <w:rsid w:val="00244D15"/>
    <w:rsid w:val="002453DD"/>
    <w:rsid w:val="00245524"/>
    <w:rsid w:val="0024565B"/>
    <w:rsid w:val="00245704"/>
    <w:rsid w:val="00245868"/>
    <w:rsid w:val="00245BFA"/>
    <w:rsid w:val="00245CE8"/>
    <w:rsid w:val="00245D28"/>
    <w:rsid w:val="002460C5"/>
    <w:rsid w:val="00246324"/>
    <w:rsid w:val="002465AA"/>
    <w:rsid w:val="00246724"/>
    <w:rsid w:val="002475FC"/>
    <w:rsid w:val="00247D23"/>
    <w:rsid w:val="002500C3"/>
    <w:rsid w:val="002502C4"/>
    <w:rsid w:val="00250777"/>
    <w:rsid w:val="00250794"/>
    <w:rsid w:val="002516CA"/>
    <w:rsid w:val="00251A65"/>
    <w:rsid w:val="002520BD"/>
    <w:rsid w:val="0025281B"/>
    <w:rsid w:val="00252A48"/>
    <w:rsid w:val="00253399"/>
    <w:rsid w:val="00253701"/>
    <w:rsid w:val="002537B5"/>
    <w:rsid w:val="00253B2E"/>
    <w:rsid w:val="00254065"/>
    <w:rsid w:val="0025426E"/>
    <w:rsid w:val="002547B6"/>
    <w:rsid w:val="00254B43"/>
    <w:rsid w:val="00254EF1"/>
    <w:rsid w:val="0025577F"/>
    <w:rsid w:val="00255959"/>
    <w:rsid w:val="0025605D"/>
    <w:rsid w:val="00256172"/>
    <w:rsid w:val="00256827"/>
    <w:rsid w:val="00256DCA"/>
    <w:rsid w:val="00256DF0"/>
    <w:rsid w:val="002571B8"/>
    <w:rsid w:val="002574E7"/>
    <w:rsid w:val="00257C76"/>
    <w:rsid w:val="00257E2D"/>
    <w:rsid w:val="00260BB5"/>
    <w:rsid w:val="00261B68"/>
    <w:rsid w:val="00261BD4"/>
    <w:rsid w:val="002627A2"/>
    <w:rsid w:val="002631CF"/>
    <w:rsid w:val="00263220"/>
    <w:rsid w:val="002632A3"/>
    <w:rsid w:val="002633BC"/>
    <w:rsid w:val="0026387E"/>
    <w:rsid w:val="00263B46"/>
    <w:rsid w:val="00263C5B"/>
    <w:rsid w:val="00263D8B"/>
    <w:rsid w:val="00264223"/>
    <w:rsid w:val="00264556"/>
    <w:rsid w:val="0026480B"/>
    <w:rsid w:val="00264B2E"/>
    <w:rsid w:val="002653FA"/>
    <w:rsid w:val="00265A58"/>
    <w:rsid w:val="00265BA9"/>
    <w:rsid w:val="002666F8"/>
    <w:rsid w:val="00266983"/>
    <w:rsid w:val="00266ABF"/>
    <w:rsid w:val="00266B58"/>
    <w:rsid w:val="00266B9B"/>
    <w:rsid w:val="00266C91"/>
    <w:rsid w:val="00266FF3"/>
    <w:rsid w:val="0026765B"/>
    <w:rsid w:val="0026781B"/>
    <w:rsid w:val="0027052A"/>
    <w:rsid w:val="0027055C"/>
    <w:rsid w:val="0027060D"/>
    <w:rsid w:val="00271629"/>
    <w:rsid w:val="00271AFB"/>
    <w:rsid w:val="00271BFE"/>
    <w:rsid w:val="00271ED3"/>
    <w:rsid w:val="002720CF"/>
    <w:rsid w:val="00272A59"/>
    <w:rsid w:val="00272D63"/>
    <w:rsid w:val="00272D69"/>
    <w:rsid w:val="00273782"/>
    <w:rsid w:val="0027382F"/>
    <w:rsid w:val="00273950"/>
    <w:rsid w:val="002739A0"/>
    <w:rsid w:val="00274369"/>
    <w:rsid w:val="0027449C"/>
    <w:rsid w:val="002745F1"/>
    <w:rsid w:val="00274C0C"/>
    <w:rsid w:val="0027501E"/>
    <w:rsid w:val="00275738"/>
    <w:rsid w:val="00276AC7"/>
    <w:rsid w:val="00277B23"/>
    <w:rsid w:val="00277F0B"/>
    <w:rsid w:val="0028082B"/>
    <w:rsid w:val="00280B50"/>
    <w:rsid w:val="00280D98"/>
    <w:rsid w:val="0028143B"/>
    <w:rsid w:val="00281685"/>
    <w:rsid w:val="00281757"/>
    <w:rsid w:val="0028183D"/>
    <w:rsid w:val="00282028"/>
    <w:rsid w:val="00282AA8"/>
    <w:rsid w:val="00282F32"/>
    <w:rsid w:val="002838F9"/>
    <w:rsid w:val="00283DEC"/>
    <w:rsid w:val="00283FD8"/>
    <w:rsid w:val="00284534"/>
    <w:rsid w:val="002848F2"/>
    <w:rsid w:val="00284AA1"/>
    <w:rsid w:val="00284DFF"/>
    <w:rsid w:val="00284EA3"/>
    <w:rsid w:val="00285160"/>
    <w:rsid w:val="002857DC"/>
    <w:rsid w:val="00285E93"/>
    <w:rsid w:val="00286078"/>
    <w:rsid w:val="002862BB"/>
    <w:rsid w:val="00286CF3"/>
    <w:rsid w:val="0029047B"/>
    <w:rsid w:val="00290A88"/>
    <w:rsid w:val="00290BA7"/>
    <w:rsid w:val="00291446"/>
    <w:rsid w:val="00291720"/>
    <w:rsid w:val="00291901"/>
    <w:rsid w:val="00291D12"/>
    <w:rsid w:val="00292883"/>
    <w:rsid w:val="00293234"/>
    <w:rsid w:val="00293343"/>
    <w:rsid w:val="0029485F"/>
    <w:rsid w:val="00295780"/>
    <w:rsid w:val="00295B88"/>
    <w:rsid w:val="0029638E"/>
    <w:rsid w:val="0029653C"/>
    <w:rsid w:val="0029680B"/>
    <w:rsid w:val="00296862"/>
    <w:rsid w:val="00296DE2"/>
    <w:rsid w:val="0029777F"/>
    <w:rsid w:val="00297FA5"/>
    <w:rsid w:val="002A0367"/>
    <w:rsid w:val="002A0619"/>
    <w:rsid w:val="002A0836"/>
    <w:rsid w:val="002A0945"/>
    <w:rsid w:val="002A0A02"/>
    <w:rsid w:val="002A0B31"/>
    <w:rsid w:val="002A0DA0"/>
    <w:rsid w:val="002A14C6"/>
    <w:rsid w:val="002A1514"/>
    <w:rsid w:val="002A1935"/>
    <w:rsid w:val="002A1AE0"/>
    <w:rsid w:val="002A265D"/>
    <w:rsid w:val="002A292D"/>
    <w:rsid w:val="002A3090"/>
    <w:rsid w:val="002A343F"/>
    <w:rsid w:val="002A39C9"/>
    <w:rsid w:val="002A3AA8"/>
    <w:rsid w:val="002A3B81"/>
    <w:rsid w:val="002A3CEF"/>
    <w:rsid w:val="002A3F04"/>
    <w:rsid w:val="002A3FE4"/>
    <w:rsid w:val="002A40F7"/>
    <w:rsid w:val="002A433F"/>
    <w:rsid w:val="002A4349"/>
    <w:rsid w:val="002A4AA5"/>
    <w:rsid w:val="002A52E7"/>
    <w:rsid w:val="002A544E"/>
    <w:rsid w:val="002A570E"/>
    <w:rsid w:val="002A6275"/>
    <w:rsid w:val="002A6C34"/>
    <w:rsid w:val="002A7094"/>
    <w:rsid w:val="002A7679"/>
    <w:rsid w:val="002B0A7A"/>
    <w:rsid w:val="002B18D2"/>
    <w:rsid w:val="002B1F6F"/>
    <w:rsid w:val="002B27DA"/>
    <w:rsid w:val="002B2A2C"/>
    <w:rsid w:val="002B30F4"/>
    <w:rsid w:val="002B34AC"/>
    <w:rsid w:val="002B39C9"/>
    <w:rsid w:val="002B3B8A"/>
    <w:rsid w:val="002B3CFD"/>
    <w:rsid w:val="002B4267"/>
    <w:rsid w:val="002B453D"/>
    <w:rsid w:val="002B4952"/>
    <w:rsid w:val="002B6E37"/>
    <w:rsid w:val="002B7801"/>
    <w:rsid w:val="002B7B8A"/>
    <w:rsid w:val="002C0081"/>
    <w:rsid w:val="002C00DD"/>
    <w:rsid w:val="002C03C6"/>
    <w:rsid w:val="002C1119"/>
    <w:rsid w:val="002C1348"/>
    <w:rsid w:val="002C174C"/>
    <w:rsid w:val="002C17E4"/>
    <w:rsid w:val="002C1890"/>
    <w:rsid w:val="002C1E5D"/>
    <w:rsid w:val="002C1F58"/>
    <w:rsid w:val="002C2079"/>
    <w:rsid w:val="002C2176"/>
    <w:rsid w:val="002C29F4"/>
    <w:rsid w:val="002C3338"/>
    <w:rsid w:val="002C34B8"/>
    <w:rsid w:val="002C37DA"/>
    <w:rsid w:val="002C3C15"/>
    <w:rsid w:val="002C3C2A"/>
    <w:rsid w:val="002C4492"/>
    <w:rsid w:val="002C49ED"/>
    <w:rsid w:val="002C4D39"/>
    <w:rsid w:val="002C4F02"/>
    <w:rsid w:val="002C4FD9"/>
    <w:rsid w:val="002C506A"/>
    <w:rsid w:val="002C539D"/>
    <w:rsid w:val="002C550B"/>
    <w:rsid w:val="002C5EF5"/>
    <w:rsid w:val="002C66DF"/>
    <w:rsid w:val="002C69DC"/>
    <w:rsid w:val="002C716B"/>
    <w:rsid w:val="002C78DF"/>
    <w:rsid w:val="002C7963"/>
    <w:rsid w:val="002C7B29"/>
    <w:rsid w:val="002C7B53"/>
    <w:rsid w:val="002C7B9D"/>
    <w:rsid w:val="002C7DF8"/>
    <w:rsid w:val="002C7E06"/>
    <w:rsid w:val="002D0672"/>
    <w:rsid w:val="002D0773"/>
    <w:rsid w:val="002D0AB8"/>
    <w:rsid w:val="002D0C5F"/>
    <w:rsid w:val="002D0E1D"/>
    <w:rsid w:val="002D0E57"/>
    <w:rsid w:val="002D1132"/>
    <w:rsid w:val="002D1228"/>
    <w:rsid w:val="002D1645"/>
    <w:rsid w:val="002D1B93"/>
    <w:rsid w:val="002D28CB"/>
    <w:rsid w:val="002D2A29"/>
    <w:rsid w:val="002D2CB2"/>
    <w:rsid w:val="002D30F8"/>
    <w:rsid w:val="002D36C3"/>
    <w:rsid w:val="002D36FB"/>
    <w:rsid w:val="002D47B6"/>
    <w:rsid w:val="002D4CCE"/>
    <w:rsid w:val="002D52FE"/>
    <w:rsid w:val="002D5FA3"/>
    <w:rsid w:val="002D6045"/>
    <w:rsid w:val="002D607D"/>
    <w:rsid w:val="002D642A"/>
    <w:rsid w:val="002D78DE"/>
    <w:rsid w:val="002D7FDC"/>
    <w:rsid w:val="002E0286"/>
    <w:rsid w:val="002E04A1"/>
    <w:rsid w:val="002E071C"/>
    <w:rsid w:val="002E0FD4"/>
    <w:rsid w:val="002E162F"/>
    <w:rsid w:val="002E16A7"/>
    <w:rsid w:val="002E1A82"/>
    <w:rsid w:val="002E1C6D"/>
    <w:rsid w:val="002E22E7"/>
    <w:rsid w:val="002E2586"/>
    <w:rsid w:val="002E2718"/>
    <w:rsid w:val="002E279D"/>
    <w:rsid w:val="002E32C6"/>
    <w:rsid w:val="002E37F6"/>
    <w:rsid w:val="002E3D89"/>
    <w:rsid w:val="002E42A1"/>
    <w:rsid w:val="002E50FE"/>
    <w:rsid w:val="002E52C9"/>
    <w:rsid w:val="002E5512"/>
    <w:rsid w:val="002E5577"/>
    <w:rsid w:val="002E5A97"/>
    <w:rsid w:val="002E608D"/>
    <w:rsid w:val="002E6289"/>
    <w:rsid w:val="002E670F"/>
    <w:rsid w:val="002E6B2E"/>
    <w:rsid w:val="002E6F59"/>
    <w:rsid w:val="002E7B73"/>
    <w:rsid w:val="002E7E4A"/>
    <w:rsid w:val="002F0D3B"/>
    <w:rsid w:val="002F1EE9"/>
    <w:rsid w:val="002F213B"/>
    <w:rsid w:val="002F220E"/>
    <w:rsid w:val="002F24B4"/>
    <w:rsid w:val="002F2BB7"/>
    <w:rsid w:val="002F2CF1"/>
    <w:rsid w:val="002F33E4"/>
    <w:rsid w:val="002F35A8"/>
    <w:rsid w:val="002F3A1E"/>
    <w:rsid w:val="002F3BB2"/>
    <w:rsid w:val="002F3E58"/>
    <w:rsid w:val="002F4679"/>
    <w:rsid w:val="002F4A6E"/>
    <w:rsid w:val="002F523C"/>
    <w:rsid w:val="002F54A0"/>
    <w:rsid w:val="002F56D6"/>
    <w:rsid w:val="002F5815"/>
    <w:rsid w:val="002F5E67"/>
    <w:rsid w:val="002F642F"/>
    <w:rsid w:val="002F647F"/>
    <w:rsid w:val="002F653D"/>
    <w:rsid w:val="002F6C23"/>
    <w:rsid w:val="003003B5"/>
    <w:rsid w:val="00300746"/>
    <w:rsid w:val="00300F5D"/>
    <w:rsid w:val="003010A9"/>
    <w:rsid w:val="003013EF"/>
    <w:rsid w:val="003014A5"/>
    <w:rsid w:val="003016AC"/>
    <w:rsid w:val="00301835"/>
    <w:rsid w:val="00301910"/>
    <w:rsid w:val="00301AAD"/>
    <w:rsid w:val="00301E19"/>
    <w:rsid w:val="0030289A"/>
    <w:rsid w:val="00302A30"/>
    <w:rsid w:val="00302DFA"/>
    <w:rsid w:val="003034A6"/>
    <w:rsid w:val="003034CA"/>
    <w:rsid w:val="003037D8"/>
    <w:rsid w:val="00303B6A"/>
    <w:rsid w:val="0030414B"/>
    <w:rsid w:val="0030446D"/>
    <w:rsid w:val="00304D25"/>
    <w:rsid w:val="00304F3D"/>
    <w:rsid w:val="00304F40"/>
    <w:rsid w:val="003050C5"/>
    <w:rsid w:val="003057DE"/>
    <w:rsid w:val="0030584D"/>
    <w:rsid w:val="00305A12"/>
    <w:rsid w:val="00306250"/>
    <w:rsid w:val="003064C8"/>
    <w:rsid w:val="00306DA4"/>
    <w:rsid w:val="00306F8F"/>
    <w:rsid w:val="00310043"/>
    <w:rsid w:val="00310276"/>
    <w:rsid w:val="0031086F"/>
    <w:rsid w:val="00310DE5"/>
    <w:rsid w:val="003113A7"/>
    <w:rsid w:val="00311410"/>
    <w:rsid w:val="00311541"/>
    <w:rsid w:val="00311771"/>
    <w:rsid w:val="00312A54"/>
    <w:rsid w:val="003132DC"/>
    <w:rsid w:val="003132F2"/>
    <w:rsid w:val="003133ED"/>
    <w:rsid w:val="00313559"/>
    <w:rsid w:val="00313FB8"/>
    <w:rsid w:val="00314126"/>
    <w:rsid w:val="003143AC"/>
    <w:rsid w:val="00314520"/>
    <w:rsid w:val="00314A9F"/>
    <w:rsid w:val="00314CEC"/>
    <w:rsid w:val="00314CF5"/>
    <w:rsid w:val="0031539A"/>
    <w:rsid w:val="00315A75"/>
    <w:rsid w:val="00315AB3"/>
    <w:rsid w:val="0031624F"/>
    <w:rsid w:val="00316408"/>
    <w:rsid w:val="003167A6"/>
    <w:rsid w:val="00316857"/>
    <w:rsid w:val="0031699C"/>
    <w:rsid w:val="0031742E"/>
    <w:rsid w:val="0031756B"/>
    <w:rsid w:val="003175B9"/>
    <w:rsid w:val="00317DD5"/>
    <w:rsid w:val="00317DDC"/>
    <w:rsid w:val="00320126"/>
    <w:rsid w:val="003205AA"/>
    <w:rsid w:val="00320B4A"/>
    <w:rsid w:val="00320DD0"/>
    <w:rsid w:val="003212A7"/>
    <w:rsid w:val="003214ED"/>
    <w:rsid w:val="00321962"/>
    <w:rsid w:val="003229F6"/>
    <w:rsid w:val="00322D1C"/>
    <w:rsid w:val="00322E5B"/>
    <w:rsid w:val="00322EC2"/>
    <w:rsid w:val="00323066"/>
    <w:rsid w:val="0032330A"/>
    <w:rsid w:val="00323357"/>
    <w:rsid w:val="00323AB5"/>
    <w:rsid w:val="00323AF1"/>
    <w:rsid w:val="00324967"/>
    <w:rsid w:val="003249EE"/>
    <w:rsid w:val="00325E6D"/>
    <w:rsid w:val="0032631D"/>
    <w:rsid w:val="00326CF4"/>
    <w:rsid w:val="003272D9"/>
    <w:rsid w:val="00327317"/>
    <w:rsid w:val="0032747E"/>
    <w:rsid w:val="00330799"/>
    <w:rsid w:val="0033083C"/>
    <w:rsid w:val="00330C74"/>
    <w:rsid w:val="003310FF"/>
    <w:rsid w:val="00331B2F"/>
    <w:rsid w:val="0033215D"/>
    <w:rsid w:val="00332464"/>
    <w:rsid w:val="0033281A"/>
    <w:rsid w:val="00332936"/>
    <w:rsid w:val="00332C5A"/>
    <w:rsid w:val="00333041"/>
    <w:rsid w:val="003335AC"/>
    <w:rsid w:val="003337B0"/>
    <w:rsid w:val="003338AD"/>
    <w:rsid w:val="00334612"/>
    <w:rsid w:val="003346DB"/>
    <w:rsid w:val="00334B89"/>
    <w:rsid w:val="00334D4B"/>
    <w:rsid w:val="00335384"/>
    <w:rsid w:val="003353D5"/>
    <w:rsid w:val="00336090"/>
    <w:rsid w:val="003368D7"/>
    <w:rsid w:val="00336A65"/>
    <w:rsid w:val="00336FF7"/>
    <w:rsid w:val="003373E3"/>
    <w:rsid w:val="00337A1E"/>
    <w:rsid w:val="00340213"/>
    <w:rsid w:val="0034059C"/>
    <w:rsid w:val="0034101D"/>
    <w:rsid w:val="00341A34"/>
    <w:rsid w:val="00341B5D"/>
    <w:rsid w:val="003420B7"/>
    <w:rsid w:val="003422F8"/>
    <w:rsid w:val="00342B5B"/>
    <w:rsid w:val="003430E7"/>
    <w:rsid w:val="00343BBC"/>
    <w:rsid w:val="00343CED"/>
    <w:rsid w:val="00343E48"/>
    <w:rsid w:val="00344292"/>
    <w:rsid w:val="00344CF6"/>
    <w:rsid w:val="0034550E"/>
    <w:rsid w:val="0034566A"/>
    <w:rsid w:val="003459AF"/>
    <w:rsid w:val="00345B8B"/>
    <w:rsid w:val="003462CD"/>
    <w:rsid w:val="003463CF"/>
    <w:rsid w:val="00346BEA"/>
    <w:rsid w:val="00346EC4"/>
    <w:rsid w:val="00350061"/>
    <w:rsid w:val="0035061F"/>
    <w:rsid w:val="00350904"/>
    <w:rsid w:val="0035102B"/>
    <w:rsid w:val="00351837"/>
    <w:rsid w:val="003526F5"/>
    <w:rsid w:val="003532F9"/>
    <w:rsid w:val="0035389E"/>
    <w:rsid w:val="00353940"/>
    <w:rsid w:val="003541F3"/>
    <w:rsid w:val="0035472C"/>
    <w:rsid w:val="00354DB7"/>
    <w:rsid w:val="003551DE"/>
    <w:rsid w:val="003561A3"/>
    <w:rsid w:val="00356253"/>
    <w:rsid w:val="00356404"/>
    <w:rsid w:val="0035674C"/>
    <w:rsid w:val="00356923"/>
    <w:rsid w:val="00356970"/>
    <w:rsid w:val="003574F8"/>
    <w:rsid w:val="0035757B"/>
    <w:rsid w:val="00357624"/>
    <w:rsid w:val="00357900"/>
    <w:rsid w:val="00357B78"/>
    <w:rsid w:val="00357BD0"/>
    <w:rsid w:val="003608B0"/>
    <w:rsid w:val="00360AE7"/>
    <w:rsid w:val="00361606"/>
    <w:rsid w:val="00361944"/>
    <w:rsid w:val="00361F00"/>
    <w:rsid w:val="00361F30"/>
    <w:rsid w:val="0036227E"/>
    <w:rsid w:val="00362407"/>
    <w:rsid w:val="0036271A"/>
    <w:rsid w:val="00362791"/>
    <w:rsid w:val="00362D2C"/>
    <w:rsid w:val="00362EC8"/>
    <w:rsid w:val="003633E9"/>
    <w:rsid w:val="0036347B"/>
    <w:rsid w:val="003634CC"/>
    <w:rsid w:val="00363587"/>
    <w:rsid w:val="003639C1"/>
    <w:rsid w:val="00363BE3"/>
    <w:rsid w:val="00363E05"/>
    <w:rsid w:val="00364838"/>
    <w:rsid w:val="00364943"/>
    <w:rsid w:val="00364A13"/>
    <w:rsid w:val="00364D9F"/>
    <w:rsid w:val="003652D9"/>
    <w:rsid w:val="00365828"/>
    <w:rsid w:val="0036679C"/>
    <w:rsid w:val="003671AF"/>
    <w:rsid w:val="00367399"/>
    <w:rsid w:val="003677EF"/>
    <w:rsid w:val="00367AB7"/>
    <w:rsid w:val="00367B04"/>
    <w:rsid w:val="0037011F"/>
    <w:rsid w:val="00371A09"/>
    <w:rsid w:val="00371A42"/>
    <w:rsid w:val="00371BD6"/>
    <w:rsid w:val="003723E5"/>
    <w:rsid w:val="003728DD"/>
    <w:rsid w:val="0037464D"/>
    <w:rsid w:val="003748DE"/>
    <w:rsid w:val="003748E8"/>
    <w:rsid w:val="00375370"/>
    <w:rsid w:val="00375D05"/>
    <w:rsid w:val="00376A60"/>
    <w:rsid w:val="00376EC4"/>
    <w:rsid w:val="00377169"/>
    <w:rsid w:val="003776E6"/>
    <w:rsid w:val="00377BA3"/>
    <w:rsid w:val="00377F50"/>
    <w:rsid w:val="00380867"/>
    <w:rsid w:val="00380969"/>
    <w:rsid w:val="00380C04"/>
    <w:rsid w:val="00380F11"/>
    <w:rsid w:val="003813FC"/>
    <w:rsid w:val="0038221B"/>
    <w:rsid w:val="00382414"/>
    <w:rsid w:val="003841E5"/>
    <w:rsid w:val="00384B66"/>
    <w:rsid w:val="003857BB"/>
    <w:rsid w:val="0038597E"/>
    <w:rsid w:val="00385DE1"/>
    <w:rsid w:val="00385E2D"/>
    <w:rsid w:val="00385F39"/>
    <w:rsid w:val="003871B9"/>
    <w:rsid w:val="00387682"/>
    <w:rsid w:val="003905F8"/>
    <w:rsid w:val="00390B84"/>
    <w:rsid w:val="00390F5E"/>
    <w:rsid w:val="00390F87"/>
    <w:rsid w:val="00391D08"/>
    <w:rsid w:val="00392055"/>
    <w:rsid w:val="00392C8D"/>
    <w:rsid w:val="00392EE0"/>
    <w:rsid w:val="003930B5"/>
    <w:rsid w:val="00393380"/>
    <w:rsid w:val="003936B8"/>
    <w:rsid w:val="00393B4E"/>
    <w:rsid w:val="00393BFD"/>
    <w:rsid w:val="003943E6"/>
    <w:rsid w:val="00394A04"/>
    <w:rsid w:val="00394ABC"/>
    <w:rsid w:val="003950F2"/>
    <w:rsid w:val="00395A73"/>
    <w:rsid w:val="00395B3E"/>
    <w:rsid w:val="00395F3A"/>
    <w:rsid w:val="00396F01"/>
    <w:rsid w:val="0039711C"/>
    <w:rsid w:val="003973D2"/>
    <w:rsid w:val="0039787F"/>
    <w:rsid w:val="00397FA1"/>
    <w:rsid w:val="003A01B8"/>
    <w:rsid w:val="003A0498"/>
    <w:rsid w:val="003A04C7"/>
    <w:rsid w:val="003A2479"/>
    <w:rsid w:val="003A2ADD"/>
    <w:rsid w:val="003A3495"/>
    <w:rsid w:val="003A3BDD"/>
    <w:rsid w:val="003A3FCC"/>
    <w:rsid w:val="003A41B8"/>
    <w:rsid w:val="003A435E"/>
    <w:rsid w:val="003A4849"/>
    <w:rsid w:val="003A4D38"/>
    <w:rsid w:val="003A4F70"/>
    <w:rsid w:val="003A4FA3"/>
    <w:rsid w:val="003A5256"/>
    <w:rsid w:val="003A52EC"/>
    <w:rsid w:val="003A53BC"/>
    <w:rsid w:val="003A54D0"/>
    <w:rsid w:val="003A553C"/>
    <w:rsid w:val="003A581E"/>
    <w:rsid w:val="003A689D"/>
    <w:rsid w:val="003A6B22"/>
    <w:rsid w:val="003A703D"/>
    <w:rsid w:val="003A7067"/>
    <w:rsid w:val="003A7B52"/>
    <w:rsid w:val="003B018D"/>
    <w:rsid w:val="003B01F6"/>
    <w:rsid w:val="003B07DA"/>
    <w:rsid w:val="003B0B38"/>
    <w:rsid w:val="003B0BCF"/>
    <w:rsid w:val="003B0D7C"/>
    <w:rsid w:val="003B1292"/>
    <w:rsid w:val="003B16E6"/>
    <w:rsid w:val="003B1A6E"/>
    <w:rsid w:val="003B1E67"/>
    <w:rsid w:val="003B1F52"/>
    <w:rsid w:val="003B28B6"/>
    <w:rsid w:val="003B2965"/>
    <w:rsid w:val="003B3009"/>
    <w:rsid w:val="003B34D2"/>
    <w:rsid w:val="003B3948"/>
    <w:rsid w:val="003B3B29"/>
    <w:rsid w:val="003B3C40"/>
    <w:rsid w:val="003B3D4B"/>
    <w:rsid w:val="003B43AD"/>
    <w:rsid w:val="003B4950"/>
    <w:rsid w:val="003B4ADF"/>
    <w:rsid w:val="003B54E3"/>
    <w:rsid w:val="003B57B9"/>
    <w:rsid w:val="003B58DC"/>
    <w:rsid w:val="003B5C9D"/>
    <w:rsid w:val="003B5E5D"/>
    <w:rsid w:val="003B68FA"/>
    <w:rsid w:val="003B6C44"/>
    <w:rsid w:val="003B6FE7"/>
    <w:rsid w:val="003B71B0"/>
    <w:rsid w:val="003B71C1"/>
    <w:rsid w:val="003B7337"/>
    <w:rsid w:val="003B73E2"/>
    <w:rsid w:val="003B7455"/>
    <w:rsid w:val="003B755F"/>
    <w:rsid w:val="003B7B0D"/>
    <w:rsid w:val="003B7B8A"/>
    <w:rsid w:val="003B7D43"/>
    <w:rsid w:val="003C06EF"/>
    <w:rsid w:val="003C0A88"/>
    <w:rsid w:val="003C0E1C"/>
    <w:rsid w:val="003C0EE9"/>
    <w:rsid w:val="003C14F5"/>
    <w:rsid w:val="003C1B69"/>
    <w:rsid w:val="003C1DBC"/>
    <w:rsid w:val="003C2516"/>
    <w:rsid w:val="003C2FBA"/>
    <w:rsid w:val="003C382A"/>
    <w:rsid w:val="003C3C99"/>
    <w:rsid w:val="003C3DFC"/>
    <w:rsid w:val="003C4059"/>
    <w:rsid w:val="003C44EC"/>
    <w:rsid w:val="003C4CAA"/>
    <w:rsid w:val="003C4D7E"/>
    <w:rsid w:val="003C5095"/>
    <w:rsid w:val="003C50FA"/>
    <w:rsid w:val="003C539E"/>
    <w:rsid w:val="003C5454"/>
    <w:rsid w:val="003C5477"/>
    <w:rsid w:val="003C61B5"/>
    <w:rsid w:val="003C61D8"/>
    <w:rsid w:val="003C6E8F"/>
    <w:rsid w:val="003C7FFD"/>
    <w:rsid w:val="003D0270"/>
    <w:rsid w:val="003D077F"/>
    <w:rsid w:val="003D08F2"/>
    <w:rsid w:val="003D0B4F"/>
    <w:rsid w:val="003D0D92"/>
    <w:rsid w:val="003D18F8"/>
    <w:rsid w:val="003D2525"/>
    <w:rsid w:val="003D2654"/>
    <w:rsid w:val="003D26EF"/>
    <w:rsid w:val="003D2B89"/>
    <w:rsid w:val="003D2FC4"/>
    <w:rsid w:val="003D3121"/>
    <w:rsid w:val="003D3239"/>
    <w:rsid w:val="003D3576"/>
    <w:rsid w:val="003D37E4"/>
    <w:rsid w:val="003D598A"/>
    <w:rsid w:val="003D5D7A"/>
    <w:rsid w:val="003D5E9D"/>
    <w:rsid w:val="003D5EA5"/>
    <w:rsid w:val="003D6289"/>
    <w:rsid w:val="003D6406"/>
    <w:rsid w:val="003D6E31"/>
    <w:rsid w:val="003D715A"/>
    <w:rsid w:val="003D78C4"/>
    <w:rsid w:val="003D7E55"/>
    <w:rsid w:val="003E004C"/>
    <w:rsid w:val="003E0570"/>
    <w:rsid w:val="003E08FF"/>
    <w:rsid w:val="003E0DA9"/>
    <w:rsid w:val="003E0E36"/>
    <w:rsid w:val="003E1280"/>
    <w:rsid w:val="003E1AAB"/>
    <w:rsid w:val="003E22A8"/>
    <w:rsid w:val="003E264D"/>
    <w:rsid w:val="003E294F"/>
    <w:rsid w:val="003E2AEA"/>
    <w:rsid w:val="003E2AEF"/>
    <w:rsid w:val="003E2CCE"/>
    <w:rsid w:val="003E371C"/>
    <w:rsid w:val="003E3A0C"/>
    <w:rsid w:val="003E4BC6"/>
    <w:rsid w:val="003E4C14"/>
    <w:rsid w:val="003E5356"/>
    <w:rsid w:val="003E5D5B"/>
    <w:rsid w:val="003E5D6F"/>
    <w:rsid w:val="003E6906"/>
    <w:rsid w:val="003E6C74"/>
    <w:rsid w:val="003E780D"/>
    <w:rsid w:val="003E7A33"/>
    <w:rsid w:val="003E7ABA"/>
    <w:rsid w:val="003E7D7B"/>
    <w:rsid w:val="003E7FCB"/>
    <w:rsid w:val="003F0628"/>
    <w:rsid w:val="003F080F"/>
    <w:rsid w:val="003F09DE"/>
    <w:rsid w:val="003F0B4E"/>
    <w:rsid w:val="003F102D"/>
    <w:rsid w:val="003F10FC"/>
    <w:rsid w:val="003F12DC"/>
    <w:rsid w:val="003F15F6"/>
    <w:rsid w:val="003F1739"/>
    <w:rsid w:val="003F192A"/>
    <w:rsid w:val="003F1C96"/>
    <w:rsid w:val="003F2FAC"/>
    <w:rsid w:val="003F33E3"/>
    <w:rsid w:val="003F44F3"/>
    <w:rsid w:val="003F5553"/>
    <w:rsid w:val="003F5863"/>
    <w:rsid w:val="003F5C71"/>
    <w:rsid w:val="003F5D11"/>
    <w:rsid w:val="003F60E9"/>
    <w:rsid w:val="003F615E"/>
    <w:rsid w:val="003F6320"/>
    <w:rsid w:val="003F65A6"/>
    <w:rsid w:val="003F6647"/>
    <w:rsid w:val="003F7406"/>
    <w:rsid w:val="003F78A7"/>
    <w:rsid w:val="00400848"/>
    <w:rsid w:val="00400EB9"/>
    <w:rsid w:val="00401113"/>
    <w:rsid w:val="00401129"/>
    <w:rsid w:val="00401391"/>
    <w:rsid w:val="0040154D"/>
    <w:rsid w:val="00401C88"/>
    <w:rsid w:val="0040205B"/>
    <w:rsid w:val="0040243A"/>
    <w:rsid w:val="00402F40"/>
    <w:rsid w:val="00403EFC"/>
    <w:rsid w:val="00404115"/>
    <w:rsid w:val="0040491F"/>
    <w:rsid w:val="00404A06"/>
    <w:rsid w:val="00404EEB"/>
    <w:rsid w:val="004054C0"/>
    <w:rsid w:val="00405C52"/>
    <w:rsid w:val="00405EBC"/>
    <w:rsid w:val="004063DA"/>
    <w:rsid w:val="004069D8"/>
    <w:rsid w:val="00406D9C"/>
    <w:rsid w:val="00406F0E"/>
    <w:rsid w:val="004102B6"/>
    <w:rsid w:val="00411265"/>
    <w:rsid w:val="004112C3"/>
    <w:rsid w:val="004113B7"/>
    <w:rsid w:val="004116B0"/>
    <w:rsid w:val="0041192E"/>
    <w:rsid w:val="00411A71"/>
    <w:rsid w:val="004124C2"/>
    <w:rsid w:val="00412798"/>
    <w:rsid w:val="004129A7"/>
    <w:rsid w:val="00412EBB"/>
    <w:rsid w:val="004130A8"/>
    <w:rsid w:val="0041366D"/>
    <w:rsid w:val="00413E30"/>
    <w:rsid w:val="00413E81"/>
    <w:rsid w:val="00413EB3"/>
    <w:rsid w:val="00414371"/>
    <w:rsid w:val="004149B5"/>
    <w:rsid w:val="00415048"/>
    <w:rsid w:val="00415310"/>
    <w:rsid w:val="00415684"/>
    <w:rsid w:val="004160EA"/>
    <w:rsid w:val="00416412"/>
    <w:rsid w:val="0041688F"/>
    <w:rsid w:val="00416B63"/>
    <w:rsid w:val="00416E19"/>
    <w:rsid w:val="00417579"/>
    <w:rsid w:val="00417F4B"/>
    <w:rsid w:val="00420B95"/>
    <w:rsid w:val="00420BBE"/>
    <w:rsid w:val="00420DBF"/>
    <w:rsid w:val="004219DB"/>
    <w:rsid w:val="00422858"/>
    <w:rsid w:val="00422D07"/>
    <w:rsid w:val="00424BD3"/>
    <w:rsid w:val="00425074"/>
    <w:rsid w:val="004255F5"/>
    <w:rsid w:val="00426458"/>
    <w:rsid w:val="0042692E"/>
    <w:rsid w:val="004272BC"/>
    <w:rsid w:val="00427463"/>
    <w:rsid w:val="00427B09"/>
    <w:rsid w:val="00430780"/>
    <w:rsid w:val="00430986"/>
    <w:rsid w:val="00430ACE"/>
    <w:rsid w:val="00430C72"/>
    <w:rsid w:val="00430CFC"/>
    <w:rsid w:val="00430DC4"/>
    <w:rsid w:val="00430F34"/>
    <w:rsid w:val="0043143A"/>
    <w:rsid w:val="0043153F"/>
    <w:rsid w:val="00432824"/>
    <w:rsid w:val="00432AF5"/>
    <w:rsid w:val="004331FE"/>
    <w:rsid w:val="0043339B"/>
    <w:rsid w:val="0043363D"/>
    <w:rsid w:val="00434604"/>
    <w:rsid w:val="00434A43"/>
    <w:rsid w:val="004351EA"/>
    <w:rsid w:val="0043521A"/>
    <w:rsid w:val="00435245"/>
    <w:rsid w:val="004353B6"/>
    <w:rsid w:val="00435724"/>
    <w:rsid w:val="00435CF3"/>
    <w:rsid w:val="00436174"/>
    <w:rsid w:val="004368EF"/>
    <w:rsid w:val="00436CC4"/>
    <w:rsid w:val="00436E91"/>
    <w:rsid w:val="00436F36"/>
    <w:rsid w:val="0043743B"/>
    <w:rsid w:val="00440513"/>
    <w:rsid w:val="004409CB"/>
    <w:rsid w:val="004409EF"/>
    <w:rsid w:val="00440BE6"/>
    <w:rsid w:val="00441293"/>
    <w:rsid w:val="0044166E"/>
    <w:rsid w:val="004419CA"/>
    <w:rsid w:val="00441B80"/>
    <w:rsid w:val="00442396"/>
    <w:rsid w:val="00442541"/>
    <w:rsid w:val="00442DDC"/>
    <w:rsid w:val="004434D2"/>
    <w:rsid w:val="00443750"/>
    <w:rsid w:val="0044431D"/>
    <w:rsid w:val="00444F3C"/>
    <w:rsid w:val="00445171"/>
    <w:rsid w:val="00445504"/>
    <w:rsid w:val="0044558B"/>
    <w:rsid w:val="00445D37"/>
    <w:rsid w:val="00445EE6"/>
    <w:rsid w:val="00446339"/>
    <w:rsid w:val="004468CD"/>
    <w:rsid w:val="00447327"/>
    <w:rsid w:val="00447A75"/>
    <w:rsid w:val="004501FB"/>
    <w:rsid w:val="0045145B"/>
    <w:rsid w:val="00451AFC"/>
    <w:rsid w:val="004522C9"/>
    <w:rsid w:val="00452C7C"/>
    <w:rsid w:val="00452CE8"/>
    <w:rsid w:val="00452D7B"/>
    <w:rsid w:val="0045375B"/>
    <w:rsid w:val="0045415D"/>
    <w:rsid w:val="004542F9"/>
    <w:rsid w:val="00454896"/>
    <w:rsid w:val="00454AAA"/>
    <w:rsid w:val="00454BDF"/>
    <w:rsid w:val="00455033"/>
    <w:rsid w:val="0045508D"/>
    <w:rsid w:val="00455363"/>
    <w:rsid w:val="00455784"/>
    <w:rsid w:val="004558BA"/>
    <w:rsid w:val="0045597F"/>
    <w:rsid w:val="00455B73"/>
    <w:rsid w:val="00457196"/>
    <w:rsid w:val="0045736D"/>
    <w:rsid w:val="00457A8C"/>
    <w:rsid w:val="00457ABA"/>
    <w:rsid w:val="00460108"/>
    <w:rsid w:val="00461468"/>
    <w:rsid w:val="00461768"/>
    <w:rsid w:val="004619F4"/>
    <w:rsid w:val="004624C5"/>
    <w:rsid w:val="00462A71"/>
    <w:rsid w:val="00462C44"/>
    <w:rsid w:val="00462D32"/>
    <w:rsid w:val="004639C7"/>
    <w:rsid w:val="00464057"/>
    <w:rsid w:val="00464D71"/>
    <w:rsid w:val="0046556C"/>
    <w:rsid w:val="00465597"/>
    <w:rsid w:val="00465A94"/>
    <w:rsid w:val="00465E90"/>
    <w:rsid w:val="0046616E"/>
    <w:rsid w:val="00466345"/>
    <w:rsid w:val="004666EE"/>
    <w:rsid w:val="004668F9"/>
    <w:rsid w:val="00466CB3"/>
    <w:rsid w:val="00467CD6"/>
    <w:rsid w:val="00467CE5"/>
    <w:rsid w:val="00467D61"/>
    <w:rsid w:val="004701C5"/>
    <w:rsid w:val="00470449"/>
    <w:rsid w:val="0047074D"/>
    <w:rsid w:val="004721E2"/>
    <w:rsid w:val="0047247A"/>
    <w:rsid w:val="004726FF"/>
    <w:rsid w:val="004729D4"/>
    <w:rsid w:val="00472B7C"/>
    <w:rsid w:val="00473598"/>
    <w:rsid w:val="00473AAB"/>
    <w:rsid w:val="00473CCF"/>
    <w:rsid w:val="00474023"/>
    <w:rsid w:val="00474860"/>
    <w:rsid w:val="00475A70"/>
    <w:rsid w:val="0047619D"/>
    <w:rsid w:val="004778D5"/>
    <w:rsid w:val="00477BAC"/>
    <w:rsid w:val="00477DE8"/>
    <w:rsid w:val="00480A48"/>
    <w:rsid w:val="00481ACA"/>
    <w:rsid w:val="00481DA4"/>
    <w:rsid w:val="004820F1"/>
    <w:rsid w:val="0048226F"/>
    <w:rsid w:val="004822E7"/>
    <w:rsid w:val="00483208"/>
    <w:rsid w:val="00483B6C"/>
    <w:rsid w:val="00483D56"/>
    <w:rsid w:val="00484212"/>
    <w:rsid w:val="004853F9"/>
    <w:rsid w:val="00485441"/>
    <w:rsid w:val="004858AE"/>
    <w:rsid w:val="00485A42"/>
    <w:rsid w:val="00485CC9"/>
    <w:rsid w:val="00485EB7"/>
    <w:rsid w:val="004861C2"/>
    <w:rsid w:val="004867E6"/>
    <w:rsid w:val="00486A6F"/>
    <w:rsid w:val="0048714B"/>
    <w:rsid w:val="00487B67"/>
    <w:rsid w:val="00487D0F"/>
    <w:rsid w:val="00487E0F"/>
    <w:rsid w:val="00487EFA"/>
    <w:rsid w:val="00490B41"/>
    <w:rsid w:val="0049130F"/>
    <w:rsid w:val="00491824"/>
    <w:rsid w:val="00491BE3"/>
    <w:rsid w:val="00491FB6"/>
    <w:rsid w:val="00491FF5"/>
    <w:rsid w:val="004923BC"/>
    <w:rsid w:val="004927D2"/>
    <w:rsid w:val="00492E07"/>
    <w:rsid w:val="00492EAD"/>
    <w:rsid w:val="004932A7"/>
    <w:rsid w:val="004935EF"/>
    <w:rsid w:val="00493A2B"/>
    <w:rsid w:val="00494277"/>
    <w:rsid w:val="00494513"/>
    <w:rsid w:val="004948EF"/>
    <w:rsid w:val="00494E7F"/>
    <w:rsid w:val="00494EA7"/>
    <w:rsid w:val="00495191"/>
    <w:rsid w:val="00495936"/>
    <w:rsid w:val="00495A43"/>
    <w:rsid w:val="00495ECE"/>
    <w:rsid w:val="00496112"/>
    <w:rsid w:val="004965AE"/>
    <w:rsid w:val="00496878"/>
    <w:rsid w:val="00497BE9"/>
    <w:rsid w:val="00497F41"/>
    <w:rsid w:val="004A01FF"/>
    <w:rsid w:val="004A0540"/>
    <w:rsid w:val="004A095B"/>
    <w:rsid w:val="004A1119"/>
    <w:rsid w:val="004A17D3"/>
    <w:rsid w:val="004A25B9"/>
    <w:rsid w:val="004A2A60"/>
    <w:rsid w:val="004A3F30"/>
    <w:rsid w:val="004A4C53"/>
    <w:rsid w:val="004A4D26"/>
    <w:rsid w:val="004A4E6B"/>
    <w:rsid w:val="004A56A7"/>
    <w:rsid w:val="004A59A3"/>
    <w:rsid w:val="004A5A90"/>
    <w:rsid w:val="004A5B66"/>
    <w:rsid w:val="004A6149"/>
    <w:rsid w:val="004A6381"/>
    <w:rsid w:val="004A7018"/>
    <w:rsid w:val="004A74FB"/>
    <w:rsid w:val="004A7519"/>
    <w:rsid w:val="004B020A"/>
    <w:rsid w:val="004B03F4"/>
    <w:rsid w:val="004B0DE8"/>
    <w:rsid w:val="004B0E7D"/>
    <w:rsid w:val="004B0E83"/>
    <w:rsid w:val="004B102C"/>
    <w:rsid w:val="004B1867"/>
    <w:rsid w:val="004B1DB5"/>
    <w:rsid w:val="004B246B"/>
    <w:rsid w:val="004B298B"/>
    <w:rsid w:val="004B2EBE"/>
    <w:rsid w:val="004B4E3D"/>
    <w:rsid w:val="004B519C"/>
    <w:rsid w:val="004B53C3"/>
    <w:rsid w:val="004B62F8"/>
    <w:rsid w:val="004B78A6"/>
    <w:rsid w:val="004B7E20"/>
    <w:rsid w:val="004C06AC"/>
    <w:rsid w:val="004C0C2D"/>
    <w:rsid w:val="004C16DB"/>
    <w:rsid w:val="004C1BE7"/>
    <w:rsid w:val="004C343D"/>
    <w:rsid w:val="004C37F4"/>
    <w:rsid w:val="004C40B2"/>
    <w:rsid w:val="004C48E7"/>
    <w:rsid w:val="004C517E"/>
    <w:rsid w:val="004C52B8"/>
    <w:rsid w:val="004C5372"/>
    <w:rsid w:val="004C5C6B"/>
    <w:rsid w:val="004C67D6"/>
    <w:rsid w:val="004C68F9"/>
    <w:rsid w:val="004C6C90"/>
    <w:rsid w:val="004C72BC"/>
    <w:rsid w:val="004C7C0B"/>
    <w:rsid w:val="004D03FC"/>
    <w:rsid w:val="004D12BF"/>
    <w:rsid w:val="004D1F9B"/>
    <w:rsid w:val="004D200D"/>
    <w:rsid w:val="004D220D"/>
    <w:rsid w:val="004D2422"/>
    <w:rsid w:val="004D2A3F"/>
    <w:rsid w:val="004D2ABC"/>
    <w:rsid w:val="004D2C8F"/>
    <w:rsid w:val="004D3146"/>
    <w:rsid w:val="004D354C"/>
    <w:rsid w:val="004D3DC9"/>
    <w:rsid w:val="004D49E4"/>
    <w:rsid w:val="004D5631"/>
    <w:rsid w:val="004D5E07"/>
    <w:rsid w:val="004D5E8A"/>
    <w:rsid w:val="004D5F0F"/>
    <w:rsid w:val="004D63A5"/>
    <w:rsid w:val="004D6D93"/>
    <w:rsid w:val="004D6DEF"/>
    <w:rsid w:val="004D6E90"/>
    <w:rsid w:val="004D72E2"/>
    <w:rsid w:val="004E0121"/>
    <w:rsid w:val="004E0A84"/>
    <w:rsid w:val="004E0DB1"/>
    <w:rsid w:val="004E0EC1"/>
    <w:rsid w:val="004E1428"/>
    <w:rsid w:val="004E14F0"/>
    <w:rsid w:val="004E295C"/>
    <w:rsid w:val="004E3188"/>
    <w:rsid w:val="004E328F"/>
    <w:rsid w:val="004E3E08"/>
    <w:rsid w:val="004E4137"/>
    <w:rsid w:val="004E43F0"/>
    <w:rsid w:val="004E498C"/>
    <w:rsid w:val="004E4BDD"/>
    <w:rsid w:val="004E4BE0"/>
    <w:rsid w:val="004E5D5F"/>
    <w:rsid w:val="004E624D"/>
    <w:rsid w:val="004E66BD"/>
    <w:rsid w:val="004E68EB"/>
    <w:rsid w:val="004E7849"/>
    <w:rsid w:val="004E7FCC"/>
    <w:rsid w:val="004F060E"/>
    <w:rsid w:val="004F1C6C"/>
    <w:rsid w:val="004F24F0"/>
    <w:rsid w:val="004F2E50"/>
    <w:rsid w:val="004F31C2"/>
    <w:rsid w:val="004F34FE"/>
    <w:rsid w:val="004F3A12"/>
    <w:rsid w:val="004F3EA0"/>
    <w:rsid w:val="004F4B8D"/>
    <w:rsid w:val="004F56E9"/>
    <w:rsid w:val="004F5942"/>
    <w:rsid w:val="004F5BC0"/>
    <w:rsid w:val="004F61DA"/>
    <w:rsid w:val="004F6719"/>
    <w:rsid w:val="004F67A0"/>
    <w:rsid w:val="004F693A"/>
    <w:rsid w:val="004F6D1C"/>
    <w:rsid w:val="004F7692"/>
    <w:rsid w:val="004F7A04"/>
    <w:rsid w:val="004F7B87"/>
    <w:rsid w:val="004F7C63"/>
    <w:rsid w:val="00500369"/>
    <w:rsid w:val="00500952"/>
    <w:rsid w:val="0050160F"/>
    <w:rsid w:val="0050249C"/>
    <w:rsid w:val="00502909"/>
    <w:rsid w:val="00502B62"/>
    <w:rsid w:val="00502DA3"/>
    <w:rsid w:val="00502FE9"/>
    <w:rsid w:val="005031C4"/>
    <w:rsid w:val="005032DE"/>
    <w:rsid w:val="00503680"/>
    <w:rsid w:val="00503844"/>
    <w:rsid w:val="00503F88"/>
    <w:rsid w:val="00504806"/>
    <w:rsid w:val="00505351"/>
    <w:rsid w:val="00505AE0"/>
    <w:rsid w:val="00506CEA"/>
    <w:rsid w:val="00507083"/>
    <w:rsid w:val="00507266"/>
    <w:rsid w:val="0050733E"/>
    <w:rsid w:val="00507358"/>
    <w:rsid w:val="0050759E"/>
    <w:rsid w:val="005075FC"/>
    <w:rsid w:val="00507A0B"/>
    <w:rsid w:val="00507AB0"/>
    <w:rsid w:val="00507E3B"/>
    <w:rsid w:val="00507FF8"/>
    <w:rsid w:val="0051033A"/>
    <w:rsid w:val="005106AF"/>
    <w:rsid w:val="00510A23"/>
    <w:rsid w:val="0051116C"/>
    <w:rsid w:val="00511918"/>
    <w:rsid w:val="0051199A"/>
    <w:rsid w:val="00511B1F"/>
    <w:rsid w:val="00512429"/>
    <w:rsid w:val="00512E1B"/>
    <w:rsid w:val="0051319B"/>
    <w:rsid w:val="00513795"/>
    <w:rsid w:val="00513BC4"/>
    <w:rsid w:val="00513D14"/>
    <w:rsid w:val="00514470"/>
    <w:rsid w:val="00514E8A"/>
    <w:rsid w:val="00515093"/>
    <w:rsid w:val="00515B43"/>
    <w:rsid w:val="005162D5"/>
    <w:rsid w:val="00516BDD"/>
    <w:rsid w:val="00516F32"/>
    <w:rsid w:val="0051718A"/>
    <w:rsid w:val="0051720B"/>
    <w:rsid w:val="00517879"/>
    <w:rsid w:val="005206F3"/>
    <w:rsid w:val="005208D6"/>
    <w:rsid w:val="00520ABB"/>
    <w:rsid w:val="005212CD"/>
    <w:rsid w:val="005215CE"/>
    <w:rsid w:val="00521D85"/>
    <w:rsid w:val="0052221A"/>
    <w:rsid w:val="00522235"/>
    <w:rsid w:val="0052247B"/>
    <w:rsid w:val="00522E76"/>
    <w:rsid w:val="0052324F"/>
    <w:rsid w:val="00523533"/>
    <w:rsid w:val="00523A80"/>
    <w:rsid w:val="00523AFA"/>
    <w:rsid w:val="005248C3"/>
    <w:rsid w:val="00524C22"/>
    <w:rsid w:val="00524FE5"/>
    <w:rsid w:val="0052510E"/>
    <w:rsid w:val="00525339"/>
    <w:rsid w:val="00525E32"/>
    <w:rsid w:val="0052687D"/>
    <w:rsid w:val="005269E1"/>
    <w:rsid w:val="00526D14"/>
    <w:rsid w:val="00526DE8"/>
    <w:rsid w:val="00526DFF"/>
    <w:rsid w:val="00527410"/>
    <w:rsid w:val="005278F1"/>
    <w:rsid w:val="00530B9F"/>
    <w:rsid w:val="00531874"/>
    <w:rsid w:val="00531A2F"/>
    <w:rsid w:val="00531DB4"/>
    <w:rsid w:val="0053338A"/>
    <w:rsid w:val="00534B5D"/>
    <w:rsid w:val="00534C12"/>
    <w:rsid w:val="0053537E"/>
    <w:rsid w:val="005354B2"/>
    <w:rsid w:val="0053585A"/>
    <w:rsid w:val="005369DF"/>
    <w:rsid w:val="00536BFB"/>
    <w:rsid w:val="00536EF7"/>
    <w:rsid w:val="00537B7F"/>
    <w:rsid w:val="00537EBE"/>
    <w:rsid w:val="00540300"/>
    <w:rsid w:val="00540320"/>
    <w:rsid w:val="005404C0"/>
    <w:rsid w:val="00541B35"/>
    <w:rsid w:val="00541CF7"/>
    <w:rsid w:val="00541D7C"/>
    <w:rsid w:val="00541FA0"/>
    <w:rsid w:val="0054333E"/>
    <w:rsid w:val="00543AB9"/>
    <w:rsid w:val="00543E9F"/>
    <w:rsid w:val="00543FD3"/>
    <w:rsid w:val="005442A5"/>
    <w:rsid w:val="00544E4C"/>
    <w:rsid w:val="005467BE"/>
    <w:rsid w:val="00546AC4"/>
    <w:rsid w:val="00546CFC"/>
    <w:rsid w:val="00547B37"/>
    <w:rsid w:val="00547C51"/>
    <w:rsid w:val="005500B3"/>
    <w:rsid w:val="00550514"/>
    <w:rsid w:val="005506B3"/>
    <w:rsid w:val="00550787"/>
    <w:rsid w:val="00550A61"/>
    <w:rsid w:val="00550B53"/>
    <w:rsid w:val="00550C61"/>
    <w:rsid w:val="0055151D"/>
    <w:rsid w:val="005515D9"/>
    <w:rsid w:val="005516E1"/>
    <w:rsid w:val="00551C36"/>
    <w:rsid w:val="00551EDE"/>
    <w:rsid w:val="005529BD"/>
    <w:rsid w:val="00552B61"/>
    <w:rsid w:val="00553179"/>
    <w:rsid w:val="0055342A"/>
    <w:rsid w:val="00553608"/>
    <w:rsid w:val="005536DA"/>
    <w:rsid w:val="00553F23"/>
    <w:rsid w:val="00553FA8"/>
    <w:rsid w:val="005540B0"/>
    <w:rsid w:val="00554A5E"/>
    <w:rsid w:val="005551E6"/>
    <w:rsid w:val="0055538D"/>
    <w:rsid w:val="005556E7"/>
    <w:rsid w:val="0055571D"/>
    <w:rsid w:val="005558E9"/>
    <w:rsid w:val="00555D93"/>
    <w:rsid w:val="00555FB0"/>
    <w:rsid w:val="00556350"/>
    <w:rsid w:val="00556696"/>
    <w:rsid w:val="00556F98"/>
    <w:rsid w:val="005570C3"/>
    <w:rsid w:val="00557E3B"/>
    <w:rsid w:val="00557F47"/>
    <w:rsid w:val="00557F59"/>
    <w:rsid w:val="00560854"/>
    <w:rsid w:val="00561090"/>
    <w:rsid w:val="005617B0"/>
    <w:rsid w:val="00561A50"/>
    <w:rsid w:val="00562E10"/>
    <w:rsid w:val="00563419"/>
    <w:rsid w:val="00563530"/>
    <w:rsid w:val="005641AB"/>
    <w:rsid w:val="00564325"/>
    <w:rsid w:val="00564787"/>
    <w:rsid w:val="005647B1"/>
    <w:rsid w:val="005649F9"/>
    <w:rsid w:val="00564FDB"/>
    <w:rsid w:val="00565645"/>
    <w:rsid w:val="00565820"/>
    <w:rsid w:val="00566825"/>
    <w:rsid w:val="00566D37"/>
    <w:rsid w:val="00567FF3"/>
    <w:rsid w:val="00571D4D"/>
    <w:rsid w:val="00571E65"/>
    <w:rsid w:val="0057266A"/>
    <w:rsid w:val="00572757"/>
    <w:rsid w:val="00572A70"/>
    <w:rsid w:val="00572B7E"/>
    <w:rsid w:val="00572D20"/>
    <w:rsid w:val="00572E11"/>
    <w:rsid w:val="00572FDB"/>
    <w:rsid w:val="00573EE5"/>
    <w:rsid w:val="00574B68"/>
    <w:rsid w:val="0057572C"/>
    <w:rsid w:val="00576719"/>
    <w:rsid w:val="005767ED"/>
    <w:rsid w:val="00576C0B"/>
    <w:rsid w:val="00576E80"/>
    <w:rsid w:val="0057720E"/>
    <w:rsid w:val="0058014D"/>
    <w:rsid w:val="0058045D"/>
    <w:rsid w:val="0058056D"/>
    <w:rsid w:val="00580A6D"/>
    <w:rsid w:val="00580E36"/>
    <w:rsid w:val="0058111E"/>
    <w:rsid w:val="0058129A"/>
    <w:rsid w:val="0058198D"/>
    <w:rsid w:val="005824B8"/>
    <w:rsid w:val="00582C27"/>
    <w:rsid w:val="00582C70"/>
    <w:rsid w:val="00583566"/>
    <w:rsid w:val="00583E36"/>
    <w:rsid w:val="00583EB1"/>
    <w:rsid w:val="00583FAA"/>
    <w:rsid w:val="005842C6"/>
    <w:rsid w:val="005845E0"/>
    <w:rsid w:val="00584602"/>
    <w:rsid w:val="00584BEE"/>
    <w:rsid w:val="005853E0"/>
    <w:rsid w:val="00585572"/>
    <w:rsid w:val="00585965"/>
    <w:rsid w:val="00586411"/>
    <w:rsid w:val="00586599"/>
    <w:rsid w:val="00586943"/>
    <w:rsid w:val="00586D11"/>
    <w:rsid w:val="00586D55"/>
    <w:rsid w:val="0058725D"/>
    <w:rsid w:val="0058753B"/>
    <w:rsid w:val="00587D27"/>
    <w:rsid w:val="005904CF"/>
    <w:rsid w:val="00590ACE"/>
    <w:rsid w:val="00591235"/>
    <w:rsid w:val="005912AD"/>
    <w:rsid w:val="0059151A"/>
    <w:rsid w:val="00591681"/>
    <w:rsid w:val="00591873"/>
    <w:rsid w:val="005918B5"/>
    <w:rsid w:val="00591A13"/>
    <w:rsid w:val="00591BA0"/>
    <w:rsid w:val="005927E4"/>
    <w:rsid w:val="00592C5F"/>
    <w:rsid w:val="00592EEA"/>
    <w:rsid w:val="00592F84"/>
    <w:rsid w:val="00592F88"/>
    <w:rsid w:val="00593C74"/>
    <w:rsid w:val="00593D66"/>
    <w:rsid w:val="005942B8"/>
    <w:rsid w:val="00594437"/>
    <w:rsid w:val="00594BBE"/>
    <w:rsid w:val="00594D9D"/>
    <w:rsid w:val="00594E4C"/>
    <w:rsid w:val="005951B2"/>
    <w:rsid w:val="005952AC"/>
    <w:rsid w:val="00595481"/>
    <w:rsid w:val="00595C1C"/>
    <w:rsid w:val="005960C3"/>
    <w:rsid w:val="005961D0"/>
    <w:rsid w:val="0059632F"/>
    <w:rsid w:val="00596DFB"/>
    <w:rsid w:val="00597168"/>
    <w:rsid w:val="0059744C"/>
    <w:rsid w:val="005976BC"/>
    <w:rsid w:val="00597B0F"/>
    <w:rsid w:val="00597BE0"/>
    <w:rsid w:val="00597CFC"/>
    <w:rsid w:val="00597F31"/>
    <w:rsid w:val="005A01B6"/>
    <w:rsid w:val="005A10CA"/>
    <w:rsid w:val="005A11AE"/>
    <w:rsid w:val="005A15D0"/>
    <w:rsid w:val="005A1608"/>
    <w:rsid w:val="005A163F"/>
    <w:rsid w:val="005A1760"/>
    <w:rsid w:val="005A1A16"/>
    <w:rsid w:val="005A1BA9"/>
    <w:rsid w:val="005A1F55"/>
    <w:rsid w:val="005A25D1"/>
    <w:rsid w:val="005A2D05"/>
    <w:rsid w:val="005A39BB"/>
    <w:rsid w:val="005A3A8B"/>
    <w:rsid w:val="005A3AE0"/>
    <w:rsid w:val="005A3BD9"/>
    <w:rsid w:val="005A4001"/>
    <w:rsid w:val="005A4091"/>
    <w:rsid w:val="005A417A"/>
    <w:rsid w:val="005A5010"/>
    <w:rsid w:val="005A5F78"/>
    <w:rsid w:val="005A6E96"/>
    <w:rsid w:val="005A726A"/>
    <w:rsid w:val="005A7327"/>
    <w:rsid w:val="005A74B0"/>
    <w:rsid w:val="005A7E47"/>
    <w:rsid w:val="005B05B2"/>
    <w:rsid w:val="005B0864"/>
    <w:rsid w:val="005B08EC"/>
    <w:rsid w:val="005B171C"/>
    <w:rsid w:val="005B175E"/>
    <w:rsid w:val="005B1C91"/>
    <w:rsid w:val="005B201B"/>
    <w:rsid w:val="005B2D62"/>
    <w:rsid w:val="005B3CAF"/>
    <w:rsid w:val="005B41CF"/>
    <w:rsid w:val="005B4B3A"/>
    <w:rsid w:val="005B4E31"/>
    <w:rsid w:val="005B4F45"/>
    <w:rsid w:val="005B5194"/>
    <w:rsid w:val="005B54F3"/>
    <w:rsid w:val="005B6038"/>
    <w:rsid w:val="005B6796"/>
    <w:rsid w:val="005B79AB"/>
    <w:rsid w:val="005B7E21"/>
    <w:rsid w:val="005C09E5"/>
    <w:rsid w:val="005C1A6B"/>
    <w:rsid w:val="005C1ACC"/>
    <w:rsid w:val="005C1DA5"/>
    <w:rsid w:val="005C1DCD"/>
    <w:rsid w:val="005C2116"/>
    <w:rsid w:val="005C24A5"/>
    <w:rsid w:val="005C3495"/>
    <w:rsid w:val="005C34EB"/>
    <w:rsid w:val="005C3EB0"/>
    <w:rsid w:val="005C4021"/>
    <w:rsid w:val="005C477F"/>
    <w:rsid w:val="005C48CD"/>
    <w:rsid w:val="005C4A21"/>
    <w:rsid w:val="005C50F7"/>
    <w:rsid w:val="005C5AF6"/>
    <w:rsid w:val="005C5D46"/>
    <w:rsid w:val="005C60E1"/>
    <w:rsid w:val="005C6294"/>
    <w:rsid w:val="005C6497"/>
    <w:rsid w:val="005C64C9"/>
    <w:rsid w:val="005C6518"/>
    <w:rsid w:val="005C7327"/>
    <w:rsid w:val="005D08E5"/>
    <w:rsid w:val="005D09C1"/>
    <w:rsid w:val="005D0CDA"/>
    <w:rsid w:val="005D1BD3"/>
    <w:rsid w:val="005D27C6"/>
    <w:rsid w:val="005D2D4B"/>
    <w:rsid w:val="005D3072"/>
    <w:rsid w:val="005D369D"/>
    <w:rsid w:val="005D397E"/>
    <w:rsid w:val="005D4145"/>
    <w:rsid w:val="005D4795"/>
    <w:rsid w:val="005D4BE7"/>
    <w:rsid w:val="005D4DD1"/>
    <w:rsid w:val="005D4F17"/>
    <w:rsid w:val="005D59EE"/>
    <w:rsid w:val="005D5D1E"/>
    <w:rsid w:val="005D5D8C"/>
    <w:rsid w:val="005D62D4"/>
    <w:rsid w:val="005D680B"/>
    <w:rsid w:val="005D6844"/>
    <w:rsid w:val="005D6E7F"/>
    <w:rsid w:val="005D74A6"/>
    <w:rsid w:val="005D75CE"/>
    <w:rsid w:val="005D7922"/>
    <w:rsid w:val="005D794B"/>
    <w:rsid w:val="005D7D97"/>
    <w:rsid w:val="005E0EB6"/>
    <w:rsid w:val="005E10D0"/>
    <w:rsid w:val="005E121A"/>
    <w:rsid w:val="005E1630"/>
    <w:rsid w:val="005E16A1"/>
    <w:rsid w:val="005E16F7"/>
    <w:rsid w:val="005E1821"/>
    <w:rsid w:val="005E1835"/>
    <w:rsid w:val="005E199F"/>
    <w:rsid w:val="005E1CA6"/>
    <w:rsid w:val="005E1CEE"/>
    <w:rsid w:val="005E22E4"/>
    <w:rsid w:val="005E2CEF"/>
    <w:rsid w:val="005E2F62"/>
    <w:rsid w:val="005E30DF"/>
    <w:rsid w:val="005E378B"/>
    <w:rsid w:val="005E391B"/>
    <w:rsid w:val="005E39A7"/>
    <w:rsid w:val="005E483B"/>
    <w:rsid w:val="005E4B49"/>
    <w:rsid w:val="005E53FF"/>
    <w:rsid w:val="005E607D"/>
    <w:rsid w:val="005E60A2"/>
    <w:rsid w:val="005E6160"/>
    <w:rsid w:val="005E6693"/>
    <w:rsid w:val="005E7825"/>
    <w:rsid w:val="005F0802"/>
    <w:rsid w:val="005F0F94"/>
    <w:rsid w:val="005F11EC"/>
    <w:rsid w:val="005F128E"/>
    <w:rsid w:val="005F16CB"/>
    <w:rsid w:val="005F23CD"/>
    <w:rsid w:val="005F2849"/>
    <w:rsid w:val="005F2DE3"/>
    <w:rsid w:val="005F3164"/>
    <w:rsid w:val="005F36B4"/>
    <w:rsid w:val="005F47AA"/>
    <w:rsid w:val="005F4A5C"/>
    <w:rsid w:val="005F4BFC"/>
    <w:rsid w:val="005F504E"/>
    <w:rsid w:val="005F50D0"/>
    <w:rsid w:val="005F52F1"/>
    <w:rsid w:val="005F567E"/>
    <w:rsid w:val="005F56B9"/>
    <w:rsid w:val="005F56C0"/>
    <w:rsid w:val="005F67C8"/>
    <w:rsid w:val="005F6EC0"/>
    <w:rsid w:val="005F70D4"/>
    <w:rsid w:val="005F79D0"/>
    <w:rsid w:val="00600BDF"/>
    <w:rsid w:val="00601073"/>
    <w:rsid w:val="00601706"/>
    <w:rsid w:val="0060172F"/>
    <w:rsid w:val="00601933"/>
    <w:rsid w:val="0060198D"/>
    <w:rsid w:val="00602375"/>
    <w:rsid w:val="0060257E"/>
    <w:rsid w:val="00602DF3"/>
    <w:rsid w:val="00602E47"/>
    <w:rsid w:val="0060365A"/>
    <w:rsid w:val="00603AFF"/>
    <w:rsid w:val="00603FDD"/>
    <w:rsid w:val="006042CA"/>
    <w:rsid w:val="00604568"/>
    <w:rsid w:val="006046B2"/>
    <w:rsid w:val="0060491E"/>
    <w:rsid w:val="00604F12"/>
    <w:rsid w:val="006056C2"/>
    <w:rsid w:val="00605819"/>
    <w:rsid w:val="006058F1"/>
    <w:rsid w:val="00606101"/>
    <w:rsid w:val="006068C8"/>
    <w:rsid w:val="00606A68"/>
    <w:rsid w:val="00606EC1"/>
    <w:rsid w:val="0060744E"/>
    <w:rsid w:val="00607486"/>
    <w:rsid w:val="00610321"/>
    <w:rsid w:val="006108DF"/>
    <w:rsid w:val="00611102"/>
    <w:rsid w:val="006115E5"/>
    <w:rsid w:val="00611C72"/>
    <w:rsid w:val="006121D2"/>
    <w:rsid w:val="00612321"/>
    <w:rsid w:val="006128F6"/>
    <w:rsid w:val="00612B3C"/>
    <w:rsid w:val="0061467E"/>
    <w:rsid w:val="006154DD"/>
    <w:rsid w:val="0061629A"/>
    <w:rsid w:val="0061657C"/>
    <w:rsid w:val="006166DE"/>
    <w:rsid w:val="0061694D"/>
    <w:rsid w:val="00616C14"/>
    <w:rsid w:val="006172FF"/>
    <w:rsid w:val="0062003B"/>
    <w:rsid w:val="00620352"/>
    <w:rsid w:val="00620D87"/>
    <w:rsid w:val="00620E27"/>
    <w:rsid w:val="006211A2"/>
    <w:rsid w:val="0062128A"/>
    <w:rsid w:val="00621B47"/>
    <w:rsid w:val="00621EE6"/>
    <w:rsid w:val="00621F9A"/>
    <w:rsid w:val="006221CB"/>
    <w:rsid w:val="0062316A"/>
    <w:rsid w:val="0062317B"/>
    <w:rsid w:val="006238B4"/>
    <w:rsid w:val="00623D89"/>
    <w:rsid w:val="00624A36"/>
    <w:rsid w:val="00624BF2"/>
    <w:rsid w:val="006256B0"/>
    <w:rsid w:val="00625735"/>
    <w:rsid w:val="006257F1"/>
    <w:rsid w:val="00625B23"/>
    <w:rsid w:val="00625C5F"/>
    <w:rsid w:val="0062608A"/>
    <w:rsid w:val="006267F0"/>
    <w:rsid w:val="00626D0B"/>
    <w:rsid w:val="00626D0E"/>
    <w:rsid w:val="006276C2"/>
    <w:rsid w:val="00627788"/>
    <w:rsid w:val="00627CB5"/>
    <w:rsid w:val="00630150"/>
    <w:rsid w:val="00630233"/>
    <w:rsid w:val="006302D6"/>
    <w:rsid w:val="00630889"/>
    <w:rsid w:val="00630CF6"/>
    <w:rsid w:val="00630D25"/>
    <w:rsid w:val="0063131D"/>
    <w:rsid w:val="00631860"/>
    <w:rsid w:val="00631873"/>
    <w:rsid w:val="0063190B"/>
    <w:rsid w:val="00631B36"/>
    <w:rsid w:val="00631BFE"/>
    <w:rsid w:val="00631C06"/>
    <w:rsid w:val="006322AD"/>
    <w:rsid w:val="0063234F"/>
    <w:rsid w:val="0063276E"/>
    <w:rsid w:val="00632DB4"/>
    <w:rsid w:val="00632EEB"/>
    <w:rsid w:val="00633077"/>
    <w:rsid w:val="0063386E"/>
    <w:rsid w:val="00633A04"/>
    <w:rsid w:val="00633CCD"/>
    <w:rsid w:val="00633CD0"/>
    <w:rsid w:val="00633E2E"/>
    <w:rsid w:val="00633E33"/>
    <w:rsid w:val="00634105"/>
    <w:rsid w:val="006342F5"/>
    <w:rsid w:val="0063460A"/>
    <w:rsid w:val="00634853"/>
    <w:rsid w:val="006359D5"/>
    <w:rsid w:val="00635C7D"/>
    <w:rsid w:val="00636081"/>
    <w:rsid w:val="006368CD"/>
    <w:rsid w:val="006368CE"/>
    <w:rsid w:val="00636C45"/>
    <w:rsid w:val="00636F9E"/>
    <w:rsid w:val="0063708C"/>
    <w:rsid w:val="0063794D"/>
    <w:rsid w:val="00637CD7"/>
    <w:rsid w:val="00637D10"/>
    <w:rsid w:val="00637EE6"/>
    <w:rsid w:val="006401E6"/>
    <w:rsid w:val="006405F1"/>
    <w:rsid w:val="00640848"/>
    <w:rsid w:val="0064092F"/>
    <w:rsid w:val="00640D44"/>
    <w:rsid w:val="00641275"/>
    <w:rsid w:val="00641B0D"/>
    <w:rsid w:val="00641E5D"/>
    <w:rsid w:val="006421BE"/>
    <w:rsid w:val="006442AA"/>
    <w:rsid w:val="00644C9B"/>
    <w:rsid w:val="00644CB1"/>
    <w:rsid w:val="00645270"/>
    <w:rsid w:val="006454C6"/>
    <w:rsid w:val="00645C13"/>
    <w:rsid w:val="00645C16"/>
    <w:rsid w:val="00645C63"/>
    <w:rsid w:val="00645DDD"/>
    <w:rsid w:val="00645F48"/>
    <w:rsid w:val="006464B4"/>
    <w:rsid w:val="00646570"/>
    <w:rsid w:val="00646A6B"/>
    <w:rsid w:val="00646A89"/>
    <w:rsid w:val="00646B91"/>
    <w:rsid w:val="00646EE9"/>
    <w:rsid w:val="00646FEE"/>
    <w:rsid w:val="006470E4"/>
    <w:rsid w:val="006472B9"/>
    <w:rsid w:val="006474DC"/>
    <w:rsid w:val="006478FE"/>
    <w:rsid w:val="006479B4"/>
    <w:rsid w:val="00650A3A"/>
    <w:rsid w:val="006510E3"/>
    <w:rsid w:val="00651B64"/>
    <w:rsid w:val="006523C9"/>
    <w:rsid w:val="00652FD2"/>
    <w:rsid w:val="006532AC"/>
    <w:rsid w:val="006533F1"/>
    <w:rsid w:val="006540B4"/>
    <w:rsid w:val="006548F6"/>
    <w:rsid w:val="006552F3"/>
    <w:rsid w:val="00655360"/>
    <w:rsid w:val="00655948"/>
    <w:rsid w:val="00655A2A"/>
    <w:rsid w:val="00655D81"/>
    <w:rsid w:val="006565E6"/>
    <w:rsid w:val="00656635"/>
    <w:rsid w:val="00656C86"/>
    <w:rsid w:val="00657154"/>
    <w:rsid w:val="00657601"/>
    <w:rsid w:val="00657D50"/>
    <w:rsid w:val="00660B98"/>
    <w:rsid w:val="00660C8A"/>
    <w:rsid w:val="006614C8"/>
    <w:rsid w:val="006615AF"/>
    <w:rsid w:val="00661731"/>
    <w:rsid w:val="006624B4"/>
    <w:rsid w:val="0066271E"/>
    <w:rsid w:val="006629CA"/>
    <w:rsid w:val="00663816"/>
    <w:rsid w:val="00663B54"/>
    <w:rsid w:val="00663DE8"/>
    <w:rsid w:val="00663FE0"/>
    <w:rsid w:val="006640AF"/>
    <w:rsid w:val="006640DB"/>
    <w:rsid w:val="0066419E"/>
    <w:rsid w:val="0066422A"/>
    <w:rsid w:val="00664DF8"/>
    <w:rsid w:val="0066535B"/>
    <w:rsid w:val="00665371"/>
    <w:rsid w:val="0066580F"/>
    <w:rsid w:val="00665868"/>
    <w:rsid w:val="00665944"/>
    <w:rsid w:val="00665DE0"/>
    <w:rsid w:val="00666648"/>
    <w:rsid w:val="006666E5"/>
    <w:rsid w:val="00666B01"/>
    <w:rsid w:val="00666E02"/>
    <w:rsid w:val="00666E8A"/>
    <w:rsid w:val="0066716D"/>
    <w:rsid w:val="0066763A"/>
    <w:rsid w:val="0067060D"/>
    <w:rsid w:val="00670632"/>
    <w:rsid w:val="0067114C"/>
    <w:rsid w:val="00671D01"/>
    <w:rsid w:val="00672407"/>
    <w:rsid w:val="006727E0"/>
    <w:rsid w:val="0067290D"/>
    <w:rsid w:val="00672B3D"/>
    <w:rsid w:val="00672C89"/>
    <w:rsid w:val="00672E07"/>
    <w:rsid w:val="00672ED4"/>
    <w:rsid w:val="0067339E"/>
    <w:rsid w:val="00673E67"/>
    <w:rsid w:val="00674408"/>
    <w:rsid w:val="006749C5"/>
    <w:rsid w:val="00674D3E"/>
    <w:rsid w:val="0067536D"/>
    <w:rsid w:val="006763D1"/>
    <w:rsid w:val="00676611"/>
    <w:rsid w:val="00676D2F"/>
    <w:rsid w:val="00676E16"/>
    <w:rsid w:val="00677448"/>
    <w:rsid w:val="006778FB"/>
    <w:rsid w:val="00677C14"/>
    <w:rsid w:val="00677F12"/>
    <w:rsid w:val="00680071"/>
    <w:rsid w:val="006803A5"/>
    <w:rsid w:val="00680952"/>
    <w:rsid w:val="00680B6D"/>
    <w:rsid w:val="00680D05"/>
    <w:rsid w:val="00680E04"/>
    <w:rsid w:val="00680E33"/>
    <w:rsid w:val="00680FB1"/>
    <w:rsid w:val="00681187"/>
    <w:rsid w:val="0068145C"/>
    <w:rsid w:val="00681699"/>
    <w:rsid w:val="00681A4E"/>
    <w:rsid w:val="0068224B"/>
    <w:rsid w:val="0068232F"/>
    <w:rsid w:val="00682615"/>
    <w:rsid w:val="00682626"/>
    <w:rsid w:val="00682F22"/>
    <w:rsid w:val="00682FEC"/>
    <w:rsid w:val="00683218"/>
    <w:rsid w:val="00683857"/>
    <w:rsid w:val="00683CAF"/>
    <w:rsid w:val="00683F9E"/>
    <w:rsid w:val="00683FC4"/>
    <w:rsid w:val="006841D8"/>
    <w:rsid w:val="006841EF"/>
    <w:rsid w:val="0068426D"/>
    <w:rsid w:val="006842C4"/>
    <w:rsid w:val="00684683"/>
    <w:rsid w:val="00684B79"/>
    <w:rsid w:val="00684F2A"/>
    <w:rsid w:val="00685367"/>
    <w:rsid w:val="00685C65"/>
    <w:rsid w:val="00685E4B"/>
    <w:rsid w:val="006861A2"/>
    <w:rsid w:val="00686680"/>
    <w:rsid w:val="0068728F"/>
    <w:rsid w:val="0068789D"/>
    <w:rsid w:val="00687A26"/>
    <w:rsid w:val="00687F94"/>
    <w:rsid w:val="0069076E"/>
    <w:rsid w:val="006908A6"/>
    <w:rsid w:val="00690907"/>
    <w:rsid w:val="00690CEC"/>
    <w:rsid w:val="00690D82"/>
    <w:rsid w:val="00690D9A"/>
    <w:rsid w:val="006913E2"/>
    <w:rsid w:val="006915EA"/>
    <w:rsid w:val="00691814"/>
    <w:rsid w:val="006918B8"/>
    <w:rsid w:val="00691BA5"/>
    <w:rsid w:val="00691C81"/>
    <w:rsid w:val="00692AF4"/>
    <w:rsid w:val="00692B7E"/>
    <w:rsid w:val="00692FC6"/>
    <w:rsid w:val="00693367"/>
    <w:rsid w:val="006933DD"/>
    <w:rsid w:val="006933EA"/>
    <w:rsid w:val="00693789"/>
    <w:rsid w:val="006937AE"/>
    <w:rsid w:val="00693C63"/>
    <w:rsid w:val="00693CBB"/>
    <w:rsid w:val="006950CD"/>
    <w:rsid w:val="00695189"/>
    <w:rsid w:val="00696151"/>
    <w:rsid w:val="006966E9"/>
    <w:rsid w:val="00697AF1"/>
    <w:rsid w:val="006A0458"/>
    <w:rsid w:val="006A05DA"/>
    <w:rsid w:val="006A1599"/>
    <w:rsid w:val="006A1BB3"/>
    <w:rsid w:val="006A215C"/>
    <w:rsid w:val="006A2880"/>
    <w:rsid w:val="006A307A"/>
    <w:rsid w:val="006A3197"/>
    <w:rsid w:val="006A3B66"/>
    <w:rsid w:val="006A3CA9"/>
    <w:rsid w:val="006A407A"/>
    <w:rsid w:val="006A4276"/>
    <w:rsid w:val="006A4574"/>
    <w:rsid w:val="006A4703"/>
    <w:rsid w:val="006A49AF"/>
    <w:rsid w:val="006A4B2E"/>
    <w:rsid w:val="006A52FF"/>
    <w:rsid w:val="006A5404"/>
    <w:rsid w:val="006A5860"/>
    <w:rsid w:val="006A5944"/>
    <w:rsid w:val="006A59C6"/>
    <w:rsid w:val="006A5F36"/>
    <w:rsid w:val="006A64CE"/>
    <w:rsid w:val="006A6706"/>
    <w:rsid w:val="006A6865"/>
    <w:rsid w:val="006A6DEE"/>
    <w:rsid w:val="006A6E4C"/>
    <w:rsid w:val="006A7B91"/>
    <w:rsid w:val="006A7D56"/>
    <w:rsid w:val="006B0C5B"/>
    <w:rsid w:val="006B0DF1"/>
    <w:rsid w:val="006B130A"/>
    <w:rsid w:val="006B1577"/>
    <w:rsid w:val="006B1848"/>
    <w:rsid w:val="006B198E"/>
    <w:rsid w:val="006B22C4"/>
    <w:rsid w:val="006B28AB"/>
    <w:rsid w:val="006B2A87"/>
    <w:rsid w:val="006B367F"/>
    <w:rsid w:val="006B383E"/>
    <w:rsid w:val="006B3996"/>
    <w:rsid w:val="006B3A4D"/>
    <w:rsid w:val="006B3A63"/>
    <w:rsid w:val="006B3C36"/>
    <w:rsid w:val="006B3D02"/>
    <w:rsid w:val="006B4222"/>
    <w:rsid w:val="006B4F10"/>
    <w:rsid w:val="006B4F6B"/>
    <w:rsid w:val="006B50B9"/>
    <w:rsid w:val="006B5185"/>
    <w:rsid w:val="006B52D7"/>
    <w:rsid w:val="006B55BA"/>
    <w:rsid w:val="006B592E"/>
    <w:rsid w:val="006B5E09"/>
    <w:rsid w:val="006B703C"/>
    <w:rsid w:val="006B7237"/>
    <w:rsid w:val="006B7647"/>
    <w:rsid w:val="006B78F3"/>
    <w:rsid w:val="006B7AE1"/>
    <w:rsid w:val="006C0282"/>
    <w:rsid w:val="006C03F0"/>
    <w:rsid w:val="006C069E"/>
    <w:rsid w:val="006C07C5"/>
    <w:rsid w:val="006C099C"/>
    <w:rsid w:val="006C0F66"/>
    <w:rsid w:val="006C14B9"/>
    <w:rsid w:val="006C1698"/>
    <w:rsid w:val="006C182B"/>
    <w:rsid w:val="006C1D0A"/>
    <w:rsid w:val="006C22D3"/>
    <w:rsid w:val="006C2D65"/>
    <w:rsid w:val="006C3213"/>
    <w:rsid w:val="006C32D3"/>
    <w:rsid w:val="006C3581"/>
    <w:rsid w:val="006C468B"/>
    <w:rsid w:val="006C4A0D"/>
    <w:rsid w:val="006C5AF4"/>
    <w:rsid w:val="006C5DC3"/>
    <w:rsid w:val="006C6121"/>
    <w:rsid w:val="006C6417"/>
    <w:rsid w:val="006C645E"/>
    <w:rsid w:val="006C6713"/>
    <w:rsid w:val="006C6885"/>
    <w:rsid w:val="006C774B"/>
    <w:rsid w:val="006D006C"/>
    <w:rsid w:val="006D0838"/>
    <w:rsid w:val="006D087A"/>
    <w:rsid w:val="006D1144"/>
    <w:rsid w:val="006D1C36"/>
    <w:rsid w:val="006D1EA3"/>
    <w:rsid w:val="006D1FEA"/>
    <w:rsid w:val="006D23E5"/>
    <w:rsid w:val="006D2519"/>
    <w:rsid w:val="006D29B5"/>
    <w:rsid w:val="006D2FA0"/>
    <w:rsid w:val="006D321F"/>
    <w:rsid w:val="006D472D"/>
    <w:rsid w:val="006D5303"/>
    <w:rsid w:val="006D573F"/>
    <w:rsid w:val="006D5938"/>
    <w:rsid w:val="006D5B55"/>
    <w:rsid w:val="006D5F4B"/>
    <w:rsid w:val="006D601E"/>
    <w:rsid w:val="006D6687"/>
    <w:rsid w:val="006D66EB"/>
    <w:rsid w:val="006D6F9B"/>
    <w:rsid w:val="006D7740"/>
    <w:rsid w:val="006D7939"/>
    <w:rsid w:val="006D7DF5"/>
    <w:rsid w:val="006E0D79"/>
    <w:rsid w:val="006E1476"/>
    <w:rsid w:val="006E156C"/>
    <w:rsid w:val="006E2BAE"/>
    <w:rsid w:val="006E3067"/>
    <w:rsid w:val="006E338D"/>
    <w:rsid w:val="006E3D73"/>
    <w:rsid w:val="006E4D9D"/>
    <w:rsid w:val="006E5023"/>
    <w:rsid w:val="006E6271"/>
    <w:rsid w:val="006E64B3"/>
    <w:rsid w:val="006E66CF"/>
    <w:rsid w:val="006E69A9"/>
    <w:rsid w:val="006E7DF3"/>
    <w:rsid w:val="006F0651"/>
    <w:rsid w:val="006F1389"/>
    <w:rsid w:val="006F15A2"/>
    <w:rsid w:val="006F1D9C"/>
    <w:rsid w:val="006F2066"/>
    <w:rsid w:val="006F2147"/>
    <w:rsid w:val="006F2412"/>
    <w:rsid w:val="006F3D73"/>
    <w:rsid w:val="006F3DF8"/>
    <w:rsid w:val="006F4750"/>
    <w:rsid w:val="006F4F9F"/>
    <w:rsid w:val="006F5460"/>
    <w:rsid w:val="006F59A9"/>
    <w:rsid w:val="006F5B56"/>
    <w:rsid w:val="006F5BB4"/>
    <w:rsid w:val="006F5F0B"/>
    <w:rsid w:val="006F603D"/>
    <w:rsid w:val="006F6748"/>
    <w:rsid w:val="006F6EF3"/>
    <w:rsid w:val="006F739F"/>
    <w:rsid w:val="006F7A49"/>
    <w:rsid w:val="007018C5"/>
    <w:rsid w:val="00701DDC"/>
    <w:rsid w:val="00701ED9"/>
    <w:rsid w:val="0070290B"/>
    <w:rsid w:val="00702E0F"/>
    <w:rsid w:val="00702FF3"/>
    <w:rsid w:val="007033D2"/>
    <w:rsid w:val="00703889"/>
    <w:rsid w:val="00703A82"/>
    <w:rsid w:val="007043CD"/>
    <w:rsid w:val="0070457F"/>
    <w:rsid w:val="00704AD9"/>
    <w:rsid w:val="00704E5D"/>
    <w:rsid w:val="00705138"/>
    <w:rsid w:val="00705254"/>
    <w:rsid w:val="007053BA"/>
    <w:rsid w:val="00707119"/>
    <w:rsid w:val="007073E9"/>
    <w:rsid w:val="0070793A"/>
    <w:rsid w:val="00707A7D"/>
    <w:rsid w:val="00707BB4"/>
    <w:rsid w:val="00707F5B"/>
    <w:rsid w:val="0071013D"/>
    <w:rsid w:val="007103A5"/>
    <w:rsid w:val="00710735"/>
    <w:rsid w:val="007107B6"/>
    <w:rsid w:val="00711530"/>
    <w:rsid w:val="00711A57"/>
    <w:rsid w:val="00711A6F"/>
    <w:rsid w:val="00711DF7"/>
    <w:rsid w:val="00711F6A"/>
    <w:rsid w:val="00712735"/>
    <w:rsid w:val="00713487"/>
    <w:rsid w:val="007142E5"/>
    <w:rsid w:val="0071480A"/>
    <w:rsid w:val="00714977"/>
    <w:rsid w:val="00714BF5"/>
    <w:rsid w:val="0071505F"/>
    <w:rsid w:val="007157AE"/>
    <w:rsid w:val="00715CB8"/>
    <w:rsid w:val="007169AD"/>
    <w:rsid w:val="00716AB6"/>
    <w:rsid w:val="00716CE8"/>
    <w:rsid w:val="00717386"/>
    <w:rsid w:val="00717494"/>
    <w:rsid w:val="007176E2"/>
    <w:rsid w:val="00717F1C"/>
    <w:rsid w:val="00720C4C"/>
    <w:rsid w:val="007212FF"/>
    <w:rsid w:val="007213A3"/>
    <w:rsid w:val="00721AD3"/>
    <w:rsid w:val="00721DA1"/>
    <w:rsid w:val="007227E5"/>
    <w:rsid w:val="00722FE2"/>
    <w:rsid w:val="007231B0"/>
    <w:rsid w:val="00723223"/>
    <w:rsid w:val="0072350F"/>
    <w:rsid w:val="0072370C"/>
    <w:rsid w:val="00723E01"/>
    <w:rsid w:val="00723F21"/>
    <w:rsid w:val="007240FD"/>
    <w:rsid w:val="00724135"/>
    <w:rsid w:val="0072466E"/>
    <w:rsid w:val="007246D5"/>
    <w:rsid w:val="00726823"/>
    <w:rsid w:val="00726899"/>
    <w:rsid w:val="00727354"/>
    <w:rsid w:val="007273C0"/>
    <w:rsid w:val="0072745D"/>
    <w:rsid w:val="007275F7"/>
    <w:rsid w:val="00727771"/>
    <w:rsid w:val="007300D9"/>
    <w:rsid w:val="00730A3F"/>
    <w:rsid w:val="00730F52"/>
    <w:rsid w:val="00731716"/>
    <w:rsid w:val="00731E6D"/>
    <w:rsid w:val="00732A3E"/>
    <w:rsid w:val="00732F57"/>
    <w:rsid w:val="00733042"/>
    <w:rsid w:val="0073335A"/>
    <w:rsid w:val="00733A49"/>
    <w:rsid w:val="00733DE3"/>
    <w:rsid w:val="00734112"/>
    <w:rsid w:val="007347B1"/>
    <w:rsid w:val="00734836"/>
    <w:rsid w:val="00734D6D"/>
    <w:rsid w:val="00735A2B"/>
    <w:rsid w:val="00735A4A"/>
    <w:rsid w:val="00736538"/>
    <w:rsid w:val="00736B1E"/>
    <w:rsid w:val="00736D7A"/>
    <w:rsid w:val="00736D94"/>
    <w:rsid w:val="007371A3"/>
    <w:rsid w:val="00737203"/>
    <w:rsid w:val="007373FF"/>
    <w:rsid w:val="007375EC"/>
    <w:rsid w:val="00737B8A"/>
    <w:rsid w:val="00740B0B"/>
    <w:rsid w:val="007414CA"/>
    <w:rsid w:val="00741CFD"/>
    <w:rsid w:val="00741D81"/>
    <w:rsid w:val="00742453"/>
    <w:rsid w:val="00742685"/>
    <w:rsid w:val="00742928"/>
    <w:rsid w:val="0074381D"/>
    <w:rsid w:val="00743CF1"/>
    <w:rsid w:val="00743F9A"/>
    <w:rsid w:val="00744019"/>
    <w:rsid w:val="0074421F"/>
    <w:rsid w:val="007443AF"/>
    <w:rsid w:val="007443BB"/>
    <w:rsid w:val="007443EA"/>
    <w:rsid w:val="00745658"/>
    <w:rsid w:val="007457FB"/>
    <w:rsid w:val="00745AF9"/>
    <w:rsid w:val="00746214"/>
    <w:rsid w:val="007470F4"/>
    <w:rsid w:val="00747258"/>
    <w:rsid w:val="00747438"/>
    <w:rsid w:val="007476D9"/>
    <w:rsid w:val="00747906"/>
    <w:rsid w:val="00747FBC"/>
    <w:rsid w:val="00750082"/>
    <w:rsid w:val="00750309"/>
    <w:rsid w:val="0075040C"/>
    <w:rsid w:val="00751047"/>
    <w:rsid w:val="0075133E"/>
    <w:rsid w:val="00751AF3"/>
    <w:rsid w:val="00751E44"/>
    <w:rsid w:val="00752ABF"/>
    <w:rsid w:val="0075302F"/>
    <w:rsid w:val="00753744"/>
    <w:rsid w:val="00753748"/>
    <w:rsid w:val="00753806"/>
    <w:rsid w:val="007552A1"/>
    <w:rsid w:val="007556A0"/>
    <w:rsid w:val="00755C20"/>
    <w:rsid w:val="00755EEE"/>
    <w:rsid w:val="0075615C"/>
    <w:rsid w:val="0075657E"/>
    <w:rsid w:val="00756720"/>
    <w:rsid w:val="00756A05"/>
    <w:rsid w:val="00756B6E"/>
    <w:rsid w:val="00756C26"/>
    <w:rsid w:val="00756D73"/>
    <w:rsid w:val="007601CA"/>
    <w:rsid w:val="00760ABB"/>
    <w:rsid w:val="00760EEE"/>
    <w:rsid w:val="007610C7"/>
    <w:rsid w:val="007614DA"/>
    <w:rsid w:val="00761831"/>
    <w:rsid w:val="00762060"/>
    <w:rsid w:val="0076291D"/>
    <w:rsid w:val="00762A69"/>
    <w:rsid w:val="00762D33"/>
    <w:rsid w:val="00762FBF"/>
    <w:rsid w:val="007630ED"/>
    <w:rsid w:val="00763355"/>
    <w:rsid w:val="007633B9"/>
    <w:rsid w:val="007640D1"/>
    <w:rsid w:val="00764212"/>
    <w:rsid w:val="007647A8"/>
    <w:rsid w:val="007650D5"/>
    <w:rsid w:val="00765515"/>
    <w:rsid w:val="007658A6"/>
    <w:rsid w:val="00765DC8"/>
    <w:rsid w:val="00765F51"/>
    <w:rsid w:val="00765FB0"/>
    <w:rsid w:val="007665FE"/>
    <w:rsid w:val="00767651"/>
    <w:rsid w:val="00767983"/>
    <w:rsid w:val="00767A9B"/>
    <w:rsid w:val="00767C41"/>
    <w:rsid w:val="00767E71"/>
    <w:rsid w:val="007702F0"/>
    <w:rsid w:val="007709FA"/>
    <w:rsid w:val="00771000"/>
    <w:rsid w:val="00771D6B"/>
    <w:rsid w:val="00771F52"/>
    <w:rsid w:val="007724DF"/>
    <w:rsid w:val="007728F3"/>
    <w:rsid w:val="00772DCE"/>
    <w:rsid w:val="00772F9B"/>
    <w:rsid w:val="00772FB3"/>
    <w:rsid w:val="007739BE"/>
    <w:rsid w:val="00773E52"/>
    <w:rsid w:val="007747CB"/>
    <w:rsid w:val="00774CA2"/>
    <w:rsid w:val="00775338"/>
    <w:rsid w:val="007753F8"/>
    <w:rsid w:val="00775B97"/>
    <w:rsid w:val="00775D43"/>
    <w:rsid w:val="00776844"/>
    <w:rsid w:val="00776C5A"/>
    <w:rsid w:val="00777A59"/>
    <w:rsid w:val="00777EC0"/>
    <w:rsid w:val="0078051C"/>
    <w:rsid w:val="007807FC"/>
    <w:rsid w:val="00780B50"/>
    <w:rsid w:val="00781368"/>
    <w:rsid w:val="007813C6"/>
    <w:rsid w:val="00781400"/>
    <w:rsid w:val="0078177E"/>
    <w:rsid w:val="00781BC7"/>
    <w:rsid w:val="00783DCD"/>
    <w:rsid w:val="00783FD4"/>
    <w:rsid w:val="00784023"/>
    <w:rsid w:val="007841FC"/>
    <w:rsid w:val="00784640"/>
    <w:rsid w:val="00784B33"/>
    <w:rsid w:val="00784D7B"/>
    <w:rsid w:val="00784EEE"/>
    <w:rsid w:val="00785357"/>
    <w:rsid w:val="00785592"/>
    <w:rsid w:val="007857B1"/>
    <w:rsid w:val="00785D05"/>
    <w:rsid w:val="00786B72"/>
    <w:rsid w:val="00786EC3"/>
    <w:rsid w:val="00787FB8"/>
    <w:rsid w:val="007904E6"/>
    <w:rsid w:val="00790D3F"/>
    <w:rsid w:val="007929C3"/>
    <w:rsid w:val="007929E5"/>
    <w:rsid w:val="00792BE1"/>
    <w:rsid w:val="007932D3"/>
    <w:rsid w:val="007936B7"/>
    <w:rsid w:val="0079375F"/>
    <w:rsid w:val="00793BC4"/>
    <w:rsid w:val="00793C73"/>
    <w:rsid w:val="0079476C"/>
    <w:rsid w:val="0079493F"/>
    <w:rsid w:val="007949E3"/>
    <w:rsid w:val="00794E58"/>
    <w:rsid w:val="00794FF3"/>
    <w:rsid w:val="00795113"/>
    <w:rsid w:val="00795753"/>
    <w:rsid w:val="00795950"/>
    <w:rsid w:val="007966D4"/>
    <w:rsid w:val="007972ED"/>
    <w:rsid w:val="007976E0"/>
    <w:rsid w:val="00797937"/>
    <w:rsid w:val="00797DF3"/>
    <w:rsid w:val="007A000D"/>
    <w:rsid w:val="007A0441"/>
    <w:rsid w:val="007A0FFC"/>
    <w:rsid w:val="007A193D"/>
    <w:rsid w:val="007A198F"/>
    <w:rsid w:val="007A1A57"/>
    <w:rsid w:val="007A23CF"/>
    <w:rsid w:val="007A2A37"/>
    <w:rsid w:val="007A2B99"/>
    <w:rsid w:val="007A2B9A"/>
    <w:rsid w:val="007A2DC4"/>
    <w:rsid w:val="007A2E06"/>
    <w:rsid w:val="007A31BA"/>
    <w:rsid w:val="007A3282"/>
    <w:rsid w:val="007A3720"/>
    <w:rsid w:val="007A3937"/>
    <w:rsid w:val="007A412F"/>
    <w:rsid w:val="007A4508"/>
    <w:rsid w:val="007A45A7"/>
    <w:rsid w:val="007A4862"/>
    <w:rsid w:val="007A5137"/>
    <w:rsid w:val="007A5194"/>
    <w:rsid w:val="007A5C9D"/>
    <w:rsid w:val="007A5CFA"/>
    <w:rsid w:val="007A61D5"/>
    <w:rsid w:val="007A691A"/>
    <w:rsid w:val="007A6CAB"/>
    <w:rsid w:val="007A715C"/>
    <w:rsid w:val="007A7258"/>
    <w:rsid w:val="007A72DC"/>
    <w:rsid w:val="007A7304"/>
    <w:rsid w:val="007B0402"/>
    <w:rsid w:val="007B126C"/>
    <w:rsid w:val="007B1805"/>
    <w:rsid w:val="007B1E34"/>
    <w:rsid w:val="007B1ECF"/>
    <w:rsid w:val="007B1FE8"/>
    <w:rsid w:val="007B21D6"/>
    <w:rsid w:val="007B2475"/>
    <w:rsid w:val="007B2B9D"/>
    <w:rsid w:val="007B30EF"/>
    <w:rsid w:val="007B413B"/>
    <w:rsid w:val="007B44F7"/>
    <w:rsid w:val="007B498E"/>
    <w:rsid w:val="007B518C"/>
    <w:rsid w:val="007B554C"/>
    <w:rsid w:val="007B5554"/>
    <w:rsid w:val="007B5C45"/>
    <w:rsid w:val="007B6D96"/>
    <w:rsid w:val="007B7208"/>
    <w:rsid w:val="007B75D2"/>
    <w:rsid w:val="007B7F43"/>
    <w:rsid w:val="007C059F"/>
    <w:rsid w:val="007C1006"/>
    <w:rsid w:val="007C1DCF"/>
    <w:rsid w:val="007C1E37"/>
    <w:rsid w:val="007C21A2"/>
    <w:rsid w:val="007C2A32"/>
    <w:rsid w:val="007C2E4A"/>
    <w:rsid w:val="007C34AF"/>
    <w:rsid w:val="007C3CB8"/>
    <w:rsid w:val="007C40EB"/>
    <w:rsid w:val="007C4664"/>
    <w:rsid w:val="007C4AC3"/>
    <w:rsid w:val="007C4B74"/>
    <w:rsid w:val="007C56CF"/>
    <w:rsid w:val="007C5D76"/>
    <w:rsid w:val="007C62A3"/>
    <w:rsid w:val="007C6322"/>
    <w:rsid w:val="007C6C71"/>
    <w:rsid w:val="007C7110"/>
    <w:rsid w:val="007D0576"/>
    <w:rsid w:val="007D0826"/>
    <w:rsid w:val="007D0895"/>
    <w:rsid w:val="007D0ACE"/>
    <w:rsid w:val="007D0AF5"/>
    <w:rsid w:val="007D1429"/>
    <w:rsid w:val="007D15F2"/>
    <w:rsid w:val="007D16B8"/>
    <w:rsid w:val="007D1C92"/>
    <w:rsid w:val="007D2701"/>
    <w:rsid w:val="007D29A3"/>
    <w:rsid w:val="007D2D83"/>
    <w:rsid w:val="007D2E61"/>
    <w:rsid w:val="007D4517"/>
    <w:rsid w:val="007D4855"/>
    <w:rsid w:val="007D4A4D"/>
    <w:rsid w:val="007D4F32"/>
    <w:rsid w:val="007D5244"/>
    <w:rsid w:val="007D5361"/>
    <w:rsid w:val="007D5BEB"/>
    <w:rsid w:val="007D5C27"/>
    <w:rsid w:val="007D5DA5"/>
    <w:rsid w:val="007D6256"/>
    <w:rsid w:val="007D63EE"/>
    <w:rsid w:val="007D6875"/>
    <w:rsid w:val="007D6B00"/>
    <w:rsid w:val="007D7377"/>
    <w:rsid w:val="007D7EB7"/>
    <w:rsid w:val="007D7F23"/>
    <w:rsid w:val="007E05C4"/>
    <w:rsid w:val="007E0E71"/>
    <w:rsid w:val="007E0EA7"/>
    <w:rsid w:val="007E0FF2"/>
    <w:rsid w:val="007E1EA1"/>
    <w:rsid w:val="007E21BE"/>
    <w:rsid w:val="007E2542"/>
    <w:rsid w:val="007E258E"/>
    <w:rsid w:val="007E26E9"/>
    <w:rsid w:val="007E33B3"/>
    <w:rsid w:val="007E377C"/>
    <w:rsid w:val="007E41F3"/>
    <w:rsid w:val="007E4288"/>
    <w:rsid w:val="007E5148"/>
    <w:rsid w:val="007E5438"/>
    <w:rsid w:val="007E5600"/>
    <w:rsid w:val="007E57A7"/>
    <w:rsid w:val="007E5F86"/>
    <w:rsid w:val="007E6076"/>
    <w:rsid w:val="007E66BC"/>
    <w:rsid w:val="007E66BE"/>
    <w:rsid w:val="007E69CB"/>
    <w:rsid w:val="007E73C4"/>
    <w:rsid w:val="007E7C27"/>
    <w:rsid w:val="007F0C03"/>
    <w:rsid w:val="007F0F94"/>
    <w:rsid w:val="007F138C"/>
    <w:rsid w:val="007F21D4"/>
    <w:rsid w:val="007F2635"/>
    <w:rsid w:val="007F2DCD"/>
    <w:rsid w:val="007F3D9F"/>
    <w:rsid w:val="007F3FE2"/>
    <w:rsid w:val="007F44F4"/>
    <w:rsid w:val="007F4826"/>
    <w:rsid w:val="007F491F"/>
    <w:rsid w:val="007F5143"/>
    <w:rsid w:val="007F5506"/>
    <w:rsid w:val="007F57F3"/>
    <w:rsid w:val="007F5988"/>
    <w:rsid w:val="007F5B6E"/>
    <w:rsid w:val="007F6565"/>
    <w:rsid w:val="007F6772"/>
    <w:rsid w:val="007F6C15"/>
    <w:rsid w:val="007F73D8"/>
    <w:rsid w:val="007F73E4"/>
    <w:rsid w:val="007F7602"/>
    <w:rsid w:val="007F7E72"/>
    <w:rsid w:val="00800AEE"/>
    <w:rsid w:val="00800F46"/>
    <w:rsid w:val="00801C50"/>
    <w:rsid w:val="00801D86"/>
    <w:rsid w:val="00801F14"/>
    <w:rsid w:val="008025C5"/>
    <w:rsid w:val="0080285F"/>
    <w:rsid w:val="00802D0B"/>
    <w:rsid w:val="008030F3"/>
    <w:rsid w:val="008034F5"/>
    <w:rsid w:val="00803B60"/>
    <w:rsid w:val="00804016"/>
    <w:rsid w:val="00804579"/>
    <w:rsid w:val="008048D6"/>
    <w:rsid w:val="008050FB"/>
    <w:rsid w:val="0080525C"/>
    <w:rsid w:val="00805387"/>
    <w:rsid w:val="008054C6"/>
    <w:rsid w:val="00805FF6"/>
    <w:rsid w:val="0080605B"/>
    <w:rsid w:val="00806CEB"/>
    <w:rsid w:val="00806DEC"/>
    <w:rsid w:val="00806E25"/>
    <w:rsid w:val="00807059"/>
    <w:rsid w:val="008076ED"/>
    <w:rsid w:val="00807EEA"/>
    <w:rsid w:val="008100CD"/>
    <w:rsid w:val="0081023B"/>
    <w:rsid w:val="008102F8"/>
    <w:rsid w:val="0081052B"/>
    <w:rsid w:val="00810AEA"/>
    <w:rsid w:val="008116D7"/>
    <w:rsid w:val="0081183D"/>
    <w:rsid w:val="008119E6"/>
    <w:rsid w:val="00811B55"/>
    <w:rsid w:val="008124D3"/>
    <w:rsid w:val="008125E5"/>
    <w:rsid w:val="00812656"/>
    <w:rsid w:val="008126B8"/>
    <w:rsid w:val="00812C07"/>
    <w:rsid w:val="008130AD"/>
    <w:rsid w:val="008131F3"/>
    <w:rsid w:val="00813A71"/>
    <w:rsid w:val="0081414F"/>
    <w:rsid w:val="008148C2"/>
    <w:rsid w:val="00814954"/>
    <w:rsid w:val="00815A68"/>
    <w:rsid w:val="008162FD"/>
    <w:rsid w:val="00816DA6"/>
    <w:rsid w:val="00817012"/>
    <w:rsid w:val="00817319"/>
    <w:rsid w:val="008173DD"/>
    <w:rsid w:val="0081758D"/>
    <w:rsid w:val="00817595"/>
    <w:rsid w:val="00817884"/>
    <w:rsid w:val="00817FA3"/>
    <w:rsid w:val="00820AE5"/>
    <w:rsid w:val="00820E06"/>
    <w:rsid w:val="00821303"/>
    <w:rsid w:val="00822204"/>
    <w:rsid w:val="0082275F"/>
    <w:rsid w:val="00822942"/>
    <w:rsid w:val="00822DD7"/>
    <w:rsid w:val="00822E53"/>
    <w:rsid w:val="00822F39"/>
    <w:rsid w:val="00822FBF"/>
    <w:rsid w:val="00823066"/>
    <w:rsid w:val="008231DD"/>
    <w:rsid w:val="008235CD"/>
    <w:rsid w:val="0082384B"/>
    <w:rsid w:val="00824239"/>
    <w:rsid w:val="00824AC1"/>
    <w:rsid w:val="00825029"/>
    <w:rsid w:val="0082550B"/>
    <w:rsid w:val="00825730"/>
    <w:rsid w:val="0082618A"/>
    <w:rsid w:val="008262C0"/>
    <w:rsid w:val="00826306"/>
    <w:rsid w:val="0082639A"/>
    <w:rsid w:val="0082651F"/>
    <w:rsid w:val="00826D08"/>
    <w:rsid w:val="0082740C"/>
    <w:rsid w:val="00830225"/>
    <w:rsid w:val="00830AD3"/>
    <w:rsid w:val="00830F5E"/>
    <w:rsid w:val="00831329"/>
    <w:rsid w:val="008314FA"/>
    <w:rsid w:val="008315D4"/>
    <w:rsid w:val="00831F0D"/>
    <w:rsid w:val="00831F39"/>
    <w:rsid w:val="008322F5"/>
    <w:rsid w:val="008325C9"/>
    <w:rsid w:val="00833441"/>
    <w:rsid w:val="008336E6"/>
    <w:rsid w:val="0083374B"/>
    <w:rsid w:val="008338B9"/>
    <w:rsid w:val="00833B0A"/>
    <w:rsid w:val="00833C4B"/>
    <w:rsid w:val="00833DE2"/>
    <w:rsid w:val="00834304"/>
    <w:rsid w:val="0083430F"/>
    <w:rsid w:val="00834446"/>
    <w:rsid w:val="008344C0"/>
    <w:rsid w:val="0083535D"/>
    <w:rsid w:val="00835C1B"/>
    <w:rsid w:val="00836E0A"/>
    <w:rsid w:val="00837443"/>
    <w:rsid w:val="00837A24"/>
    <w:rsid w:val="00837E84"/>
    <w:rsid w:val="00842194"/>
    <w:rsid w:val="008425C8"/>
    <w:rsid w:val="008429BC"/>
    <w:rsid w:val="00842D2C"/>
    <w:rsid w:val="00842E50"/>
    <w:rsid w:val="00843557"/>
    <w:rsid w:val="00843FB2"/>
    <w:rsid w:val="00844428"/>
    <w:rsid w:val="008447F8"/>
    <w:rsid w:val="00845C7F"/>
    <w:rsid w:val="00845C8B"/>
    <w:rsid w:val="00846AD9"/>
    <w:rsid w:val="00847228"/>
    <w:rsid w:val="00847A84"/>
    <w:rsid w:val="00847A99"/>
    <w:rsid w:val="00847B04"/>
    <w:rsid w:val="00847DF2"/>
    <w:rsid w:val="0085028A"/>
    <w:rsid w:val="008505E7"/>
    <w:rsid w:val="0085149A"/>
    <w:rsid w:val="008514F6"/>
    <w:rsid w:val="00851D03"/>
    <w:rsid w:val="00851D7E"/>
    <w:rsid w:val="008525BE"/>
    <w:rsid w:val="00852840"/>
    <w:rsid w:val="00852F5E"/>
    <w:rsid w:val="0085383A"/>
    <w:rsid w:val="00853A3C"/>
    <w:rsid w:val="00853BC1"/>
    <w:rsid w:val="00853C97"/>
    <w:rsid w:val="00853D1B"/>
    <w:rsid w:val="00854028"/>
    <w:rsid w:val="0085443F"/>
    <w:rsid w:val="0085487D"/>
    <w:rsid w:val="008549F9"/>
    <w:rsid w:val="00854C8A"/>
    <w:rsid w:val="00854CDD"/>
    <w:rsid w:val="008550AE"/>
    <w:rsid w:val="008558BC"/>
    <w:rsid w:val="00855AE4"/>
    <w:rsid w:val="00856494"/>
    <w:rsid w:val="00856A09"/>
    <w:rsid w:val="00856E7C"/>
    <w:rsid w:val="00856E99"/>
    <w:rsid w:val="008571C3"/>
    <w:rsid w:val="00857461"/>
    <w:rsid w:val="00857558"/>
    <w:rsid w:val="00857973"/>
    <w:rsid w:val="00860A0F"/>
    <w:rsid w:val="00860A8B"/>
    <w:rsid w:val="00861063"/>
    <w:rsid w:val="008615AE"/>
    <w:rsid w:val="008618D6"/>
    <w:rsid w:val="00861B93"/>
    <w:rsid w:val="00862187"/>
    <w:rsid w:val="00862C63"/>
    <w:rsid w:val="00863002"/>
    <w:rsid w:val="0086322F"/>
    <w:rsid w:val="008634B8"/>
    <w:rsid w:val="00863CE3"/>
    <w:rsid w:val="008640B0"/>
    <w:rsid w:val="00864782"/>
    <w:rsid w:val="00865974"/>
    <w:rsid w:val="00865DC8"/>
    <w:rsid w:val="00865EF9"/>
    <w:rsid w:val="00866279"/>
    <w:rsid w:val="008662A6"/>
    <w:rsid w:val="008663B3"/>
    <w:rsid w:val="008669C1"/>
    <w:rsid w:val="00867256"/>
    <w:rsid w:val="00867560"/>
    <w:rsid w:val="008675E5"/>
    <w:rsid w:val="008677F7"/>
    <w:rsid w:val="00867AB8"/>
    <w:rsid w:val="0087023F"/>
    <w:rsid w:val="008705BC"/>
    <w:rsid w:val="00870FD8"/>
    <w:rsid w:val="008713DD"/>
    <w:rsid w:val="0087142B"/>
    <w:rsid w:val="00871696"/>
    <w:rsid w:val="00871852"/>
    <w:rsid w:val="0087185D"/>
    <w:rsid w:val="00871BD4"/>
    <w:rsid w:val="008720B1"/>
    <w:rsid w:val="0087260C"/>
    <w:rsid w:val="008726CB"/>
    <w:rsid w:val="00872A01"/>
    <w:rsid w:val="00873075"/>
    <w:rsid w:val="00874108"/>
    <w:rsid w:val="008748F8"/>
    <w:rsid w:val="00875F60"/>
    <w:rsid w:val="00876483"/>
    <w:rsid w:val="00876519"/>
    <w:rsid w:val="00876B9B"/>
    <w:rsid w:val="0087704C"/>
    <w:rsid w:val="0087724B"/>
    <w:rsid w:val="00877682"/>
    <w:rsid w:val="00877F3A"/>
    <w:rsid w:val="00877F7A"/>
    <w:rsid w:val="0088051A"/>
    <w:rsid w:val="00880905"/>
    <w:rsid w:val="00881175"/>
    <w:rsid w:val="00881667"/>
    <w:rsid w:val="00881B15"/>
    <w:rsid w:val="00881C32"/>
    <w:rsid w:val="00882933"/>
    <w:rsid w:val="00882D63"/>
    <w:rsid w:val="00883753"/>
    <w:rsid w:val="00883FBC"/>
    <w:rsid w:val="00884938"/>
    <w:rsid w:val="00885835"/>
    <w:rsid w:val="00885F4F"/>
    <w:rsid w:val="00885FFE"/>
    <w:rsid w:val="00886D5F"/>
    <w:rsid w:val="00886F59"/>
    <w:rsid w:val="008875B3"/>
    <w:rsid w:val="0088787A"/>
    <w:rsid w:val="00887967"/>
    <w:rsid w:val="008879F6"/>
    <w:rsid w:val="00887B47"/>
    <w:rsid w:val="00887CD4"/>
    <w:rsid w:val="008904B7"/>
    <w:rsid w:val="008904EB"/>
    <w:rsid w:val="0089086D"/>
    <w:rsid w:val="008911FA"/>
    <w:rsid w:val="008912B7"/>
    <w:rsid w:val="008914C3"/>
    <w:rsid w:val="00891515"/>
    <w:rsid w:val="008915A4"/>
    <w:rsid w:val="00891989"/>
    <w:rsid w:val="00892075"/>
    <w:rsid w:val="00892315"/>
    <w:rsid w:val="008928E4"/>
    <w:rsid w:val="00892B57"/>
    <w:rsid w:val="00892DF1"/>
    <w:rsid w:val="00893007"/>
    <w:rsid w:val="00894295"/>
    <w:rsid w:val="00894660"/>
    <w:rsid w:val="0089466E"/>
    <w:rsid w:val="0089501D"/>
    <w:rsid w:val="008951F1"/>
    <w:rsid w:val="008952D6"/>
    <w:rsid w:val="008954C9"/>
    <w:rsid w:val="00895D54"/>
    <w:rsid w:val="00895EF3"/>
    <w:rsid w:val="00896522"/>
    <w:rsid w:val="008971AC"/>
    <w:rsid w:val="00897506"/>
    <w:rsid w:val="00897A9E"/>
    <w:rsid w:val="00897C33"/>
    <w:rsid w:val="00897E40"/>
    <w:rsid w:val="008A0003"/>
    <w:rsid w:val="008A03AD"/>
    <w:rsid w:val="008A096B"/>
    <w:rsid w:val="008A0F0C"/>
    <w:rsid w:val="008A1015"/>
    <w:rsid w:val="008A1B58"/>
    <w:rsid w:val="008A2171"/>
    <w:rsid w:val="008A2295"/>
    <w:rsid w:val="008A26AE"/>
    <w:rsid w:val="008A3257"/>
    <w:rsid w:val="008A32B5"/>
    <w:rsid w:val="008A354C"/>
    <w:rsid w:val="008A36FD"/>
    <w:rsid w:val="008A3A2C"/>
    <w:rsid w:val="008A3D17"/>
    <w:rsid w:val="008A3E4E"/>
    <w:rsid w:val="008A41D8"/>
    <w:rsid w:val="008A4598"/>
    <w:rsid w:val="008A5165"/>
    <w:rsid w:val="008A54A8"/>
    <w:rsid w:val="008A5534"/>
    <w:rsid w:val="008A59C4"/>
    <w:rsid w:val="008A5ADF"/>
    <w:rsid w:val="008A5C4B"/>
    <w:rsid w:val="008A641A"/>
    <w:rsid w:val="008A6ED1"/>
    <w:rsid w:val="008A71E9"/>
    <w:rsid w:val="008A76CA"/>
    <w:rsid w:val="008A7863"/>
    <w:rsid w:val="008A79C4"/>
    <w:rsid w:val="008A7A30"/>
    <w:rsid w:val="008B017D"/>
    <w:rsid w:val="008B0330"/>
    <w:rsid w:val="008B0436"/>
    <w:rsid w:val="008B08F5"/>
    <w:rsid w:val="008B0D36"/>
    <w:rsid w:val="008B1527"/>
    <w:rsid w:val="008B16F0"/>
    <w:rsid w:val="008B179D"/>
    <w:rsid w:val="008B18DB"/>
    <w:rsid w:val="008B19FE"/>
    <w:rsid w:val="008B1BF3"/>
    <w:rsid w:val="008B1F83"/>
    <w:rsid w:val="008B279B"/>
    <w:rsid w:val="008B27EC"/>
    <w:rsid w:val="008B29DB"/>
    <w:rsid w:val="008B328D"/>
    <w:rsid w:val="008B4DF5"/>
    <w:rsid w:val="008B4FDA"/>
    <w:rsid w:val="008B5081"/>
    <w:rsid w:val="008B513A"/>
    <w:rsid w:val="008B56D3"/>
    <w:rsid w:val="008B5D92"/>
    <w:rsid w:val="008B6254"/>
    <w:rsid w:val="008B6306"/>
    <w:rsid w:val="008B6664"/>
    <w:rsid w:val="008B749D"/>
    <w:rsid w:val="008B768A"/>
    <w:rsid w:val="008C062C"/>
    <w:rsid w:val="008C0A46"/>
    <w:rsid w:val="008C212E"/>
    <w:rsid w:val="008C270B"/>
    <w:rsid w:val="008C278E"/>
    <w:rsid w:val="008C27BE"/>
    <w:rsid w:val="008C2B97"/>
    <w:rsid w:val="008C2D0F"/>
    <w:rsid w:val="008C3003"/>
    <w:rsid w:val="008C41E3"/>
    <w:rsid w:val="008C4690"/>
    <w:rsid w:val="008C496D"/>
    <w:rsid w:val="008C6275"/>
    <w:rsid w:val="008C64EF"/>
    <w:rsid w:val="008C6674"/>
    <w:rsid w:val="008C6AD0"/>
    <w:rsid w:val="008C6BAA"/>
    <w:rsid w:val="008C6E22"/>
    <w:rsid w:val="008C7A96"/>
    <w:rsid w:val="008C7AED"/>
    <w:rsid w:val="008C7D87"/>
    <w:rsid w:val="008D0936"/>
    <w:rsid w:val="008D0B25"/>
    <w:rsid w:val="008D0B9F"/>
    <w:rsid w:val="008D0D0F"/>
    <w:rsid w:val="008D0E60"/>
    <w:rsid w:val="008D1492"/>
    <w:rsid w:val="008D14A1"/>
    <w:rsid w:val="008D14C7"/>
    <w:rsid w:val="008D1AFD"/>
    <w:rsid w:val="008D27B9"/>
    <w:rsid w:val="008D2AD5"/>
    <w:rsid w:val="008D2D5A"/>
    <w:rsid w:val="008D3586"/>
    <w:rsid w:val="008D37EC"/>
    <w:rsid w:val="008D4172"/>
    <w:rsid w:val="008D4216"/>
    <w:rsid w:val="008D4596"/>
    <w:rsid w:val="008D496D"/>
    <w:rsid w:val="008D4CAC"/>
    <w:rsid w:val="008D548F"/>
    <w:rsid w:val="008D5AAA"/>
    <w:rsid w:val="008D616A"/>
    <w:rsid w:val="008D6646"/>
    <w:rsid w:val="008D6CB9"/>
    <w:rsid w:val="008D6D8E"/>
    <w:rsid w:val="008D6FAB"/>
    <w:rsid w:val="008D7126"/>
    <w:rsid w:val="008D762A"/>
    <w:rsid w:val="008D79F7"/>
    <w:rsid w:val="008D7B85"/>
    <w:rsid w:val="008E0175"/>
    <w:rsid w:val="008E0215"/>
    <w:rsid w:val="008E02AB"/>
    <w:rsid w:val="008E04B8"/>
    <w:rsid w:val="008E04BA"/>
    <w:rsid w:val="008E1712"/>
    <w:rsid w:val="008E175E"/>
    <w:rsid w:val="008E1A03"/>
    <w:rsid w:val="008E1C89"/>
    <w:rsid w:val="008E1EF9"/>
    <w:rsid w:val="008E29A1"/>
    <w:rsid w:val="008E3090"/>
    <w:rsid w:val="008E30E6"/>
    <w:rsid w:val="008E334E"/>
    <w:rsid w:val="008E357B"/>
    <w:rsid w:val="008E36DC"/>
    <w:rsid w:val="008E38AE"/>
    <w:rsid w:val="008E3A74"/>
    <w:rsid w:val="008E3A78"/>
    <w:rsid w:val="008E3EDC"/>
    <w:rsid w:val="008E4063"/>
    <w:rsid w:val="008E4148"/>
    <w:rsid w:val="008E43AA"/>
    <w:rsid w:val="008E4970"/>
    <w:rsid w:val="008E4BEF"/>
    <w:rsid w:val="008E5E6F"/>
    <w:rsid w:val="008E61D0"/>
    <w:rsid w:val="008E6485"/>
    <w:rsid w:val="008E6670"/>
    <w:rsid w:val="008F00C3"/>
    <w:rsid w:val="008F017B"/>
    <w:rsid w:val="008F070B"/>
    <w:rsid w:val="008F1439"/>
    <w:rsid w:val="008F2014"/>
    <w:rsid w:val="008F2E38"/>
    <w:rsid w:val="008F3730"/>
    <w:rsid w:val="008F3A19"/>
    <w:rsid w:val="008F3CDF"/>
    <w:rsid w:val="008F445D"/>
    <w:rsid w:val="008F509C"/>
    <w:rsid w:val="008F51D1"/>
    <w:rsid w:val="008F52C5"/>
    <w:rsid w:val="008F5A1E"/>
    <w:rsid w:val="008F65CD"/>
    <w:rsid w:val="008F6B37"/>
    <w:rsid w:val="008F6C44"/>
    <w:rsid w:val="008F7292"/>
    <w:rsid w:val="008F74AA"/>
    <w:rsid w:val="008F7549"/>
    <w:rsid w:val="008F7AFB"/>
    <w:rsid w:val="008F7E56"/>
    <w:rsid w:val="009002B8"/>
    <w:rsid w:val="0090097A"/>
    <w:rsid w:val="009012EE"/>
    <w:rsid w:val="0090141D"/>
    <w:rsid w:val="009014DF"/>
    <w:rsid w:val="009019F0"/>
    <w:rsid w:val="00901DE4"/>
    <w:rsid w:val="0090208B"/>
    <w:rsid w:val="00902A21"/>
    <w:rsid w:val="00902CC7"/>
    <w:rsid w:val="00903003"/>
    <w:rsid w:val="009038DA"/>
    <w:rsid w:val="00904D83"/>
    <w:rsid w:val="009055EA"/>
    <w:rsid w:val="009058DE"/>
    <w:rsid w:val="009063CC"/>
    <w:rsid w:val="0090686C"/>
    <w:rsid w:val="00906C91"/>
    <w:rsid w:val="0090758A"/>
    <w:rsid w:val="0090767B"/>
    <w:rsid w:val="009076C4"/>
    <w:rsid w:val="00907B07"/>
    <w:rsid w:val="0091020C"/>
    <w:rsid w:val="00910290"/>
    <w:rsid w:val="009102D9"/>
    <w:rsid w:val="009106CF"/>
    <w:rsid w:val="00910962"/>
    <w:rsid w:val="009111F6"/>
    <w:rsid w:val="009112F9"/>
    <w:rsid w:val="0091144F"/>
    <w:rsid w:val="009114A2"/>
    <w:rsid w:val="00912444"/>
    <w:rsid w:val="0091271B"/>
    <w:rsid w:val="00912913"/>
    <w:rsid w:val="00912B4E"/>
    <w:rsid w:val="00912D32"/>
    <w:rsid w:val="00913473"/>
    <w:rsid w:val="00913B1E"/>
    <w:rsid w:val="00913C6C"/>
    <w:rsid w:val="00913C94"/>
    <w:rsid w:val="00913F26"/>
    <w:rsid w:val="0091422E"/>
    <w:rsid w:val="00914B57"/>
    <w:rsid w:val="00914E3C"/>
    <w:rsid w:val="00914F44"/>
    <w:rsid w:val="00915814"/>
    <w:rsid w:val="00916121"/>
    <w:rsid w:val="0091680A"/>
    <w:rsid w:val="00916962"/>
    <w:rsid w:val="00916B0C"/>
    <w:rsid w:val="00916DEB"/>
    <w:rsid w:val="00917DED"/>
    <w:rsid w:val="00920485"/>
    <w:rsid w:val="00920C6C"/>
    <w:rsid w:val="0092160D"/>
    <w:rsid w:val="00921639"/>
    <w:rsid w:val="009218A9"/>
    <w:rsid w:val="0092191B"/>
    <w:rsid w:val="00921D8C"/>
    <w:rsid w:val="00922502"/>
    <w:rsid w:val="00922DE6"/>
    <w:rsid w:val="00923355"/>
    <w:rsid w:val="009236B1"/>
    <w:rsid w:val="00923851"/>
    <w:rsid w:val="009248C2"/>
    <w:rsid w:val="009256CE"/>
    <w:rsid w:val="0092638E"/>
    <w:rsid w:val="009264C6"/>
    <w:rsid w:val="00927275"/>
    <w:rsid w:val="00930501"/>
    <w:rsid w:val="0093059D"/>
    <w:rsid w:val="009307E3"/>
    <w:rsid w:val="00930A4C"/>
    <w:rsid w:val="009313B2"/>
    <w:rsid w:val="00931776"/>
    <w:rsid w:val="0093194E"/>
    <w:rsid w:val="009321C1"/>
    <w:rsid w:val="00932663"/>
    <w:rsid w:val="009332BD"/>
    <w:rsid w:val="00933334"/>
    <w:rsid w:val="00933351"/>
    <w:rsid w:val="00933930"/>
    <w:rsid w:val="0093399C"/>
    <w:rsid w:val="00933D99"/>
    <w:rsid w:val="00933E67"/>
    <w:rsid w:val="009342B8"/>
    <w:rsid w:val="0093441F"/>
    <w:rsid w:val="009349C6"/>
    <w:rsid w:val="00934EE2"/>
    <w:rsid w:val="0093500A"/>
    <w:rsid w:val="00935424"/>
    <w:rsid w:val="0093561F"/>
    <w:rsid w:val="0093568D"/>
    <w:rsid w:val="0093579F"/>
    <w:rsid w:val="00936147"/>
    <w:rsid w:val="00936BAB"/>
    <w:rsid w:val="00936D51"/>
    <w:rsid w:val="00937082"/>
    <w:rsid w:val="00937219"/>
    <w:rsid w:val="0093737B"/>
    <w:rsid w:val="009374E2"/>
    <w:rsid w:val="00937CCE"/>
    <w:rsid w:val="00937EBD"/>
    <w:rsid w:val="009404E3"/>
    <w:rsid w:val="009409A9"/>
    <w:rsid w:val="00940A67"/>
    <w:rsid w:val="00940A76"/>
    <w:rsid w:val="00940CE9"/>
    <w:rsid w:val="00940DF7"/>
    <w:rsid w:val="00941241"/>
    <w:rsid w:val="00941321"/>
    <w:rsid w:val="00941348"/>
    <w:rsid w:val="00941D0A"/>
    <w:rsid w:val="00941DD3"/>
    <w:rsid w:val="00942281"/>
    <w:rsid w:val="00943C52"/>
    <w:rsid w:val="00943DCF"/>
    <w:rsid w:val="0094432C"/>
    <w:rsid w:val="0094439F"/>
    <w:rsid w:val="00944818"/>
    <w:rsid w:val="00944AAA"/>
    <w:rsid w:val="00944B78"/>
    <w:rsid w:val="0094513D"/>
    <w:rsid w:val="0094545E"/>
    <w:rsid w:val="00945551"/>
    <w:rsid w:val="009455F8"/>
    <w:rsid w:val="00945627"/>
    <w:rsid w:val="009459D6"/>
    <w:rsid w:val="009461D6"/>
    <w:rsid w:val="00946D01"/>
    <w:rsid w:val="0094757D"/>
    <w:rsid w:val="0094763A"/>
    <w:rsid w:val="009478E5"/>
    <w:rsid w:val="00947942"/>
    <w:rsid w:val="00947C64"/>
    <w:rsid w:val="00950AD0"/>
    <w:rsid w:val="00950E51"/>
    <w:rsid w:val="00950FE9"/>
    <w:rsid w:val="0095108A"/>
    <w:rsid w:val="009513BB"/>
    <w:rsid w:val="00951448"/>
    <w:rsid w:val="00951B37"/>
    <w:rsid w:val="00951C0D"/>
    <w:rsid w:val="00952410"/>
    <w:rsid w:val="00952A50"/>
    <w:rsid w:val="00952C6B"/>
    <w:rsid w:val="0095365F"/>
    <w:rsid w:val="009544DC"/>
    <w:rsid w:val="009547BC"/>
    <w:rsid w:val="00954CDC"/>
    <w:rsid w:val="00955B7F"/>
    <w:rsid w:val="00956289"/>
    <w:rsid w:val="009565EB"/>
    <w:rsid w:val="00957505"/>
    <w:rsid w:val="0095751C"/>
    <w:rsid w:val="0095791B"/>
    <w:rsid w:val="00957991"/>
    <w:rsid w:val="00957B5F"/>
    <w:rsid w:val="00957ED1"/>
    <w:rsid w:val="00960698"/>
    <w:rsid w:val="00962830"/>
    <w:rsid w:val="009628B6"/>
    <w:rsid w:val="00962D6E"/>
    <w:rsid w:val="00963B4D"/>
    <w:rsid w:val="00963D8B"/>
    <w:rsid w:val="00963EF3"/>
    <w:rsid w:val="00963FE4"/>
    <w:rsid w:val="00964251"/>
    <w:rsid w:val="00964330"/>
    <w:rsid w:val="0096482A"/>
    <w:rsid w:val="009648E0"/>
    <w:rsid w:val="00964A0B"/>
    <w:rsid w:val="00964B7B"/>
    <w:rsid w:val="00965637"/>
    <w:rsid w:val="00966AEB"/>
    <w:rsid w:val="0096705E"/>
    <w:rsid w:val="00967287"/>
    <w:rsid w:val="00967E95"/>
    <w:rsid w:val="009714AD"/>
    <w:rsid w:val="009718AC"/>
    <w:rsid w:val="009718F8"/>
    <w:rsid w:val="0097207E"/>
    <w:rsid w:val="00972A9A"/>
    <w:rsid w:val="00973952"/>
    <w:rsid w:val="00973985"/>
    <w:rsid w:val="00974357"/>
    <w:rsid w:val="00974577"/>
    <w:rsid w:val="00974D78"/>
    <w:rsid w:val="009755C3"/>
    <w:rsid w:val="00975624"/>
    <w:rsid w:val="00975A03"/>
    <w:rsid w:val="00975A66"/>
    <w:rsid w:val="009762E5"/>
    <w:rsid w:val="009764F0"/>
    <w:rsid w:val="0097658C"/>
    <w:rsid w:val="00976D29"/>
    <w:rsid w:val="00976DF4"/>
    <w:rsid w:val="00977548"/>
    <w:rsid w:val="009805F4"/>
    <w:rsid w:val="00980D08"/>
    <w:rsid w:val="00981646"/>
    <w:rsid w:val="00981775"/>
    <w:rsid w:val="00981894"/>
    <w:rsid w:val="00981A5F"/>
    <w:rsid w:val="00981E62"/>
    <w:rsid w:val="00982065"/>
    <w:rsid w:val="009822DE"/>
    <w:rsid w:val="00982EBF"/>
    <w:rsid w:val="00983140"/>
    <w:rsid w:val="00983246"/>
    <w:rsid w:val="009833BD"/>
    <w:rsid w:val="0098395C"/>
    <w:rsid w:val="009842D0"/>
    <w:rsid w:val="00984C9B"/>
    <w:rsid w:val="0098588B"/>
    <w:rsid w:val="00986800"/>
    <w:rsid w:val="009874B7"/>
    <w:rsid w:val="00987B9D"/>
    <w:rsid w:val="00987ECF"/>
    <w:rsid w:val="00990B0F"/>
    <w:rsid w:val="00990C76"/>
    <w:rsid w:val="00991D90"/>
    <w:rsid w:val="009924E4"/>
    <w:rsid w:val="009925CB"/>
    <w:rsid w:val="00992B1E"/>
    <w:rsid w:val="00992D0B"/>
    <w:rsid w:val="00992F4B"/>
    <w:rsid w:val="009935F5"/>
    <w:rsid w:val="009939C2"/>
    <w:rsid w:val="00993F46"/>
    <w:rsid w:val="00994B4A"/>
    <w:rsid w:val="00995043"/>
    <w:rsid w:val="0099547A"/>
    <w:rsid w:val="00995823"/>
    <w:rsid w:val="009958D9"/>
    <w:rsid w:val="0099620E"/>
    <w:rsid w:val="009963C6"/>
    <w:rsid w:val="00997439"/>
    <w:rsid w:val="009974D3"/>
    <w:rsid w:val="009A0031"/>
    <w:rsid w:val="009A04D6"/>
    <w:rsid w:val="009A0686"/>
    <w:rsid w:val="009A0A5B"/>
    <w:rsid w:val="009A1112"/>
    <w:rsid w:val="009A16A8"/>
    <w:rsid w:val="009A16EB"/>
    <w:rsid w:val="009A1B48"/>
    <w:rsid w:val="009A255B"/>
    <w:rsid w:val="009A2589"/>
    <w:rsid w:val="009A273E"/>
    <w:rsid w:val="009A2AE0"/>
    <w:rsid w:val="009A320B"/>
    <w:rsid w:val="009A3758"/>
    <w:rsid w:val="009A3913"/>
    <w:rsid w:val="009A41DA"/>
    <w:rsid w:val="009A44EA"/>
    <w:rsid w:val="009A45F3"/>
    <w:rsid w:val="009A524A"/>
    <w:rsid w:val="009A5E53"/>
    <w:rsid w:val="009A5FB1"/>
    <w:rsid w:val="009A615E"/>
    <w:rsid w:val="009A6531"/>
    <w:rsid w:val="009A7C50"/>
    <w:rsid w:val="009B042A"/>
    <w:rsid w:val="009B0825"/>
    <w:rsid w:val="009B0F5A"/>
    <w:rsid w:val="009B0FC6"/>
    <w:rsid w:val="009B13D1"/>
    <w:rsid w:val="009B166C"/>
    <w:rsid w:val="009B197A"/>
    <w:rsid w:val="009B1F21"/>
    <w:rsid w:val="009B2025"/>
    <w:rsid w:val="009B2035"/>
    <w:rsid w:val="009B274A"/>
    <w:rsid w:val="009B2F6C"/>
    <w:rsid w:val="009B341C"/>
    <w:rsid w:val="009B355F"/>
    <w:rsid w:val="009B4E0A"/>
    <w:rsid w:val="009B5AD1"/>
    <w:rsid w:val="009B5B70"/>
    <w:rsid w:val="009B5F3A"/>
    <w:rsid w:val="009B66C6"/>
    <w:rsid w:val="009B6707"/>
    <w:rsid w:val="009B7C04"/>
    <w:rsid w:val="009C02E5"/>
    <w:rsid w:val="009C0330"/>
    <w:rsid w:val="009C05DA"/>
    <w:rsid w:val="009C073D"/>
    <w:rsid w:val="009C0E99"/>
    <w:rsid w:val="009C1213"/>
    <w:rsid w:val="009C1609"/>
    <w:rsid w:val="009C19E0"/>
    <w:rsid w:val="009C1DB0"/>
    <w:rsid w:val="009C2103"/>
    <w:rsid w:val="009C2AFC"/>
    <w:rsid w:val="009C2D93"/>
    <w:rsid w:val="009C3597"/>
    <w:rsid w:val="009C39C8"/>
    <w:rsid w:val="009C3E9A"/>
    <w:rsid w:val="009C3F2F"/>
    <w:rsid w:val="009C41B9"/>
    <w:rsid w:val="009C43E5"/>
    <w:rsid w:val="009C4BAE"/>
    <w:rsid w:val="009C4C3E"/>
    <w:rsid w:val="009C51F8"/>
    <w:rsid w:val="009C5BAD"/>
    <w:rsid w:val="009C60BF"/>
    <w:rsid w:val="009C6390"/>
    <w:rsid w:val="009C63E5"/>
    <w:rsid w:val="009C65F5"/>
    <w:rsid w:val="009C66DC"/>
    <w:rsid w:val="009C6859"/>
    <w:rsid w:val="009C6891"/>
    <w:rsid w:val="009C68FB"/>
    <w:rsid w:val="009C69F5"/>
    <w:rsid w:val="009C7D99"/>
    <w:rsid w:val="009C7E6B"/>
    <w:rsid w:val="009D02EF"/>
    <w:rsid w:val="009D0470"/>
    <w:rsid w:val="009D0488"/>
    <w:rsid w:val="009D07C8"/>
    <w:rsid w:val="009D19F0"/>
    <w:rsid w:val="009D1A61"/>
    <w:rsid w:val="009D2026"/>
    <w:rsid w:val="009D2219"/>
    <w:rsid w:val="009D2640"/>
    <w:rsid w:val="009D26CA"/>
    <w:rsid w:val="009D29F1"/>
    <w:rsid w:val="009D2C04"/>
    <w:rsid w:val="009D2DFE"/>
    <w:rsid w:val="009D346D"/>
    <w:rsid w:val="009D35E0"/>
    <w:rsid w:val="009D401A"/>
    <w:rsid w:val="009D47D0"/>
    <w:rsid w:val="009D623E"/>
    <w:rsid w:val="009D651F"/>
    <w:rsid w:val="009D678B"/>
    <w:rsid w:val="009D706B"/>
    <w:rsid w:val="009D7B86"/>
    <w:rsid w:val="009E0413"/>
    <w:rsid w:val="009E0C53"/>
    <w:rsid w:val="009E0E64"/>
    <w:rsid w:val="009E10DE"/>
    <w:rsid w:val="009E1137"/>
    <w:rsid w:val="009E194A"/>
    <w:rsid w:val="009E1FF1"/>
    <w:rsid w:val="009E2703"/>
    <w:rsid w:val="009E2901"/>
    <w:rsid w:val="009E2DA5"/>
    <w:rsid w:val="009E3976"/>
    <w:rsid w:val="009E3EA5"/>
    <w:rsid w:val="009E3F81"/>
    <w:rsid w:val="009E3F96"/>
    <w:rsid w:val="009E4455"/>
    <w:rsid w:val="009E4622"/>
    <w:rsid w:val="009E4728"/>
    <w:rsid w:val="009E4A4D"/>
    <w:rsid w:val="009E4C17"/>
    <w:rsid w:val="009E4E28"/>
    <w:rsid w:val="009E5E29"/>
    <w:rsid w:val="009E5F5A"/>
    <w:rsid w:val="009E5FA5"/>
    <w:rsid w:val="009E62E6"/>
    <w:rsid w:val="009E63FB"/>
    <w:rsid w:val="009E6548"/>
    <w:rsid w:val="009E6760"/>
    <w:rsid w:val="009E6AD6"/>
    <w:rsid w:val="009E6C95"/>
    <w:rsid w:val="009E6F32"/>
    <w:rsid w:val="009E71B2"/>
    <w:rsid w:val="009F08BA"/>
    <w:rsid w:val="009F1C7D"/>
    <w:rsid w:val="009F1E56"/>
    <w:rsid w:val="009F2251"/>
    <w:rsid w:val="009F3862"/>
    <w:rsid w:val="009F39E9"/>
    <w:rsid w:val="009F4101"/>
    <w:rsid w:val="009F460E"/>
    <w:rsid w:val="009F4705"/>
    <w:rsid w:val="009F545A"/>
    <w:rsid w:val="009F59A7"/>
    <w:rsid w:val="009F5B63"/>
    <w:rsid w:val="009F5C59"/>
    <w:rsid w:val="009F5E40"/>
    <w:rsid w:val="009F5E5D"/>
    <w:rsid w:val="009F6193"/>
    <w:rsid w:val="009F61F7"/>
    <w:rsid w:val="009F62EF"/>
    <w:rsid w:val="009F6365"/>
    <w:rsid w:val="009F637A"/>
    <w:rsid w:val="009F6618"/>
    <w:rsid w:val="009F6ABF"/>
    <w:rsid w:val="009F6C25"/>
    <w:rsid w:val="009F7632"/>
    <w:rsid w:val="009F7E60"/>
    <w:rsid w:val="009F7EE7"/>
    <w:rsid w:val="00A0068A"/>
    <w:rsid w:val="00A007F2"/>
    <w:rsid w:val="00A00DEB"/>
    <w:rsid w:val="00A01E86"/>
    <w:rsid w:val="00A02B7F"/>
    <w:rsid w:val="00A02D2D"/>
    <w:rsid w:val="00A02F96"/>
    <w:rsid w:val="00A0309C"/>
    <w:rsid w:val="00A0378A"/>
    <w:rsid w:val="00A03A0A"/>
    <w:rsid w:val="00A03AF6"/>
    <w:rsid w:val="00A047B0"/>
    <w:rsid w:val="00A04A55"/>
    <w:rsid w:val="00A04C41"/>
    <w:rsid w:val="00A054B7"/>
    <w:rsid w:val="00A057A0"/>
    <w:rsid w:val="00A05C6E"/>
    <w:rsid w:val="00A05D4B"/>
    <w:rsid w:val="00A07CA1"/>
    <w:rsid w:val="00A07D0B"/>
    <w:rsid w:val="00A07E10"/>
    <w:rsid w:val="00A07F80"/>
    <w:rsid w:val="00A10806"/>
    <w:rsid w:val="00A109B6"/>
    <w:rsid w:val="00A11695"/>
    <w:rsid w:val="00A11975"/>
    <w:rsid w:val="00A11B80"/>
    <w:rsid w:val="00A12451"/>
    <w:rsid w:val="00A127C6"/>
    <w:rsid w:val="00A12A59"/>
    <w:rsid w:val="00A12C38"/>
    <w:rsid w:val="00A13862"/>
    <w:rsid w:val="00A13A0B"/>
    <w:rsid w:val="00A13D24"/>
    <w:rsid w:val="00A14614"/>
    <w:rsid w:val="00A1463C"/>
    <w:rsid w:val="00A146D0"/>
    <w:rsid w:val="00A14779"/>
    <w:rsid w:val="00A14986"/>
    <w:rsid w:val="00A14B7A"/>
    <w:rsid w:val="00A14C4D"/>
    <w:rsid w:val="00A14C73"/>
    <w:rsid w:val="00A15183"/>
    <w:rsid w:val="00A1564E"/>
    <w:rsid w:val="00A159BC"/>
    <w:rsid w:val="00A15D34"/>
    <w:rsid w:val="00A162CA"/>
    <w:rsid w:val="00A169F1"/>
    <w:rsid w:val="00A16EE3"/>
    <w:rsid w:val="00A1794C"/>
    <w:rsid w:val="00A17EF5"/>
    <w:rsid w:val="00A200B7"/>
    <w:rsid w:val="00A203EA"/>
    <w:rsid w:val="00A2095E"/>
    <w:rsid w:val="00A20CAD"/>
    <w:rsid w:val="00A20DC8"/>
    <w:rsid w:val="00A21801"/>
    <w:rsid w:val="00A21CA9"/>
    <w:rsid w:val="00A22366"/>
    <w:rsid w:val="00A2260F"/>
    <w:rsid w:val="00A22887"/>
    <w:rsid w:val="00A229DD"/>
    <w:rsid w:val="00A2454F"/>
    <w:rsid w:val="00A2459F"/>
    <w:rsid w:val="00A24EC6"/>
    <w:rsid w:val="00A25532"/>
    <w:rsid w:val="00A25814"/>
    <w:rsid w:val="00A25CCF"/>
    <w:rsid w:val="00A265CE"/>
    <w:rsid w:val="00A26634"/>
    <w:rsid w:val="00A26677"/>
    <w:rsid w:val="00A2700F"/>
    <w:rsid w:val="00A27663"/>
    <w:rsid w:val="00A27BA1"/>
    <w:rsid w:val="00A27F8F"/>
    <w:rsid w:val="00A30161"/>
    <w:rsid w:val="00A304CC"/>
    <w:rsid w:val="00A30997"/>
    <w:rsid w:val="00A30FCA"/>
    <w:rsid w:val="00A311EF"/>
    <w:rsid w:val="00A315E4"/>
    <w:rsid w:val="00A31AA0"/>
    <w:rsid w:val="00A31BB2"/>
    <w:rsid w:val="00A3207C"/>
    <w:rsid w:val="00A32611"/>
    <w:rsid w:val="00A32A02"/>
    <w:rsid w:val="00A32CDB"/>
    <w:rsid w:val="00A32DF5"/>
    <w:rsid w:val="00A332AE"/>
    <w:rsid w:val="00A33452"/>
    <w:rsid w:val="00A33FDA"/>
    <w:rsid w:val="00A34948"/>
    <w:rsid w:val="00A349F0"/>
    <w:rsid w:val="00A34C7D"/>
    <w:rsid w:val="00A34D1D"/>
    <w:rsid w:val="00A35319"/>
    <w:rsid w:val="00A35335"/>
    <w:rsid w:val="00A3544B"/>
    <w:rsid w:val="00A35686"/>
    <w:rsid w:val="00A35D19"/>
    <w:rsid w:val="00A363BA"/>
    <w:rsid w:val="00A36436"/>
    <w:rsid w:val="00A367CD"/>
    <w:rsid w:val="00A36ACC"/>
    <w:rsid w:val="00A36DEA"/>
    <w:rsid w:val="00A370E4"/>
    <w:rsid w:val="00A40183"/>
    <w:rsid w:val="00A40233"/>
    <w:rsid w:val="00A40CAE"/>
    <w:rsid w:val="00A40DA0"/>
    <w:rsid w:val="00A4173E"/>
    <w:rsid w:val="00A418CB"/>
    <w:rsid w:val="00A419E9"/>
    <w:rsid w:val="00A41B7C"/>
    <w:rsid w:val="00A41E38"/>
    <w:rsid w:val="00A428C3"/>
    <w:rsid w:val="00A431CE"/>
    <w:rsid w:val="00A43B84"/>
    <w:rsid w:val="00A446D8"/>
    <w:rsid w:val="00A44765"/>
    <w:rsid w:val="00A44B08"/>
    <w:rsid w:val="00A44CBF"/>
    <w:rsid w:val="00A45014"/>
    <w:rsid w:val="00A45028"/>
    <w:rsid w:val="00A45463"/>
    <w:rsid w:val="00A46EB6"/>
    <w:rsid w:val="00A47071"/>
    <w:rsid w:val="00A47C7B"/>
    <w:rsid w:val="00A47CA5"/>
    <w:rsid w:val="00A47EA6"/>
    <w:rsid w:val="00A47EF8"/>
    <w:rsid w:val="00A508A1"/>
    <w:rsid w:val="00A508BB"/>
    <w:rsid w:val="00A50AC1"/>
    <w:rsid w:val="00A510D2"/>
    <w:rsid w:val="00A51509"/>
    <w:rsid w:val="00A5172B"/>
    <w:rsid w:val="00A51BE1"/>
    <w:rsid w:val="00A528F2"/>
    <w:rsid w:val="00A52D3B"/>
    <w:rsid w:val="00A5336D"/>
    <w:rsid w:val="00A5339E"/>
    <w:rsid w:val="00A534AA"/>
    <w:rsid w:val="00A5358A"/>
    <w:rsid w:val="00A5390B"/>
    <w:rsid w:val="00A54010"/>
    <w:rsid w:val="00A54299"/>
    <w:rsid w:val="00A543EC"/>
    <w:rsid w:val="00A54631"/>
    <w:rsid w:val="00A54805"/>
    <w:rsid w:val="00A55032"/>
    <w:rsid w:val="00A5544E"/>
    <w:rsid w:val="00A55FAD"/>
    <w:rsid w:val="00A563D5"/>
    <w:rsid w:val="00A5664A"/>
    <w:rsid w:val="00A56716"/>
    <w:rsid w:val="00A56DD5"/>
    <w:rsid w:val="00A56E4B"/>
    <w:rsid w:val="00A571F0"/>
    <w:rsid w:val="00A5783E"/>
    <w:rsid w:val="00A5799B"/>
    <w:rsid w:val="00A57B0C"/>
    <w:rsid w:val="00A57F12"/>
    <w:rsid w:val="00A600F2"/>
    <w:rsid w:val="00A60184"/>
    <w:rsid w:val="00A608FB"/>
    <w:rsid w:val="00A60C39"/>
    <w:rsid w:val="00A610CB"/>
    <w:rsid w:val="00A61489"/>
    <w:rsid w:val="00A61586"/>
    <w:rsid w:val="00A61F71"/>
    <w:rsid w:val="00A62711"/>
    <w:rsid w:val="00A62ACF"/>
    <w:rsid w:val="00A630CB"/>
    <w:rsid w:val="00A633DC"/>
    <w:rsid w:val="00A638D2"/>
    <w:rsid w:val="00A63B13"/>
    <w:rsid w:val="00A63E23"/>
    <w:rsid w:val="00A6436E"/>
    <w:rsid w:val="00A646CC"/>
    <w:rsid w:val="00A64C19"/>
    <w:rsid w:val="00A651F9"/>
    <w:rsid w:val="00A65642"/>
    <w:rsid w:val="00A659E2"/>
    <w:rsid w:val="00A65E70"/>
    <w:rsid w:val="00A66C25"/>
    <w:rsid w:val="00A678CF"/>
    <w:rsid w:val="00A67DBF"/>
    <w:rsid w:val="00A67EBF"/>
    <w:rsid w:val="00A700F8"/>
    <w:rsid w:val="00A708D8"/>
    <w:rsid w:val="00A70A86"/>
    <w:rsid w:val="00A70F9F"/>
    <w:rsid w:val="00A71041"/>
    <w:rsid w:val="00A71163"/>
    <w:rsid w:val="00A71A32"/>
    <w:rsid w:val="00A71D61"/>
    <w:rsid w:val="00A720CA"/>
    <w:rsid w:val="00A729E6"/>
    <w:rsid w:val="00A72E8F"/>
    <w:rsid w:val="00A73038"/>
    <w:rsid w:val="00A733EB"/>
    <w:rsid w:val="00A734FC"/>
    <w:rsid w:val="00A73670"/>
    <w:rsid w:val="00A73A85"/>
    <w:rsid w:val="00A75028"/>
    <w:rsid w:val="00A754C6"/>
    <w:rsid w:val="00A75AC5"/>
    <w:rsid w:val="00A75C5A"/>
    <w:rsid w:val="00A75CB3"/>
    <w:rsid w:val="00A75F0B"/>
    <w:rsid w:val="00A76062"/>
    <w:rsid w:val="00A764A2"/>
    <w:rsid w:val="00A76558"/>
    <w:rsid w:val="00A765CE"/>
    <w:rsid w:val="00A7668E"/>
    <w:rsid w:val="00A769A7"/>
    <w:rsid w:val="00A76C72"/>
    <w:rsid w:val="00A76CC2"/>
    <w:rsid w:val="00A77146"/>
    <w:rsid w:val="00A77E8E"/>
    <w:rsid w:val="00A8008D"/>
    <w:rsid w:val="00A80613"/>
    <w:rsid w:val="00A807DB"/>
    <w:rsid w:val="00A80FCF"/>
    <w:rsid w:val="00A8106B"/>
    <w:rsid w:val="00A810AF"/>
    <w:rsid w:val="00A815B7"/>
    <w:rsid w:val="00A82366"/>
    <w:rsid w:val="00A8241C"/>
    <w:rsid w:val="00A82508"/>
    <w:rsid w:val="00A82B46"/>
    <w:rsid w:val="00A82EF8"/>
    <w:rsid w:val="00A83367"/>
    <w:rsid w:val="00A839D6"/>
    <w:rsid w:val="00A83CBC"/>
    <w:rsid w:val="00A852F8"/>
    <w:rsid w:val="00A85B04"/>
    <w:rsid w:val="00A85C97"/>
    <w:rsid w:val="00A860AD"/>
    <w:rsid w:val="00A86573"/>
    <w:rsid w:val="00A86666"/>
    <w:rsid w:val="00A86BAE"/>
    <w:rsid w:val="00A8755F"/>
    <w:rsid w:val="00A877D5"/>
    <w:rsid w:val="00A901F1"/>
    <w:rsid w:val="00A90272"/>
    <w:rsid w:val="00A90CDC"/>
    <w:rsid w:val="00A91654"/>
    <w:rsid w:val="00A91F9D"/>
    <w:rsid w:val="00A92841"/>
    <w:rsid w:val="00A92BED"/>
    <w:rsid w:val="00A92F3E"/>
    <w:rsid w:val="00A93EE4"/>
    <w:rsid w:val="00A94AD6"/>
    <w:rsid w:val="00A94EDC"/>
    <w:rsid w:val="00A95491"/>
    <w:rsid w:val="00A95A38"/>
    <w:rsid w:val="00A96E97"/>
    <w:rsid w:val="00A96FFF"/>
    <w:rsid w:val="00A9784F"/>
    <w:rsid w:val="00A97E17"/>
    <w:rsid w:val="00AA04B4"/>
    <w:rsid w:val="00AA0559"/>
    <w:rsid w:val="00AA0718"/>
    <w:rsid w:val="00AA0A35"/>
    <w:rsid w:val="00AA0A6E"/>
    <w:rsid w:val="00AA1650"/>
    <w:rsid w:val="00AA1948"/>
    <w:rsid w:val="00AA198B"/>
    <w:rsid w:val="00AA1EBD"/>
    <w:rsid w:val="00AA260D"/>
    <w:rsid w:val="00AA27C3"/>
    <w:rsid w:val="00AA291B"/>
    <w:rsid w:val="00AA2B91"/>
    <w:rsid w:val="00AA352F"/>
    <w:rsid w:val="00AA3BF0"/>
    <w:rsid w:val="00AA3D37"/>
    <w:rsid w:val="00AA4594"/>
    <w:rsid w:val="00AA46D9"/>
    <w:rsid w:val="00AA4921"/>
    <w:rsid w:val="00AA533E"/>
    <w:rsid w:val="00AA5DE6"/>
    <w:rsid w:val="00AA6462"/>
    <w:rsid w:val="00AA66FC"/>
    <w:rsid w:val="00AA6702"/>
    <w:rsid w:val="00AA678B"/>
    <w:rsid w:val="00AA76EE"/>
    <w:rsid w:val="00AA773C"/>
    <w:rsid w:val="00AB0007"/>
    <w:rsid w:val="00AB0313"/>
    <w:rsid w:val="00AB05C6"/>
    <w:rsid w:val="00AB26A6"/>
    <w:rsid w:val="00AB279B"/>
    <w:rsid w:val="00AB2B74"/>
    <w:rsid w:val="00AB2D33"/>
    <w:rsid w:val="00AB2DE0"/>
    <w:rsid w:val="00AB2FF0"/>
    <w:rsid w:val="00AB408D"/>
    <w:rsid w:val="00AB40C9"/>
    <w:rsid w:val="00AB45C7"/>
    <w:rsid w:val="00AB45CF"/>
    <w:rsid w:val="00AB582E"/>
    <w:rsid w:val="00AB5A43"/>
    <w:rsid w:val="00AB5AEA"/>
    <w:rsid w:val="00AB5B65"/>
    <w:rsid w:val="00AB5C2B"/>
    <w:rsid w:val="00AB5FF7"/>
    <w:rsid w:val="00AB676B"/>
    <w:rsid w:val="00AB69CC"/>
    <w:rsid w:val="00AB6C67"/>
    <w:rsid w:val="00AB7972"/>
    <w:rsid w:val="00AB7E87"/>
    <w:rsid w:val="00AC025E"/>
    <w:rsid w:val="00AC071E"/>
    <w:rsid w:val="00AC07F7"/>
    <w:rsid w:val="00AC0BA8"/>
    <w:rsid w:val="00AC0E7D"/>
    <w:rsid w:val="00AC1206"/>
    <w:rsid w:val="00AC12CB"/>
    <w:rsid w:val="00AC13AE"/>
    <w:rsid w:val="00AC166D"/>
    <w:rsid w:val="00AC1859"/>
    <w:rsid w:val="00AC1DB2"/>
    <w:rsid w:val="00AC245C"/>
    <w:rsid w:val="00AC2669"/>
    <w:rsid w:val="00AC3144"/>
    <w:rsid w:val="00AC3853"/>
    <w:rsid w:val="00AC3FD6"/>
    <w:rsid w:val="00AC4845"/>
    <w:rsid w:val="00AC507B"/>
    <w:rsid w:val="00AC57A9"/>
    <w:rsid w:val="00AC5949"/>
    <w:rsid w:val="00AC5BF6"/>
    <w:rsid w:val="00AC5E27"/>
    <w:rsid w:val="00AC5E5C"/>
    <w:rsid w:val="00AC5FB6"/>
    <w:rsid w:val="00AC6BFC"/>
    <w:rsid w:val="00AC72DC"/>
    <w:rsid w:val="00AC7A65"/>
    <w:rsid w:val="00AC7A9F"/>
    <w:rsid w:val="00AC7EB3"/>
    <w:rsid w:val="00AC7F7F"/>
    <w:rsid w:val="00AC7FA4"/>
    <w:rsid w:val="00AD0098"/>
    <w:rsid w:val="00AD0A89"/>
    <w:rsid w:val="00AD0B00"/>
    <w:rsid w:val="00AD0B3B"/>
    <w:rsid w:val="00AD0FA4"/>
    <w:rsid w:val="00AD136D"/>
    <w:rsid w:val="00AD1688"/>
    <w:rsid w:val="00AD1A16"/>
    <w:rsid w:val="00AD1DD8"/>
    <w:rsid w:val="00AD2131"/>
    <w:rsid w:val="00AD2F61"/>
    <w:rsid w:val="00AD3D45"/>
    <w:rsid w:val="00AD3EE5"/>
    <w:rsid w:val="00AD41CB"/>
    <w:rsid w:val="00AD41DE"/>
    <w:rsid w:val="00AD42F8"/>
    <w:rsid w:val="00AD47BD"/>
    <w:rsid w:val="00AD4910"/>
    <w:rsid w:val="00AD49FA"/>
    <w:rsid w:val="00AD4C6D"/>
    <w:rsid w:val="00AD4C9C"/>
    <w:rsid w:val="00AD58BF"/>
    <w:rsid w:val="00AD606A"/>
    <w:rsid w:val="00AD6AEB"/>
    <w:rsid w:val="00AD6F23"/>
    <w:rsid w:val="00AD7142"/>
    <w:rsid w:val="00AE062D"/>
    <w:rsid w:val="00AE0B62"/>
    <w:rsid w:val="00AE0E75"/>
    <w:rsid w:val="00AE151B"/>
    <w:rsid w:val="00AE1671"/>
    <w:rsid w:val="00AE1BE1"/>
    <w:rsid w:val="00AE2021"/>
    <w:rsid w:val="00AE3560"/>
    <w:rsid w:val="00AE36E6"/>
    <w:rsid w:val="00AE3717"/>
    <w:rsid w:val="00AE384C"/>
    <w:rsid w:val="00AE39AC"/>
    <w:rsid w:val="00AE3C2C"/>
    <w:rsid w:val="00AE3DB1"/>
    <w:rsid w:val="00AE3F60"/>
    <w:rsid w:val="00AE3FA4"/>
    <w:rsid w:val="00AE52A8"/>
    <w:rsid w:val="00AE564F"/>
    <w:rsid w:val="00AE5883"/>
    <w:rsid w:val="00AE5AC3"/>
    <w:rsid w:val="00AE5C54"/>
    <w:rsid w:val="00AE5EA6"/>
    <w:rsid w:val="00AE6824"/>
    <w:rsid w:val="00AE6BEF"/>
    <w:rsid w:val="00AE6C82"/>
    <w:rsid w:val="00AE7001"/>
    <w:rsid w:val="00AE75FA"/>
    <w:rsid w:val="00AE7808"/>
    <w:rsid w:val="00AE7867"/>
    <w:rsid w:val="00AE7A6C"/>
    <w:rsid w:val="00AE7E9C"/>
    <w:rsid w:val="00AE7EF1"/>
    <w:rsid w:val="00AF04C5"/>
    <w:rsid w:val="00AF04D2"/>
    <w:rsid w:val="00AF0A20"/>
    <w:rsid w:val="00AF0FB5"/>
    <w:rsid w:val="00AF1C28"/>
    <w:rsid w:val="00AF24D7"/>
    <w:rsid w:val="00AF271E"/>
    <w:rsid w:val="00AF2956"/>
    <w:rsid w:val="00AF389B"/>
    <w:rsid w:val="00AF3E0C"/>
    <w:rsid w:val="00AF4B20"/>
    <w:rsid w:val="00AF51DB"/>
    <w:rsid w:val="00AF61D3"/>
    <w:rsid w:val="00AF6265"/>
    <w:rsid w:val="00AF641D"/>
    <w:rsid w:val="00AF641F"/>
    <w:rsid w:val="00AF66F7"/>
    <w:rsid w:val="00AF67D2"/>
    <w:rsid w:val="00AF72FC"/>
    <w:rsid w:val="00AF7985"/>
    <w:rsid w:val="00AF7A8D"/>
    <w:rsid w:val="00AF7C8E"/>
    <w:rsid w:val="00AF7DE6"/>
    <w:rsid w:val="00AF7EE0"/>
    <w:rsid w:val="00B003F8"/>
    <w:rsid w:val="00B008D4"/>
    <w:rsid w:val="00B00DE1"/>
    <w:rsid w:val="00B00E96"/>
    <w:rsid w:val="00B016B2"/>
    <w:rsid w:val="00B019F0"/>
    <w:rsid w:val="00B01EDB"/>
    <w:rsid w:val="00B0219D"/>
    <w:rsid w:val="00B02301"/>
    <w:rsid w:val="00B02400"/>
    <w:rsid w:val="00B024B5"/>
    <w:rsid w:val="00B027BF"/>
    <w:rsid w:val="00B029D1"/>
    <w:rsid w:val="00B034BE"/>
    <w:rsid w:val="00B03909"/>
    <w:rsid w:val="00B03E25"/>
    <w:rsid w:val="00B04AB1"/>
    <w:rsid w:val="00B04DE5"/>
    <w:rsid w:val="00B04FBA"/>
    <w:rsid w:val="00B05BBF"/>
    <w:rsid w:val="00B06202"/>
    <w:rsid w:val="00B065DD"/>
    <w:rsid w:val="00B06E47"/>
    <w:rsid w:val="00B0706D"/>
    <w:rsid w:val="00B07633"/>
    <w:rsid w:val="00B07703"/>
    <w:rsid w:val="00B07898"/>
    <w:rsid w:val="00B0789E"/>
    <w:rsid w:val="00B07C2F"/>
    <w:rsid w:val="00B07F7F"/>
    <w:rsid w:val="00B1009F"/>
    <w:rsid w:val="00B10AC2"/>
    <w:rsid w:val="00B111ED"/>
    <w:rsid w:val="00B127C9"/>
    <w:rsid w:val="00B12B86"/>
    <w:rsid w:val="00B13190"/>
    <w:rsid w:val="00B131B8"/>
    <w:rsid w:val="00B13758"/>
    <w:rsid w:val="00B138F7"/>
    <w:rsid w:val="00B15108"/>
    <w:rsid w:val="00B1522C"/>
    <w:rsid w:val="00B15573"/>
    <w:rsid w:val="00B15DE8"/>
    <w:rsid w:val="00B15F67"/>
    <w:rsid w:val="00B1766A"/>
    <w:rsid w:val="00B1787F"/>
    <w:rsid w:val="00B179B8"/>
    <w:rsid w:val="00B202CB"/>
    <w:rsid w:val="00B209C2"/>
    <w:rsid w:val="00B20BEE"/>
    <w:rsid w:val="00B20DC9"/>
    <w:rsid w:val="00B21599"/>
    <w:rsid w:val="00B21D63"/>
    <w:rsid w:val="00B21D7B"/>
    <w:rsid w:val="00B22A50"/>
    <w:rsid w:val="00B22ADD"/>
    <w:rsid w:val="00B22FD3"/>
    <w:rsid w:val="00B230BD"/>
    <w:rsid w:val="00B232BB"/>
    <w:rsid w:val="00B23CDC"/>
    <w:rsid w:val="00B241B1"/>
    <w:rsid w:val="00B24254"/>
    <w:rsid w:val="00B24507"/>
    <w:rsid w:val="00B250C1"/>
    <w:rsid w:val="00B250D8"/>
    <w:rsid w:val="00B25784"/>
    <w:rsid w:val="00B257A7"/>
    <w:rsid w:val="00B259EE"/>
    <w:rsid w:val="00B2623B"/>
    <w:rsid w:val="00B2634A"/>
    <w:rsid w:val="00B265FC"/>
    <w:rsid w:val="00B26D52"/>
    <w:rsid w:val="00B27791"/>
    <w:rsid w:val="00B27F8A"/>
    <w:rsid w:val="00B30F36"/>
    <w:rsid w:val="00B31D0E"/>
    <w:rsid w:val="00B32458"/>
    <w:rsid w:val="00B32570"/>
    <w:rsid w:val="00B32ED2"/>
    <w:rsid w:val="00B33334"/>
    <w:rsid w:val="00B3333B"/>
    <w:rsid w:val="00B33817"/>
    <w:rsid w:val="00B33907"/>
    <w:rsid w:val="00B33A34"/>
    <w:rsid w:val="00B33D30"/>
    <w:rsid w:val="00B34091"/>
    <w:rsid w:val="00B354C5"/>
    <w:rsid w:val="00B356B1"/>
    <w:rsid w:val="00B35AE5"/>
    <w:rsid w:val="00B35BCC"/>
    <w:rsid w:val="00B35CD0"/>
    <w:rsid w:val="00B35F76"/>
    <w:rsid w:val="00B378DC"/>
    <w:rsid w:val="00B37DBD"/>
    <w:rsid w:val="00B41144"/>
    <w:rsid w:val="00B418F1"/>
    <w:rsid w:val="00B41E94"/>
    <w:rsid w:val="00B43037"/>
    <w:rsid w:val="00B43382"/>
    <w:rsid w:val="00B4363A"/>
    <w:rsid w:val="00B45231"/>
    <w:rsid w:val="00B45A69"/>
    <w:rsid w:val="00B4658F"/>
    <w:rsid w:val="00B46915"/>
    <w:rsid w:val="00B477EF"/>
    <w:rsid w:val="00B47BA3"/>
    <w:rsid w:val="00B47C77"/>
    <w:rsid w:val="00B47DB4"/>
    <w:rsid w:val="00B50333"/>
    <w:rsid w:val="00B50584"/>
    <w:rsid w:val="00B510AF"/>
    <w:rsid w:val="00B510C4"/>
    <w:rsid w:val="00B51430"/>
    <w:rsid w:val="00B51C7C"/>
    <w:rsid w:val="00B51E1A"/>
    <w:rsid w:val="00B51F16"/>
    <w:rsid w:val="00B52643"/>
    <w:rsid w:val="00B52F62"/>
    <w:rsid w:val="00B52FC8"/>
    <w:rsid w:val="00B533FC"/>
    <w:rsid w:val="00B535FC"/>
    <w:rsid w:val="00B536E8"/>
    <w:rsid w:val="00B5376B"/>
    <w:rsid w:val="00B53822"/>
    <w:rsid w:val="00B53A77"/>
    <w:rsid w:val="00B54811"/>
    <w:rsid w:val="00B54818"/>
    <w:rsid w:val="00B54850"/>
    <w:rsid w:val="00B552B6"/>
    <w:rsid w:val="00B55321"/>
    <w:rsid w:val="00B5601F"/>
    <w:rsid w:val="00B568BA"/>
    <w:rsid w:val="00B57157"/>
    <w:rsid w:val="00B5715E"/>
    <w:rsid w:val="00B57501"/>
    <w:rsid w:val="00B57696"/>
    <w:rsid w:val="00B579B1"/>
    <w:rsid w:val="00B57A32"/>
    <w:rsid w:val="00B57A92"/>
    <w:rsid w:val="00B60005"/>
    <w:rsid w:val="00B6076E"/>
    <w:rsid w:val="00B613F9"/>
    <w:rsid w:val="00B61514"/>
    <w:rsid w:val="00B6200C"/>
    <w:rsid w:val="00B6202F"/>
    <w:rsid w:val="00B6217E"/>
    <w:rsid w:val="00B6272A"/>
    <w:rsid w:val="00B62AAE"/>
    <w:rsid w:val="00B6344F"/>
    <w:rsid w:val="00B63484"/>
    <w:rsid w:val="00B6372D"/>
    <w:rsid w:val="00B63F68"/>
    <w:rsid w:val="00B6515A"/>
    <w:rsid w:val="00B65E33"/>
    <w:rsid w:val="00B660DF"/>
    <w:rsid w:val="00B66CE9"/>
    <w:rsid w:val="00B67539"/>
    <w:rsid w:val="00B67581"/>
    <w:rsid w:val="00B6777D"/>
    <w:rsid w:val="00B6798D"/>
    <w:rsid w:val="00B67BD3"/>
    <w:rsid w:val="00B67D23"/>
    <w:rsid w:val="00B67DA8"/>
    <w:rsid w:val="00B67F40"/>
    <w:rsid w:val="00B702AD"/>
    <w:rsid w:val="00B704A7"/>
    <w:rsid w:val="00B708CB"/>
    <w:rsid w:val="00B708F7"/>
    <w:rsid w:val="00B70B36"/>
    <w:rsid w:val="00B710E7"/>
    <w:rsid w:val="00B71BBF"/>
    <w:rsid w:val="00B723ED"/>
    <w:rsid w:val="00B72498"/>
    <w:rsid w:val="00B72987"/>
    <w:rsid w:val="00B732C8"/>
    <w:rsid w:val="00B735C3"/>
    <w:rsid w:val="00B737AB"/>
    <w:rsid w:val="00B73939"/>
    <w:rsid w:val="00B73D1D"/>
    <w:rsid w:val="00B74C06"/>
    <w:rsid w:val="00B751A1"/>
    <w:rsid w:val="00B75498"/>
    <w:rsid w:val="00B755D3"/>
    <w:rsid w:val="00B7574A"/>
    <w:rsid w:val="00B757E6"/>
    <w:rsid w:val="00B758D1"/>
    <w:rsid w:val="00B75C2F"/>
    <w:rsid w:val="00B75DD0"/>
    <w:rsid w:val="00B76D2C"/>
    <w:rsid w:val="00B7795E"/>
    <w:rsid w:val="00B77CB9"/>
    <w:rsid w:val="00B77DCC"/>
    <w:rsid w:val="00B77E55"/>
    <w:rsid w:val="00B80071"/>
    <w:rsid w:val="00B80096"/>
    <w:rsid w:val="00B80530"/>
    <w:rsid w:val="00B81291"/>
    <w:rsid w:val="00B8145E"/>
    <w:rsid w:val="00B8187C"/>
    <w:rsid w:val="00B818DC"/>
    <w:rsid w:val="00B81AC8"/>
    <w:rsid w:val="00B81AF5"/>
    <w:rsid w:val="00B81F55"/>
    <w:rsid w:val="00B82134"/>
    <w:rsid w:val="00B82BA5"/>
    <w:rsid w:val="00B830F5"/>
    <w:rsid w:val="00B83395"/>
    <w:rsid w:val="00B83472"/>
    <w:rsid w:val="00B83EB8"/>
    <w:rsid w:val="00B84845"/>
    <w:rsid w:val="00B8555D"/>
    <w:rsid w:val="00B85779"/>
    <w:rsid w:val="00B861F6"/>
    <w:rsid w:val="00B862ED"/>
    <w:rsid w:val="00B866E8"/>
    <w:rsid w:val="00B86884"/>
    <w:rsid w:val="00B86A3E"/>
    <w:rsid w:val="00B86B4A"/>
    <w:rsid w:val="00B86B6C"/>
    <w:rsid w:val="00B86CDC"/>
    <w:rsid w:val="00B86FAB"/>
    <w:rsid w:val="00B878BC"/>
    <w:rsid w:val="00B87CDF"/>
    <w:rsid w:val="00B87F51"/>
    <w:rsid w:val="00B90147"/>
    <w:rsid w:val="00B90B71"/>
    <w:rsid w:val="00B91556"/>
    <w:rsid w:val="00B91765"/>
    <w:rsid w:val="00B9176C"/>
    <w:rsid w:val="00B9199F"/>
    <w:rsid w:val="00B91AAC"/>
    <w:rsid w:val="00B92180"/>
    <w:rsid w:val="00B9296C"/>
    <w:rsid w:val="00B92D8C"/>
    <w:rsid w:val="00B944EF"/>
    <w:rsid w:val="00B94653"/>
    <w:rsid w:val="00B9475A"/>
    <w:rsid w:val="00B948CC"/>
    <w:rsid w:val="00B94E4B"/>
    <w:rsid w:val="00B9522C"/>
    <w:rsid w:val="00B957CD"/>
    <w:rsid w:val="00B96E62"/>
    <w:rsid w:val="00B96E80"/>
    <w:rsid w:val="00B97C9C"/>
    <w:rsid w:val="00B97FDC"/>
    <w:rsid w:val="00BA0311"/>
    <w:rsid w:val="00BA057D"/>
    <w:rsid w:val="00BA08B8"/>
    <w:rsid w:val="00BA0B72"/>
    <w:rsid w:val="00BA0C3E"/>
    <w:rsid w:val="00BA108F"/>
    <w:rsid w:val="00BA2AFE"/>
    <w:rsid w:val="00BA2BEC"/>
    <w:rsid w:val="00BA33DE"/>
    <w:rsid w:val="00BA3A43"/>
    <w:rsid w:val="00BA4175"/>
    <w:rsid w:val="00BA4805"/>
    <w:rsid w:val="00BA4B20"/>
    <w:rsid w:val="00BA52A1"/>
    <w:rsid w:val="00BA5386"/>
    <w:rsid w:val="00BA5DEA"/>
    <w:rsid w:val="00BA6105"/>
    <w:rsid w:val="00BA61CF"/>
    <w:rsid w:val="00BA65B9"/>
    <w:rsid w:val="00BA6B70"/>
    <w:rsid w:val="00BA6FAB"/>
    <w:rsid w:val="00BA72B6"/>
    <w:rsid w:val="00BA73CC"/>
    <w:rsid w:val="00BA7409"/>
    <w:rsid w:val="00BA7420"/>
    <w:rsid w:val="00BA7CD9"/>
    <w:rsid w:val="00BB063B"/>
    <w:rsid w:val="00BB081A"/>
    <w:rsid w:val="00BB0DB9"/>
    <w:rsid w:val="00BB0EE1"/>
    <w:rsid w:val="00BB13B9"/>
    <w:rsid w:val="00BB17B9"/>
    <w:rsid w:val="00BB1D4A"/>
    <w:rsid w:val="00BB2527"/>
    <w:rsid w:val="00BB26A0"/>
    <w:rsid w:val="00BB2C38"/>
    <w:rsid w:val="00BB2F7D"/>
    <w:rsid w:val="00BB3175"/>
    <w:rsid w:val="00BB32C3"/>
    <w:rsid w:val="00BB35DC"/>
    <w:rsid w:val="00BB36E5"/>
    <w:rsid w:val="00BB4726"/>
    <w:rsid w:val="00BB4D91"/>
    <w:rsid w:val="00BB5289"/>
    <w:rsid w:val="00BB566A"/>
    <w:rsid w:val="00BB5AA1"/>
    <w:rsid w:val="00BB632B"/>
    <w:rsid w:val="00BB6523"/>
    <w:rsid w:val="00BB7650"/>
    <w:rsid w:val="00BB799A"/>
    <w:rsid w:val="00BB7B73"/>
    <w:rsid w:val="00BC06D8"/>
    <w:rsid w:val="00BC07BC"/>
    <w:rsid w:val="00BC1094"/>
    <w:rsid w:val="00BC156D"/>
    <w:rsid w:val="00BC1743"/>
    <w:rsid w:val="00BC17A6"/>
    <w:rsid w:val="00BC191A"/>
    <w:rsid w:val="00BC19CE"/>
    <w:rsid w:val="00BC2932"/>
    <w:rsid w:val="00BC29A9"/>
    <w:rsid w:val="00BC3094"/>
    <w:rsid w:val="00BC3190"/>
    <w:rsid w:val="00BC3E71"/>
    <w:rsid w:val="00BC49DF"/>
    <w:rsid w:val="00BC4C89"/>
    <w:rsid w:val="00BC517A"/>
    <w:rsid w:val="00BC51C5"/>
    <w:rsid w:val="00BC5226"/>
    <w:rsid w:val="00BC527E"/>
    <w:rsid w:val="00BC65AA"/>
    <w:rsid w:val="00BC6FFB"/>
    <w:rsid w:val="00BC70AA"/>
    <w:rsid w:val="00BC7CE2"/>
    <w:rsid w:val="00BD1059"/>
    <w:rsid w:val="00BD1623"/>
    <w:rsid w:val="00BD1A7D"/>
    <w:rsid w:val="00BD226D"/>
    <w:rsid w:val="00BD2C35"/>
    <w:rsid w:val="00BD31FF"/>
    <w:rsid w:val="00BD34A8"/>
    <w:rsid w:val="00BD37B0"/>
    <w:rsid w:val="00BD3AC3"/>
    <w:rsid w:val="00BD4613"/>
    <w:rsid w:val="00BD584D"/>
    <w:rsid w:val="00BD5AB0"/>
    <w:rsid w:val="00BD5E57"/>
    <w:rsid w:val="00BD6685"/>
    <w:rsid w:val="00BD6E0E"/>
    <w:rsid w:val="00BD77CC"/>
    <w:rsid w:val="00BD7F21"/>
    <w:rsid w:val="00BE0204"/>
    <w:rsid w:val="00BE0352"/>
    <w:rsid w:val="00BE06E5"/>
    <w:rsid w:val="00BE118F"/>
    <w:rsid w:val="00BE11D8"/>
    <w:rsid w:val="00BE1F3D"/>
    <w:rsid w:val="00BE2EE6"/>
    <w:rsid w:val="00BE31D3"/>
    <w:rsid w:val="00BE3BE7"/>
    <w:rsid w:val="00BE4294"/>
    <w:rsid w:val="00BE434D"/>
    <w:rsid w:val="00BE43C0"/>
    <w:rsid w:val="00BE43E7"/>
    <w:rsid w:val="00BE47D1"/>
    <w:rsid w:val="00BE4854"/>
    <w:rsid w:val="00BE4938"/>
    <w:rsid w:val="00BE4CBB"/>
    <w:rsid w:val="00BE4E1B"/>
    <w:rsid w:val="00BE6206"/>
    <w:rsid w:val="00BE62AF"/>
    <w:rsid w:val="00BE6486"/>
    <w:rsid w:val="00BE6A8B"/>
    <w:rsid w:val="00BE6F93"/>
    <w:rsid w:val="00BE79D8"/>
    <w:rsid w:val="00BE7D44"/>
    <w:rsid w:val="00BF0589"/>
    <w:rsid w:val="00BF06B8"/>
    <w:rsid w:val="00BF0A1D"/>
    <w:rsid w:val="00BF0C9D"/>
    <w:rsid w:val="00BF1184"/>
    <w:rsid w:val="00BF2054"/>
    <w:rsid w:val="00BF26B6"/>
    <w:rsid w:val="00BF2E09"/>
    <w:rsid w:val="00BF34DF"/>
    <w:rsid w:val="00BF472C"/>
    <w:rsid w:val="00BF48A6"/>
    <w:rsid w:val="00BF52B0"/>
    <w:rsid w:val="00BF549A"/>
    <w:rsid w:val="00BF6911"/>
    <w:rsid w:val="00BF6974"/>
    <w:rsid w:val="00BF6B40"/>
    <w:rsid w:val="00BF6D23"/>
    <w:rsid w:val="00BF6FCC"/>
    <w:rsid w:val="00BF747D"/>
    <w:rsid w:val="00BF762E"/>
    <w:rsid w:val="00BF7EF7"/>
    <w:rsid w:val="00C006C3"/>
    <w:rsid w:val="00C00FB5"/>
    <w:rsid w:val="00C01852"/>
    <w:rsid w:val="00C01C70"/>
    <w:rsid w:val="00C01F4F"/>
    <w:rsid w:val="00C02BA7"/>
    <w:rsid w:val="00C02C23"/>
    <w:rsid w:val="00C02CAA"/>
    <w:rsid w:val="00C034A7"/>
    <w:rsid w:val="00C03549"/>
    <w:rsid w:val="00C051F5"/>
    <w:rsid w:val="00C0556F"/>
    <w:rsid w:val="00C05791"/>
    <w:rsid w:val="00C05849"/>
    <w:rsid w:val="00C0642A"/>
    <w:rsid w:val="00C06B1B"/>
    <w:rsid w:val="00C07016"/>
    <w:rsid w:val="00C07504"/>
    <w:rsid w:val="00C07816"/>
    <w:rsid w:val="00C07824"/>
    <w:rsid w:val="00C07A5D"/>
    <w:rsid w:val="00C07D93"/>
    <w:rsid w:val="00C1077A"/>
    <w:rsid w:val="00C10E83"/>
    <w:rsid w:val="00C1127C"/>
    <w:rsid w:val="00C11A17"/>
    <w:rsid w:val="00C11F6A"/>
    <w:rsid w:val="00C121C2"/>
    <w:rsid w:val="00C122DB"/>
    <w:rsid w:val="00C12413"/>
    <w:rsid w:val="00C134D8"/>
    <w:rsid w:val="00C135E5"/>
    <w:rsid w:val="00C13675"/>
    <w:rsid w:val="00C13B35"/>
    <w:rsid w:val="00C14048"/>
    <w:rsid w:val="00C14B65"/>
    <w:rsid w:val="00C15259"/>
    <w:rsid w:val="00C15494"/>
    <w:rsid w:val="00C15D49"/>
    <w:rsid w:val="00C1645C"/>
    <w:rsid w:val="00C16F7A"/>
    <w:rsid w:val="00C17766"/>
    <w:rsid w:val="00C178B8"/>
    <w:rsid w:val="00C17DF3"/>
    <w:rsid w:val="00C17E4D"/>
    <w:rsid w:val="00C17E4F"/>
    <w:rsid w:val="00C2168C"/>
    <w:rsid w:val="00C216DC"/>
    <w:rsid w:val="00C21D33"/>
    <w:rsid w:val="00C21F30"/>
    <w:rsid w:val="00C21FBD"/>
    <w:rsid w:val="00C22003"/>
    <w:rsid w:val="00C225A4"/>
    <w:rsid w:val="00C227BC"/>
    <w:rsid w:val="00C22CB8"/>
    <w:rsid w:val="00C231B5"/>
    <w:rsid w:val="00C23641"/>
    <w:rsid w:val="00C23E67"/>
    <w:rsid w:val="00C23FEB"/>
    <w:rsid w:val="00C242FC"/>
    <w:rsid w:val="00C246E4"/>
    <w:rsid w:val="00C2490C"/>
    <w:rsid w:val="00C24D08"/>
    <w:rsid w:val="00C25093"/>
    <w:rsid w:val="00C255B2"/>
    <w:rsid w:val="00C25BBD"/>
    <w:rsid w:val="00C25CC3"/>
    <w:rsid w:val="00C26068"/>
    <w:rsid w:val="00C2660E"/>
    <w:rsid w:val="00C26842"/>
    <w:rsid w:val="00C270AE"/>
    <w:rsid w:val="00C274D9"/>
    <w:rsid w:val="00C2788F"/>
    <w:rsid w:val="00C27C20"/>
    <w:rsid w:val="00C27D01"/>
    <w:rsid w:val="00C27D67"/>
    <w:rsid w:val="00C302B5"/>
    <w:rsid w:val="00C30D8B"/>
    <w:rsid w:val="00C312E5"/>
    <w:rsid w:val="00C31A14"/>
    <w:rsid w:val="00C31FC5"/>
    <w:rsid w:val="00C32389"/>
    <w:rsid w:val="00C32478"/>
    <w:rsid w:val="00C32981"/>
    <w:rsid w:val="00C332CC"/>
    <w:rsid w:val="00C332EE"/>
    <w:rsid w:val="00C33588"/>
    <w:rsid w:val="00C337B8"/>
    <w:rsid w:val="00C33F3C"/>
    <w:rsid w:val="00C3426F"/>
    <w:rsid w:val="00C34557"/>
    <w:rsid w:val="00C34AC4"/>
    <w:rsid w:val="00C35359"/>
    <w:rsid w:val="00C35454"/>
    <w:rsid w:val="00C354AC"/>
    <w:rsid w:val="00C3587F"/>
    <w:rsid w:val="00C359D8"/>
    <w:rsid w:val="00C35CF4"/>
    <w:rsid w:val="00C3690B"/>
    <w:rsid w:val="00C36C63"/>
    <w:rsid w:val="00C36CC2"/>
    <w:rsid w:val="00C36D28"/>
    <w:rsid w:val="00C37605"/>
    <w:rsid w:val="00C377FD"/>
    <w:rsid w:val="00C37D62"/>
    <w:rsid w:val="00C407B1"/>
    <w:rsid w:val="00C40FE2"/>
    <w:rsid w:val="00C41021"/>
    <w:rsid w:val="00C412CD"/>
    <w:rsid w:val="00C41314"/>
    <w:rsid w:val="00C41F96"/>
    <w:rsid w:val="00C421C3"/>
    <w:rsid w:val="00C422D1"/>
    <w:rsid w:val="00C42349"/>
    <w:rsid w:val="00C424CD"/>
    <w:rsid w:val="00C4288E"/>
    <w:rsid w:val="00C42907"/>
    <w:rsid w:val="00C429DE"/>
    <w:rsid w:val="00C42C0D"/>
    <w:rsid w:val="00C42CEB"/>
    <w:rsid w:val="00C43246"/>
    <w:rsid w:val="00C4348A"/>
    <w:rsid w:val="00C43F88"/>
    <w:rsid w:val="00C44321"/>
    <w:rsid w:val="00C4546C"/>
    <w:rsid w:val="00C458FD"/>
    <w:rsid w:val="00C460B2"/>
    <w:rsid w:val="00C46553"/>
    <w:rsid w:val="00C466CD"/>
    <w:rsid w:val="00C4686D"/>
    <w:rsid w:val="00C46CB8"/>
    <w:rsid w:val="00C475C6"/>
    <w:rsid w:val="00C5008E"/>
    <w:rsid w:val="00C505E5"/>
    <w:rsid w:val="00C51057"/>
    <w:rsid w:val="00C51275"/>
    <w:rsid w:val="00C51859"/>
    <w:rsid w:val="00C51B10"/>
    <w:rsid w:val="00C52405"/>
    <w:rsid w:val="00C524AB"/>
    <w:rsid w:val="00C52C0E"/>
    <w:rsid w:val="00C52E26"/>
    <w:rsid w:val="00C532D5"/>
    <w:rsid w:val="00C5330C"/>
    <w:rsid w:val="00C5392D"/>
    <w:rsid w:val="00C53B31"/>
    <w:rsid w:val="00C54189"/>
    <w:rsid w:val="00C54A2F"/>
    <w:rsid w:val="00C54C25"/>
    <w:rsid w:val="00C5523B"/>
    <w:rsid w:val="00C559B7"/>
    <w:rsid w:val="00C569F4"/>
    <w:rsid w:val="00C56A29"/>
    <w:rsid w:val="00C56DE5"/>
    <w:rsid w:val="00C60129"/>
    <w:rsid w:val="00C605C9"/>
    <w:rsid w:val="00C60FBF"/>
    <w:rsid w:val="00C614C0"/>
    <w:rsid w:val="00C617E0"/>
    <w:rsid w:val="00C63357"/>
    <w:rsid w:val="00C635D4"/>
    <w:rsid w:val="00C63A44"/>
    <w:rsid w:val="00C63BA2"/>
    <w:rsid w:val="00C63D2C"/>
    <w:rsid w:val="00C63FEE"/>
    <w:rsid w:val="00C63FF4"/>
    <w:rsid w:val="00C6501B"/>
    <w:rsid w:val="00C66507"/>
    <w:rsid w:val="00C665B5"/>
    <w:rsid w:val="00C67EA3"/>
    <w:rsid w:val="00C700BE"/>
    <w:rsid w:val="00C700FD"/>
    <w:rsid w:val="00C7023A"/>
    <w:rsid w:val="00C70353"/>
    <w:rsid w:val="00C703AA"/>
    <w:rsid w:val="00C70BC1"/>
    <w:rsid w:val="00C7153E"/>
    <w:rsid w:val="00C7199C"/>
    <w:rsid w:val="00C72630"/>
    <w:rsid w:val="00C72956"/>
    <w:rsid w:val="00C72E81"/>
    <w:rsid w:val="00C72FCB"/>
    <w:rsid w:val="00C73B85"/>
    <w:rsid w:val="00C73F64"/>
    <w:rsid w:val="00C740C6"/>
    <w:rsid w:val="00C740CE"/>
    <w:rsid w:val="00C748B8"/>
    <w:rsid w:val="00C74C9C"/>
    <w:rsid w:val="00C756DC"/>
    <w:rsid w:val="00C758BC"/>
    <w:rsid w:val="00C75DE8"/>
    <w:rsid w:val="00C75E74"/>
    <w:rsid w:val="00C76048"/>
    <w:rsid w:val="00C762E9"/>
    <w:rsid w:val="00C768E5"/>
    <w:rsid w:val="00C76C6E"/>
    <w:rsid w:val="00C77067"/>
    <w:rsid w:val="00C77239"/>
    <w:rsid w:val="00C77598"/>
    <w:rsid w:val="00C77A18"/>
    <w:rsid w:val="00C77D2E"/>
    <w:rsid w:val="00C80B28"/>
    <w:rsid w:val="00C80D10"/>
    <w:rsid w:val="00C80D98"/>
    <w:rsid w:val="00C8110E"/>
    <w:rsid w:val="00C816BB"/>
    <w:rsid w:val="00C820FB"/>
    <w:rsid w:val="00C82500"/>
    <w:rsid w:val="00C82B32"/>
    <w:rsid w:val="00C82B58"/>
    <w:rsid w:val="00C82D54"/>
    <w:rsid w:val="00C832DB"/>
    <w:rsid w:val="00C8369A"/>
    <w:rsid w:val="00C83BF6"/>
    <w:rsid w:val="00C85544"/>
    <w:rsid w:val="00C8595E"/>
    <w:rsid w:val="00C85BE8"/>
    <w:rsid w:val="00C86635"/>
    <w:rsid w:val="00C86C5B"/>
    <w:rsid w:val="00C86C93"/>
    <w:rsid w:val="00C86D4E"/>
    <w:rsid w:val="00C87356"/>
    <w:rsid w:val="00C87C2A"/>
    <w:rsid w:val="00C90D17"/>
    <w:rsid w:val="00C91011"/>
    <w:rsid w:val="00C915D2"/>
    <w:rsid w:val="00C918E6"/>
    <w:rsid w:val="00C9207B"/>
    <w:rsid w:val="00C92A22"/>
    <w:rsid w:val="00C92DB9"/>
    <w:rsid w:val="00C94C02"/>
    <w:rsid w:val="00C94E5D"/>
    <w:rsid w:val="00C94FF4"/>
    <w:rsid w:val="00C959F2"/>
    <w:rsid w:val="00C95ED0"/>
    <w:rsid w:val="00C95F3B"/>
    <w:rsid w:val="00C960EB"/>
    <w:rsid w:val="00C96179"/>
    <w:rsid w:val="00C96238"/>
    <w:rsid w:val="00C9637C"/>
    <w:rsid w:val="00C96449"/>
    <w:rsid w:val="00C9644D"/>
    <w:rsid w:val="00C9680B"/>
    <w:rsid w:val="00C96D1C"/>
    <w:rsid w:val="00C97F0A"/>
    <w:rsid w:val="00C97FEC"/>
    <w:rsid w:val="00CA00BC"/>
    <w:rsid w:val="00CA0BDB"/>
    <w:rsid w:val="00CA0E9D"/>
    <w:rsid w:val="00CA114F"/>
    <w:rsid w:val="00CA1392"/>
    <w:rsid w:val="00CA1628"/>
    <w:rsid w:val="00CA1653"/>
    <w:rsid w:val="00CA16FA"/>
    <w:rsid w:val="00CA27B6"/>
    <w:rsid w:val="00CA29A9"/>
    <w:rsid w:val="00CA29AB"/>
    <w:rsid w:val="00CA29ED"/>
    <w:rsid w:val="00CA2FD1"/>
    <w:rsid w:val="00CA3672"/>
    <w:rsid w:val="00CA390A"/>
    <w:rsid w:val="00CA3D1D"/>
    <w:rsid w:val="00CA4893"/>
    <w:rsid w:val="00CA48F8"/>
    <w:rsid w:val="00CA4FD6"/>
    <w:rsid w:val="00CA5123"/>
    <w:rsid w:val="00CA564E"/>
    <w:rsid w:val="00CA56C5"/>
    <w:rsid w:val="00CA58A4"/>
    <w:rsid w:val="00CA5AFE"/>
    <w:rsid w:val="00CA5B5C"/>
    <w:rsid w:val="00CA5DBA"/>
    <w:rsid w:val="00CA5E4D"/>
    <w:rsid w:val="00CA62A9"/>
    <w:rsid w:val="00CA62AE"/>
    <w:rsid w:val="00CA67C2"/>
    <w:rsid w:val="00CA7CD1"/>
    <w:rsid w:val="00CA7E02"/>
    <w:rsid w:val="00CB0110"/>
    <w:rsid w:val="00CB06FC"/>
    <w:rsid w:val="00CB0C9D"/>
    <w:rsid w:val="00CB110B"/>
    <w:rsid w:val="00CB1FDB"/>
    <w:rsid w:val="00CB2067"/>
    <w:rsid w:val="00CB2B0C"/>
    <w:rsid w:val="00CB38F5"/>
    <w:rsid w:val="00CB3A06"/>
    <w:rsid w:val="00CB3A0A"/>
    <w:rsid w:val="00CB3C11"/>
    <w:rsid w:val="00CB419F"/>
    <w:rsid w:val="00CB4B61"/>
    <w:rsid w:val="00CB4BB9"/>
    <w:rsid w:val="00CB4CF6"/>
    <w:rsid w:val="00CB564F"/>
    <w:rsid w:val="00CB5AEC"/>
    <w:rsid w:val="00CB5BE7"/>
    <w:rsid w:val="00CB5EC0"/>
    <w:rsid w:val="00CB6A4F"/>
    <w:rsid w:val="00CB70F8"/>
    <w:rsid w:val="00CB735F"/>
    <w:rsid w:val="00CB7DC8"/>
    <w:rsid w:val="00CC0003"/>
    <w:rsid w:val="00CC0C59"/>
    <w:rsid w:val="00CC129A"/>
    <w:rsid w:val="00CC134B"/>
    <w:rsid w:val="00CC147A"/>
    <w:rsid w:val="00CC162C"/>
    <w:rsid w:val="00CC1B49"/>
    <w:rsid w:val="00CC2053"/>
    <w:rsid w:val="00CC23F4"/>
    <w:rsid w:val="00CC2446"/>
    <w:rsid w:val="00CC2F89"/>
    <w:rsid w:val="00CC32FE"/>
    <w:rsid w:val="00CC3D03"/>
    <w:rsid w:val="00CC3F1F"/>
    <w:rsid w:val="00CC434A"/>
    <w:rsid w:val="00CC46DA"/>
    <w:rsid w:val="00CC5441"/>
    <w:rsid w:val="00CC55C5"/>
    <w:rsid w:val="00CC5F7C"/>
    <w:rsid w:val="00CC61D3"/>
    <w:rsid w:val="00CC65E9"/>
    <w:rsid w:val="00CC66C1"/>
    <w:rsid w:val="00CC6E09"/>
    <w:rsid w:val="00CC750F"/>
    <w:rsid w:val="00CD0177"/>
    <w:rsid w:val="00CD033B"/>
    <w:rsid w:val="00CD08D6"/>
    <w:rsid w:val="00CD0C9B"/>
    <w:rsid w:val="00CD1288"/>
    <w:rsid w:val="00CD1491"/>
    <w:rsid w:val="00CD27C2"/>
    <w:rsid w:val="00CD2EE1"/>
    <w:rsid w:val="00CD2FBD"/>
    <w:rsid w:val="00CD33F2"/>
    <w:rsid w:val="00CD38C1"/>
    <w:rsid w:val="00CD3B1D"/>
    <w:rsid w:val="00CD3E40"/>
    <w:rsid w:val="00CD4127"/>
    <w:rsid w:val="00CD423B"/>
    <w:rsid w:val="00CD45AF"/>
    <w:rsid w:val="00CD4A05"/>
    <w:rsid w:val="00CD5295"/>
    <w:rsid w:val="00CD544D"/>
    <w:rsid w:val="00CD553E"/>
    <w:rsid w:val="00CD5AEE"/>
    <w:rsid w:val="00CD5F4F"/>
    <w:rsid w:val="00CD64C5"/>
    <w:rsid w:val="00CD6847"/>
    <w:rsid w:val="00CD7117"/>
    <w:rsid w:val="00CD713C"/>
    <w:rsid w:val="00CD7288"/>
    <w:rsid w:val="00CD7541"/>
    <w:rsid w:val="00CE0283"/>
    <w:rsid w:val="00CE07B9"/>
    <w:rsid w:val="00CE1AE3"/>
    <w:rsid w:val="00CE1D40"/>
    <w:rsid w:val="00CE1ED9"/>
    <w:rsid w:val="00CE2425"/>
    <w:rsid w:val="00CE28B9"/>
    <w:rsid w:val="00CE2907"/>
    <w:rsid w:val="00CE2E72"/>
    <w:rsid w:val="00CE3314"/>
    <w:rsid w:val="00CE3629"/>
    <w:rsid w:val="00CE3700"/>
    <w:rsid w:val="00CE3860"/>
    <w:rsid w:val="00CE3BBC"/>
    <w:rsid w:val="00CE403E"/>
    <w:rsid w:val="00CE40DF"/>
    <w:rsid w:val="00CE4563"/>
    <w:rsid w:val="00CE4640"/>
    <w:rsid w:val="00CE5A9F"/>
    <w:rsid w:val="00CE5B5B"/>
    <w:rsid w:val="00CE5F21"/>
    <w:rsid w:val="00CE67E0"/>
    <w:rsid w:val="00CE684A"/>
    <w:rsid w:val="00CE6A65"/>
    <w:rsid w:val="00CE6C87"/>
    <w:rsid w:val="00CE6CA8"/>
    <w:rsid w:val="00CE6D7D"/>
    <w:rsid w:val="00CE705F"/>
    <w:rsid w:val="00CE7A0C"/>
    <w:rsid w:val="00CE7A65"/>
    <w:rsid w:val="00CF044F"/>
    <w:rsid w:val="00CF0BF5"/>
    <w:rsid w:val="00CF118F"/>
    <w:rsid w:val="00CF13B2"/>
    <w:rsid w:val="00CF1604"/>
    <w:rsid w:val="00CF176B"/>
    <w:rsid w:val="00CF19E3"/>
    <w:rsid w:val="00CF1A75"/>
    <w:rsid w:val="00CF1D2C"/>
    <w:rsid w:val="00CF2180"/>
    <w:rsid w:val="00CF2A96"/>
    <w:rsid w:val="00CF2F70"/>
    <w:rsid w:val="00CF305D"/>
    <w:rsid w:val="00CF313D"/>
    <w:rsid w:val="00CF3944"/>
    <w:rsid w:val="00CF39E1"/>
    <w:rsid w:val="00CF3DC7"/>
    <w:rsid w:val="00CF3E00"/>
    <w:rsid w:val="00CF525D"/>
    <w:rsid w:val="00CF5772"/>
    <w:rsid w:val="00CF58A2"/>
    <w:rsid w:val="00CF5A64"/>
    <w:rsid w:val="00CF5FD7"/>
    <w:rsid w:val="00CF6A40"/>
    <w:rsid w:val="00CF6DE8"/>
    <w:rsid w:val="00CF6F78"/>
    <w:rsid w:val="00CF7002"/>
    <w:rsid w:val="00CF7344"/>
    <w:rsid w:val="00CF7E95"/>
    <w:rsid w:val="00D000A9"/>
    <w:rsid w:val="00D00219"/>
    <w:rsid w:val="00D00491"/>
    <w:rsid w:val="00D0060D"/>
    <w:rsid w:val="00D0064F"/>
    <w:rsid w:val="00D0076C"/>
    <w:rsid w:val="00D01074"/>
    <w:rsid w:val="00D011C4"/>
    <w:rsid w:val="00D01DF7"/>
    <w:rsid w:val="00D02147"/>
    <w:rsid w:val="00D02BB7"/>
    <w:rsid w:val="00D036B4"/>
    <w:rsid w:val="00D0385E"/>
    <w:rsid w:val="00D0397C"/>
    <w:rsid w:val="00D039E9"/>
    <w:rsid w:val="00D04572"/>
    <w:rsid w:val="00D047EB"/>
    <w:rsid w:val="00D04FF9"/>
    <w:rsid w:val="00D050B6"/>
    <w:rsid w:val="00D05D20"/>
    <w:rsid w:val="00D062C1"/>
    <w:rsid w:val="00D06392"/>
    <w:rsid w:val="00D06652"/>
    <w:rsid w:val="00D0687F"/>
    <w:rsid w:val="00D0699E"/>
    <w:rsid w:val="00D069F1"/>
    <w:rsid w:val="00D06BB9"/>
    <w:rsid w:val="00D06D41"/>
    <w:rsid w:val="00D077D5"/>
    <w:rsid w:val="00D078B1"/>
    <w:rsid w:val="00D079F4"/>
    <w:rsid w:val="00D106A6"/>
    <w:rsid w:val="00D10EBD"/>
    <w:rsid w:val="00D11057"/>
    <w:rsid w:val="00D11633"/>
    <w:rsid w:val="00D11A30"/>
    <w:rsid w:val="00D11C1C"/>
    <w:rsid w:val="00D11C3F"/>
    <w:rsid w:val="00D11D83"/>
    <w:rsid w:val="00D12A6C"/>
    <w:rsid w:val="00D12C92"/>
    <w:rsid w:val="00D132D1"/>
    <w:rsid w:val="00D137A4"/>
    <w:rsid w:val="00D137D3"/>
    <w:rsid w:val="00D13B40"/>
    <w:rsid w:val="00D13C7E"/>
    <w:rsid w:val="00D142A9"/>
    <w:rsid w:val="00D14575"/>
    <w:rsid w:val="00D14B97"/>
    <w:rsid w:val="00D151CA"/>
    <w:rsid w:val="00D16538"/>
    <w:rsid w:val="00D16B6B"/>
    <w:rsid w:val="00D17F68"/>
    <w:rsid w:val="00D20413"/>
    <w:rsid w:val="00D207A5"/>
    <w:rsid w:val="00D208FD"/>
    <w:rsid w:val="00D209A9"/>
    <w:rsid w:val="00D20CC3"/>
    <w:rsid w:val="00D20E3A"/>
    <w:rsid w:val="00D2113F"/>
    <w:rsid w:val="00D2131C"/>
    <w:rsid w:val="00D21BFA"/>
    <w:rsid w:val="00D22492"/>
    <w:rsid w:val="00D2253D"/>
    <w:rsid w:val="00D22C5A"/>
    <w:rsid w:val="00D22EC4"/>
    <w:rsid w:val="00D230A5"/>
    <w:rsid w:val="00D23256"/>
    <w:rsid w:val="00D234AC"/>
    <w:rsid w:val="00D24680"/>
    <w:rsid w:val="00D246DD"/>
    <w:rsid w:val="00D24D14"/>
    <w:rsid w:val="00D259FE"/>
    <w:rsid w:val="00D25AE5"/>
    <w:rsid w:val="00D26D82"/>
    <w:rsid w:val="00D26FBA"/>
    <w:rsid w:val="00D271C4"/>
    <w:rsid w:val="00D27518"/>
    <w:rsid w:val="00D27D5D"/>
    <w:rsid w:val="00D27F38"/>
    <w:rsid w:val="00D27FB0"/>
    <w:rsid w:val="00D3066A"/>
    <w:rsid w:val="00D30704"/>
    <w:rsid w:val="00D30C0E"/>
    <w:rsid w:val="00D30FEA"/>
    <w:rsid w:val="00D3168F"/>
    <w:rsid w:val="00D319AC"/>
    <w:rsid w:val="00D31D27"/>
    <w:rsid w:val="00D31D6F"/>
    <w:rsid w:val="00D3201A"/>
    <w:rsid w:val="00D324D3"/>
    <w:rsid w:val="00D3263C"/>
    <w:rsid w:val="00D32D89"/>
    <w:rsid w:val="00D3307F"/>
    <w:rsid w:val="00D33450"/>
    <w:rsid w:val="00D3370A"/>
    <w:rsid w:val="00D34D0F"/>
    <w:rsid w:val="00D34F60"/>
    <w:rsid w:val="00D350BD"/>
    <w:rsid w:val="00D3565C"/>
    <w:rsid w:val="00D35863"/>
    <w:rsid w:val="00D35C0D"/>
    <w:rsid w:val="00D35C6D"/>
    <w:rsid w:val="00D360EC"/>
    <w:rsid w:val="00D36442"/>
    <w:rsid w:val="00D36EF1"/>
    <w:rsid w:val="00D37417"/>
    <w:rsid w:val="00D4006F"/>
    <w:rsid w:val="00D4009A"/>
    <w:rsid w:val="00D41A07"/>
    <w:rsid w:val="00D41B63"/>
    <w:rsid w:val="00D42537"/>
    <w:rsid w:val="00D4258C"/>
    <w:rsid w:val="00D42BB2"/>
    <w:rsid w:val="00D42CC0"/>
    <w:rsid w:val="00D42D50"/>
    <w:rsid w:val="00D43251"/>
    <w:rsid w:val="00D43282"/>
    <w:rsid w:val="00D4335A"/>
    <w:rsid w:val="00D43556"/>
    <w:rsid w:val="00D436BE"/>
    <w:rsid w:val="00D43820"/>
    <w:rsid w:val="00D43E4C"/>
    <w:rsid w:val="00D43F3B"/>
    <w:rsid w:val="00D440C9"/>
    <w:rsid w:val="00D44D9D"/>
    <w:rsid w:val="00D44E77"/>
    <w:rsid w:val="00D45012"/>
    <w:rsid w:val="00D456DE"/>
    <w:rsid w:val="00D45863"/>
    <w:rsid w:val="00D45F76"/>
    <w:rsid w:val="00D46296"/>
    <w:rsid w:val="00D46514"/>
    <w:rsid w:val="00D467B7"/>
    <w:rsid w:val="00D46BB2"/>
    <w:rsid w:val="00D46FD7"/>
    <w:rsid w:val="00D503B4"/>
    <w:rsid w:val="00D5056A"/>
    <w:rsid w:val="00D50710"/>
    <w:rsid w:val="00D50AC9"/>
    <w:rsid w:val="00D51644"/>
    <w:rsid w:val="00D51BC2"/>
    <w:rsid w:val="00D51FEE"/>
    <w:rsid w:val="00D5244C"/>
    <w:rsid w:val="00D52821"/>
    <w:rsid w:val="00D52D41"/>
    <w:rsid w:val="00D530B8"/>
    <w:rsid w:val="00D530EE"/>
    <w:rsid w:val="00D532EC"/>
    <w:rsid w:val="00D53592"/>
    <w:rsid w:val="00D53622"/>
    <w:rsid w:val="00D5371B"/>
    <w:rsid w:val="00D53AFA"/>
    <w:rsid w:val="00D542ED"/>
    <w:rsid w:val="00D54526"/>
    <w:rsid w:val="00D54C50"/>
    <w:rsid w:val="00D55365"/>
    <w:rsid w:val="00D5544F"/>
    <w:rsid w:val="00D55731"/>
    <w:rsid w:val="00D56211"/>
    <w:rsid w:val="00D56360"/>
    <w:rsid w:val="00D569D4"/>
    <w:rsid w:val="00D570D8"/>
    <w:rsid w:val="00D57156"/>
    <w:rsid w:val="00D57933"/>
    <w:rsid w:val="00D5799D"/>
    <w:rsid w:val="00D57E64"/>
    <w:rsid w:val="00D600ED"/>
    <w:rsid w:val="00D60540"/>
    <w:rsid w:val="00D60D59"/>
    <w:rsid w:val="00D60D5C"/>
    <w:rsid w:val="00D6101F"/>
    <w:rsid w:val="00D611F1"/>
    <w:rsid w:val="00D6133C"/>
    <w:rsid w:val="00D61549"/>
    <w:rsid w:val="00D61603"/>
    <w:rsid w:val="00D61A6C"/>
    <w:rsid w:val="00D61C9E"/>
    <w:rsid w:val="00D61E83"/>
    <w:rsid w:val="00D621A0"/>
    <w:rsid w:val="00D622C8"/>
    <w:rsid w:val="00D624D6"/>
    <w:rsid w:val="00D62577"/>
    <w:rsid w:val="00D62C83"/>
    <w:rsid w:val="00D63B02"/>
    <w:rsid w:val="00D63FDF"/>
    <w:rsid w:val="00D64054"/>
    <w:rsid w:val="00D6453E"/>
    <w:rsid w:val="00D65AE8"/>
    <w:rsid w:val="00D661A3"/>
    <w:rsid w:val="00D6686A"/>
    <w:rsid w:val="00D66B55"/>
    <w:rsid w:val="00D6704D"/>
    <w:rsid w:val="00D675DB"/>
    <w:rsid w:val="00D67CB7"/>
    <w:rsid w:val="00D67ECB"/>
    <w:rsid w:val="00D70091"/>
    <w:rsid w:val="00D70327"/>
    <w:rsid w:val="00D706AC"/>
    <w:rsid w:val="00D707B3"/>
    <w:rsid w:val="00D7194D"/>
    <w:rsid w:val="00D71A07"/>
    <w:rsid w:val="00D71B48"/>
    <w:rsid w:val="00D71D93"/>
    <w:rsid w:val="00D72061"/>
    <w:rsid w:val="00D72822"/>
    <w:rsid w:val="00D72E2B"/>
    <w:rsid w:val="00D73363"/>
    <w:rsid w:val="00D73744"/>
    <w:rsid w:val="00D73847"/>
    <w:rsid w:val="00D73A66"/>
    <w:rsid w:val="00D73BAB"/>
    <w:rsid w:val="00D7401B"/>
    <w:rsid w:val="00D7422C"/>
    <w:rsid w:val="00D7449C"/>
    <w:rsid w:val="00D74745"/>
    <w:rsid w:val="00D74F2E"/>
    <w:rsid w:val="00D753D3"/>
    <w:rsid w:val="00D75C63"/>
    <w:rsid w:val="00D76770"/>
    <w:rsid w:val="00D76802"/>
    <w:rsid w:val="00D7689C"/>
    <w:rsid w:val="00D76B32"/>
    <w:rsid w:val="00D76C3D"/>
    <w:rsid w:val="00D76CCF"/>
    <w:rsid w:val="00D76E36"/>
    <w:rsid w:val="00D76E5E"/>
    <w:rsid w:val="00D76F29"/>
    <w:rsid w:val="00D7726E"/>
    <w:rsid w:val="00D77478"/>
    <w:rsid w:val="00D77CBF"/>
    <w:rsid w:val="00D80D49"/>
    <w:rsid w:val="00D8102D"/>
    <w:rsid w:val="00D8121B"/>
    <w:rsid w:val="00D8133F"/>
    <w:rsid w:val="00D81831"/>
    <w:rsid w:val="00D81C3A"/>
    <w:rsid w:val="00D81E65"/>
    <w:rsid w:val="00D82341"/>
    <w:rsid w:val="00D83030"/>
    <w:rsid w:val="00D8314A"/>
    <w:rsid w:val="00D834CD"/>
    <w:rsid w:val="00D83625"/>
    <w:rsid w:val="00D83770"/>
    <w:rsid w:val="00D837CA"/>
    <w:rsid w:val="00D838E8"/>
    <w:rsid w:val="00D839F6"/>
    <w:rsid w:val="00D83E9D"/>
    <w:rsid w:val="00D83F33"/>
    <w:rsid w:val="00D8440B"/>
    <w:rsid w:val="00D855D5"/>
    <w:rsid w:val="00D8577F"/>
    <w:rsid w:val="00D85969"/>
    <w:rsid w:val="00D85C8F"/>
    <w:rsid w:val="00D86B73"/>
    <w:rsid w:val="00D86E4C"/>
    <w:rsid w:val="00D90F0C"/>
    <w:rsid w:val="00D91253"/>
    <w:rsid w:val="00D927E7"/>
    <w:rsid w:val="00D92954"/>
    <w:rsid w:val="00D93CF7"/>
    <w:rsid w:val="00D9420E"/>
    <w:rsid w:val="00D94813"/>
    <w:rsid w:val="00D9500C"/>
    <w:rsid w:val="00D952AD"/>
    <w:rsid w:val="00D956D6"/>
    <w:rsid w:val="00D95DA2"/>
    <w:rsid w:val="00D960F3"/>
    <w:rsid w:val="00D962E8"/>
    <w:rsid w:val="00D96CC8"/>
    <w:rsid w:val="00D9702E"/>
    <w:rsid w:val="00D97D24"/>
    <w:rsid w:val="00D97EEF"/>
    <w:rsid w:val="00DA0806"/>
    <w:rsid w:val="00DA0938"/>
    <w:rsid w:val="00DA0C8A"/>
    <w:rsid w:val="00DA1305"/>
    <w:rsid w:val="00DA13E8"/>
    <w:rsid w:val="00DA1970"/>
    <w:rsid w:val="00DA1F15"/>
    <w:rsid w:val="00DA1F1B"/>
    <w:rsid w:val="00DA2967"/>
    <w:rsid w:val="00DA2B6C"/>
    <w:rsid w:val="00DA2BAC"/>
    <w:rsid w:val="00DA39DC"/>
    <w:rsid w:val="00DA4584"/>
    <w:rsid w:val="00DA4D23"/>
    <w:rsid w:val="00DA505A"/>
    <w:rsid w:val="00DA528B"/>
    <w:rsid w:val="00DA56AC"/>
    <w:rsid w:val="00DA5784"/>
    <w:rsid w:val="00DA6082"/>
    <w:rsid w:val="00DA60D5"/>
    <w:rsid w:val="00DA6597"/>
    <w:rsid w:val="00DA67B1"/>
    <w:rsid w:val="00DA6C5F"/>
    <w:rsid w:val="00DA739C"/>
    <w:rsid w:val="00DA7A4B"/>
    <w:rsid w:val="00DA7CE3"/>
    <w:rsid w:val="00DB0C6A"/>
    <w:rsid w:val="00DB0D1E"/>
    <w:rsid w:val="00DB103E"/>
    <w:rsid w:val="00DB1165"/>
    <w:rsid w:val="00DB27DF"/>
    <w:rsid w:val="00DB2A1B"/>
    <w:rsid w:val="00DB2D82"/>
    <w:rsid w:val="00DB3647"/>
    <w:rsid w:val="00DB3A9A"/>
    <w:rsid w:val="00DB42AC"/>
    <w:rsid w:val="00DB42DF"/>
    <w:rsid w:val="00DB4331"/>
    <w:rsid w:val="00DB43CA"/>
    <w:rsid w:val="00DB4A95"/>
    <w:rsid w:val="00DB525F"/>
    <w:rsid w:val="00DB54E1"/>
    <w:rsid w:val="00DB5EDD"/>
    <w:rsid w:val="00DC094E"/>
    <w:rsid w:val="00DC0BAC"/>
    <w:rsid w:val="00DC0D8A"/>
    <w:rsid w:val="00DC0E7E"/>
    <w:rsid w:val="00DC15D6"/>
    <w:rsid w:val="00DC1CA9"/>
    <w:rsid w:val="00DC1D4A"/>
    <w:rsid w:val="00DC2152"/>
    <w:rsid w:val="00DC2296"/>
    <w:rsid w:val="00DC22CA"/>
    <w:rsid w:val="00DC23D5"/>
    <w:rsid w:val="00DC3470"/>
    <w:rsid w:val="00DC3AAB"/>
    <w:rsid w:val="00DC4328"/>
    <w:rsid w:val="00DC4646"/>
    <w:rsid w:val="00DC4DD3"/>
    <w:rsid w:val="00DC4E34"/>
    <w:rsid w:val="00DC5B11"/>
    <w:rsid w:val="00DC5E24"/>
    <w:rsid w:val="00DC5E73"/>
    <w:rsid w:val="00DC6149"/>
    <w:rsid w:val="00DC6462"/>
    <w:rsid w:val="00DC690E"/>
    <w:rsid w:val="00DC69A2"/>
    <w:rsid w:val="00DC70F3"/>
    <w:rsid w:val="00DC71BD"/>
    <w:rsid w:val="00DD0312"/>
    <w:rsid w:val="00DD03F1"/>
    <w:rsid w:val="00DD08C3"/>
    <w:rsid w:val="00DD09C6"/>
    <w:rsid w:val="00DD0EB6"/>
    <w:rsid w:val="00DD0F6D"/>
    <w:rsid w:val="00DD10AF"/>
    <w:rsid w:val="00DD1157"/>
    <w:rsid w:val="00DD1420"/>
    <w:rsid w:val="00DD2868"/>
    <w:rsid w:val="00DD29CA"/>
    <w:rsid w:val="00DD2A40"/>
    <w:rsid w:val="00DD2CB6"/>
    <w:rsid w:val="00DD3113"/>
    <w:rsid w:val="00DD3230"/>
    <w:rsid w:val="00DD32F4"/>
    <w:rsid w:val="00DD33B0"/>
    <w:rsid w:val="00DD3AE1"/>
    <w:rsid w:val="00DD4295"/>
    <w:rsid w:val="00DD441C"/>
    <w:rsid w:val="00DD46DD"/>
    <w:rsid w:val="00DD4B0F"/>
    <w:rsid w:val="00DD4F07"/>
    <w:rsid w:val="00DD55EF"/>
    <w:rsid w:val="00DD56C2"/>
    <w:rsid w:val="00DD5EC0"/>
    <w:rsid w:val="00DD667B"/>
    <w:rsid w:val="00DD69E0"/>
    <w:rsid w:val="00DD6B6B"/>
    <w:rsid w:val="00DD7109"/>
    <w:rsid w:val="00DD7436"/>
    <w:rsid w:val="00DD754A"/>
    <w:rsid w:val="00DD7B7D"/>
    <w:rsid w:val="00DD7D43"/>
    <w:rsid w:val="00DE07AF"/>
    <w:rsid w:val="00DE0FE1"/>
    <w:rsid w:val="00DE14F5"/>
    <w:rsid w:val="00DE18BB"/>
    <w:rsid w:val="00DE24D2"/>
    <w:rsid w:val="00DE28A0"/>
    <w:rsid w:val="00DE28CB"/>
    <w:rsid w:val="00DE3709"/>
    <w:rsid w:val="00DE3CAB"/>
    <w:rsid w:val="00DE4488"/>
    <w:rsid w:val="00DE4490"/>
    <w:rsid w:val="00DE4758"/>
    <w:rsid w:val="00DE4DD4"/>
    <w:rsid w:val="00DE5232"/>
    <w:rsid w:val="00DE54FC"/>
    <w:rsid w:val="00DE584E"/>
    <w:rsid w:val="00DE6623"/>
    <w:rsid w:val="00DE667E"/>
    <w:rsid w:val="00DE71E5"/>
    <w:rsid w:val="00DE7676"/>
    <w:rsid w:val="00DE7A8F"/>
    <w:rsid w:val="00DE7A93"/>
    <w:rsid w:val="00DE7D2A"/>
    <w:rsid w:val="00DE7E0B"/>
    <w:rsid w:val="00DF0A7A"/>
    <w:rsid w:val="00DF0C86"/>
    <w:rsid w:val="00DF0CB7"/>
    <w:rsid w:val="00DF0CD8"/>
    <w:rsid w:val="00DF1299"/>
    <w:rsid w:val="00DF1AEC"/>
    <w:rsid w:val="00DF1FC7"/>
    <w:rsid w:val="00DF26AA"/>
    <w:rsid w:val="00DF288F"/>
    <w:rsid w:val="00DF29EC"/>
    <w:rsid w:val="00DF2FA4"/>
    <w:rsid w:val="00DF2FDB"/>
    <w:rsid w:val="00DF46B6"/>
    <w:rsid w:val="00DF4AFE"/>
    <w:rsid w:val="00DF54F0"/>
    <w:rsid w:val="00DF5C12"/>
    <w:rsid w:val="00DF6512"/>
    <w:rsid w:val="00DF6568"/>
    <w:rsid w:val="00DF6A4A"/>
    <w:rsid w:val="00DF6D3A"/>
    <w:rsid w:val="00DF788A"/>
    <w:rsid w:val="00DF7A88"/>
    <w:rsid w:val="00DF7CF9"/>
    <w:rsid w:val="00DF7E32"/>
    <w:rsid w:val="00E00048"/>
    <w:rsid w:val="00E000EB"/>
    <w:rsid w:val="00E000F2"/>
    <w:rsid w:val="00E007B5"/>
    <w:rsid w:val="00E007E8"/>
    <w:rsid w:val="00E00975"/>
    <w:rsid w:val="00E00BC9"/>
    <w:rsid w:val="00E01080"/>
    <w:rsid w:val="00E014BA"/>
    <w:rsid w:val="00E016DF"/>
    <w:rsid w:val="00E0177D"/>
    <w:rsid w:val="00E01899"/>
    <w:rsid w:val="00E01B04"/>
    <w:rsid w:val="00E01B9D"/>
    <w:rsid w:val="00E01F4C"/>
    <w:rsid w:val="00E020DC"/>
    <w:rsid w:val="00E020F1"/>
    <w:rsid w:val="00E0297F"/>
    <w:rsid w:val="00E02FBD"/>
    <w:rsid w:val="00E030EA"/>
    <w:rsid w:val="00E03B31"/>
    <w:rsid w:val="00E03DEE"/>
    <w:rsid w:val="00E03F1F"/>
    <w:rsid w:val="00E04358"/>
    <w:rsid w:val="00E044C5"/>
    <w:rsid w:val="00E04DF8"/>
    <w:rsid w:val="00E0581D"/>
    <w:rsid w:val="00E05C5D"/>
    <w:rsid w:val="00E05EBC"/>
    <w:rsid w:val="00E06365"/>
    <w:rsid w:val="00E067C9"/>
    <w:rsid w:val="00E06B74"/>
    <w:rsid w:val="00E06F82"/>
    <w:rsid w:val="00E0718F"/>
    <w:rsid w:val="00E0737D"/>
    <w:rsid w:val="00E10B22"/>
    <w:rsid w:val="00E11728"/>
    <w:rsid w:val="00E12112"/>
    <w:rsid w:val="00E12113"/>
    <w:rsid w:val="00E12904"/>
    <w:rsid w:val="00E12AF8"/>
    <w:rsid w:val="00E12F22"/>
    <w:rsid w:val="00E12F7F"/>
    <w:rsid w:val="00E134FD"/>
    <w:rsid w:val="00E136C6"/>
    <w:rsid w:val="00E13942"/>
    <w:rsid w:val="00E13947"/>
    <w:rsid w:val="00E13A22"/>
    <w:rsid w:val="00E13A73"/>
    <w:rsid w:val="00E13FC2"/>
    <w:rsid w:val="00E141ED"/>
    <w:rsid w:val="00E1424B"/>
    <w:rsid w:val="00E143F2"/>
    <w:rsid w:val="00E144B9"/>
    <w:rsid w:val="00E14ACC"/>
    <w:rsid w:val="00E14D30"/>
    <w:rsid w:val="00E14E11"/>
    <w:rsid w:val="00E14FB7"/>
    <w:rsid w:val="00E1560E"/>
    <w:rsid w:val="00E15684"/>
    <w:rsid w:val="00E15BA8"/>
    <w:rsid w:val="00E15FBD"/>
    <w:rsid w:val="00E16A8D"/>
    <w:rsid w:val="00E16D9C"/>
    <w:rsid w:val="00E17D6D"/>
    <w:rsid w:val="00E17F3E"/>
    <w:rsid w:val="00E20DF0"/>
    <w:rsid w:val="00E21350"/>
    <w:rsid w:val="00E217D2"/>
    <w:rsid w:val="00E2186B"/>
    <w:rsid w:val="00E21978"/>
    <w:rsid w:val="00E21AD6"/>
    <w:rsid w:val="00E22380"/>
    <w:rsid w:val="00E226A2"/>
    <w:rsid w:val="00E22967"/>
    <w:rsid w:val="00E22BB8"/>
    <w:rsid w:val="00E232A9"/>
    <w:rsid w:val="00E23C82"/>
    <w:rsid w:val="00E23F88"/>
    <w:rsid w:val="00E24062"/>
    <w:rsid w:val="00E24424"/>
    <w:rsid w:val="00E24FD2"/>
    <w:rsid w:val="00E25357"/>
    <w:rsid w:val="00E2539A"/>
    <w:rsid w:val="00E255EB"/>
    <w:rsid w:val="00E257D6"/>
    <w:rsid w:val="00E25A3F"/>
    <w:rsid w:val="00E25E1B"/>
    <w:rsid w:val="00E25FA3"/>
    <w:rsid w:val="00E25FD3"/>
    <w:rsid w:val="00E26024"/>
    <w:rsid w:val="00E26906"/>
    <w:rsid w:val="00E26939"/>
    <w:rsid w:val="00E26A0F"/>
    <w:rsid w:val="00E2724B"/>
    <w:rsid w:val="00E27282"/>
    <w:rsid w:val="00E27377"/>
    <w:rsid w:val="00E274D6"/>
    <w:rsid w:val="00E27BA1"/>
    <w:rsid w:val="00E3000D"/>
    <w:rsid w:val="00E302FD"/>
    <w:rsid w:val="00E3036A"/>
    <w:rsid w:val="00E3068D"/>
    <w:rsid w:val="00E306D3"/>
    <w:rsid w:val="00E3089E"/>
    <w:rsid w:val="00E3097E"/>
    <w:rsid w:val="00E311B3"/>
    <w:rsid w:val="00E311FF"/>
    <w:rsid w:val="00E31A74"/>
    <w:rsid w:val="00E32A00"/>
    <w:rsid w:val="00E32BDD"/>
    <w:rsid w:val="00E330E1"/>
    <w:rsid w:val="00E335D3"/>
    <w:rsid w:val="00E33A6A"/>
    <w:rsid w:val="00E33B71"/>
    <w:rsid w:val="00E33C87"/>
    <w:rsid w:val="00E33C97"/>
    <w:rsid w:val="00E33D36"/>
    <w:rsid w:val="00E349A5"/>
    <w:rsid w:val="00E35224"/>
    <w:rsid w:val="00E3534D"/>
    <w:rsid w:val="00E353A1"/>
    <w:rsid w:val="00E36242"/>
    <w:rsid w:val="00E375C3"/>
    <w:rsid w:val="00E376C5"/>
    <w:rsid w:val="00E37A64"/>
    <w:rsid w:val="00E37DA8"/>
    <w:rsid w:val="00E40498"/>
    <w:rsid w:val="00E40CAC"/>
    <w:rsid w:val="00E4118E"/>
    <w:rsid w:val="00E41CD8"/>
    <w:rsid w:val="00E41DB0"/>
    <w:rsid w:val="00E41F96"/>
    <w:rsid w:val="00E426D3"/>
    <w:rsid w:val="00E429C2"/>
    <w:rsid w:val="00E42BC5"/>
    <w:rsid w:val="00E430A6"/>
    <w:rsid w:val="00E430BD"/>
    <w:rsid w:val="00E43492"/>
    <w:rsid w:val="00E434E5"/>
    <w:rsid w:val="00E44729"/>
    <w:rsid w:val="00E449ED"/>
    <w:rsid w:val="00E44E21"/>
    <w:rsid w:val="00E4527F"/>
    <w:rsid w:val="00E45838"/>
    <w:rsid w:val="00E45CEB"/>
    <w:rsid w:val="00E466EB"/>
    <w:rsid w:val="00E467A0"/>
    <w:rsid w:val="00E46D84"/>
    <w:rsid w:val="00E46D98"/>
    <w:rsid w:val="00E46F90"/>
    <w:rsid w:val="00E4793B"/>
    <w:rsid w:val="00E505E4"/>
    <w:rsid w:val="00E50DE1"/>
    <w:rsid w:val="00E50E1F"/>
    <w:rsid w:val="00E514A4"/>
    <w:rsid w:val="00E51930"/>
    <w:rsid w:val="00E52043"/>
    <w:rsid w:val="00E522D0"/>
    <w:rsid w:val="00E5390E"/>
    <w:rsid w:val="00E53921"/>
    <w:rsid w:val="00E53C53"/>
    <w:rsid w:val="00E53EF0"/>
    <w:rsid w:val="00E54579"/>
    <w:rsid w:val="00E54E86"/>
    <w:rsid w:val="00E550F6"/>
    <w:rsid w:val="00E5521F"/>
    <w:rsid w:val="00E55519"/>
    <w:rsid w:val="00E55DE1"/>
    <w:rsid w:val="00E55F1E"/>
    <w:rsid w:val="00E56101"/>
    <w:rsid w:val="00E566B2"/>
    <w:rsid w:val="00E567B7"/>
    <w:rsid w:val="00E56C16"/>
    <w:rsid w:val="00E57580"/>
    <w:rsid w:val="00E579E2"/>
    <w:rsid w:val="00E60328"/>
    <w:rsid w:val="00E60D8B"/>
    <w:rsid w:val="00E610CB"/>
    <w:rsid w:val="00E6190B"/>
    <w:rsid w:val="00E61B58"/>
    <w:rsid w:val="00E61C53"/>
    <w:rsid w:val="00E61E15"/>
    <w:rsid w:val="00E61EDC"/>
    <w:rsid w:val="00E62216"/>
    <w:rsid w:val="00E6271B"/>
    <w:rsid w:val="00E628F1"/>
    <w:rsid w:val="00E62ADE"/>
    <w:rsid w:val="00E630A3"/>
    <w:rsid w:val="00E631CF"/>
    <w:rsid w:val="00E646FD"/>
    <w:rsid w:val="00E64AB3"/>
    <w:rsid w:val="00E64E58"/>
    <w:rsid w:val="00E6519D"/>
    <w:rsid w:val="00E654CF"/>
    <w:rsid w:val="00E657E9"/>
    <w:rsid w:val="00E660BC"/>
    <w:rsid w:val="00E6761A"/>
    <w:rsid w:val="00E67EC9"/>
    <w:rsid w:val="00E714D8"/>
    <w:rsid w:val="00E71C10"/>
    <w:rsid w:val="00E71D22"/>
    <w:rsid w:val="00E71F1D"/>
    <w:rsid w:val="00E725D8"/>
    <w:rsid w:val="00E727CF"/>
    <w:rsid w:val="00E72E12"/>
    <w:rsid w:val="00E72EE6"/>
    <w:rsid w:val="00E730CA"/>
    <w:rsid w:val="00E7313E"/>
    <w:rsid w:val="00E7323A"/>
    <w:rsid w:val="00E7325B"/>
    <w:rsid w:val="00E7355B"/>
    <w:rsid w:val="00E73F36"/>
    <w:rsid w:val="00E744A2"/>
    <w:rsid w:val="00E74C5B"/>
    <w:rsid w:val="00E74DFD"/>
    <w:rsid w:val="00E752AD"/>
    <w:rsid w:val="00E755EC"/>
    <w:rsid w:val="00E756D6"/>
    <w:rsid w:val="00E75842"/>
    <w:rsid w:val="00E75B0A"/>
    <w:rsid w:val="00E760AF"/>
    <w:rsid w:val="00E761EC"/>
    <w:rsid w:val="00E767D0"/>
    <w:rsid w:val="00E76846"/>
    <w:rsid w:val="00E769D7"/>
    <w:rsid w:val="00E76B9D"/>
    <w:rsid w:val="00E77575"/>
    <w:rsid w:val="00E776C7"/>
    <w:rsid w:val="00E77A14"/>
    <w:rsid w:val="00E80FC5"/>
    <w:rsid w:val="00E81165"/>
    <w:rsid w:val="00E81C31"/>
    <w:rsid w:val="00E81F8F"/>
    <w:rsid w:val="00E82061"/>
    <w:rsid w:val="00E827C1"/>
    <w:rsid w:val="00E827EE"/>
    <w:rsid w:val="00E833EA"/>
    <w:rsid w:val="00E849BF"/>
    <w:rsid w:val="00E85399"/>
    <w:rsid w:val="00E85D28"/>
    <w:rsid w:val="00E86E70"/>
    <w:rsid w:val="00E87CAE"/>
    <w:rsid w:val="00E87ECC"/>
    <w:rsid w:val="00E90187"/>
    <w:rsid w:val="00E90376"/>
    <w:rsid w:val="00E903E5"/>
    <w:rsid w:val="00E90450"/>
    <w:rsid w:val="00E90538"/>
    <w:rsid w:val="00E90A53"/>
    <w:rsid w:val="00E91605"/>
    <w:rsid w:val="00E91658"/>
    <w:rsid w:val="00E92877"/>
    <w:rsid w:val="00E928D8"/>
    <w:rsid w:val="00E93EDE"/>
    <w:rsid w:val="00E93EE7"/>
    <w:rsid w:val="00E940C0"/>
    <w:rsid w:val="00E94895"/>
    <w:rsid w:val="00E94AF1"/>
    <w:rsid w:val="00E94FDD"/>
    <w:rsid w:val="00E9528E"/>
    <w:rsid w:val="00E9608F"/>
    <w:rsid w:val="00E96A7D"/>
    <w:rsid w:val="00E971E2"/>
    <w:rsid w:val="00E979FF"/>
    <w:rsid w:val="00E97C7A"/>
    <w:rsid w:val="00E97E73"/>
    <w:rsid w:val="00EA0453"/>
    <w:rsid w:val="00EA076D"/>
    <w:rsid w:val="00EA106E"/>
    <w:rsid w:val="00EA12DA"/>
    <w:rsid w:val="00EA1732"/>
    <w:rsid w:val="00EA179D"/>
    <w:rsid w:val="00EA192F"/>
    <w:rsid w:val="00EA19C1"/>
    <w:rsid w:val="00EA1A09"/>
    <w:rsid w:val="00EA1AB8"/>
    <w:rsid w:val="00EA1B9D"/>
    <w:rsid w:val="00EA1BA5"/>
    <w:rsid w:val="00EA1BAC"/>
    <w:rsid w:val="00EA1BC7"/>
    <w:rsid w:val="00EA2B0D"/>
    <w:rsid w:val="00EA32EB"/>
    <w:rsid w:val="00EA3321"/>
    <w:rsid w:val="00EA3AEA"/>
    <w:rsid w:val="00EA3B28"/>
    <w:rsid w:val="00EA3D7B"/>
    <w:rsid w:val="00EA4422"/>
    <w:rsid w:val="00EA45E6"/>
    <w:rsid w:val="00EA4634"/>
    <w:rsid w:val="00EA4658"/>
    <w:rsid w:val="00EA468A"/>
    <w:rsid w:val="00EA4F0B"/>
    <w:rsid w:val="00EA4F8D"/>
    <w:rsid w:val="00EA5652"/>
    <w:rsid w:val="00EA5A64"/>
    <w:rsid w:val="00EA5D5D"/>
    <w:rsid w:val="00EA5E76"/>
    <w:rsid w:val="00EA621F"/>
    <w:rsid w:val="00EA661B"/>
    <w:rsid w:val="00EA6951"/>
    <w:rsid w:val="00EA6E64"/>
    <w:rsid w:val="00EA6E7D"/>
    <w:rsid w:val="00EA745C"/>
    <w:rsid w:val="00EA7F31"/>
    <w:rsid w:val="00EA7F8F"/>
    <w:rsid w:val="00EB097D"/>
    <w:rsid w:val="00EB099F"/>
    <w:rsid w:val="00EB0CBB"/>
    <w:rsid w:val="00EB0CCE"/>
    <w:rsid w:val="00EB0EAB"/>
    <w:rsid w:val="00EB0FBB"/>
    <w:rsid w:val="00EB1666"/>
    <w:rsid w:val="00EB171B"/>
    <w:rsid w:val="00EB2252"/>
    <w:rsid w:val="00EB2471"/>
    <w:rsid w:val="00EB378B"/>
    <w:rsid w:val="00EB37AF"/>
    <w:rsid w:val="00EB3B4E"/>
    <w:rsid w:val="00EB4066"/>
    <w:rsid w:val="00EB4214"/>
    <w:rsid w:val="00EB472C"/>
    <w:rsid w:val="00EB4903"/>
    <w:rsid w:val="00EB508D"/>
    <w:rsid w:val="00EB54F9"/>
    <w:rsid w:val="00EB553C"/>
    <w:rsid w:val="00EB58ED"/>
    <w:rsid w:val="00EB5D8F"/>
    <w:rsid w:val="00EB5EA6"/>
    <w:rsid w:val="00EB5EA7"/>
    <w:rsid w:val="00EB66CD"/>
    <w:rsid w:val="00EB697A"/>
    <w:rsid w:val="00EB6C77"/>
    <w:rsid w:val="00EB6F70"/>
    <w:rsid w:val="00EB75AC"/>
    <w:rsid w:val="00EB77F1"/>
    <w:rsid w:val="00EB7F55"/>
    <w:rsid w:val="00EC03BC"/>
    <w:rsid w:val="00EC048F"/>
    <w:rsid w:val="00EC09B8"/>
    <w:rsid w:val="00EC0A87"/>
    <w:rsid w:val="00EC0D5E"/>
    <w:rsid w:val="00EC23AF"/>
    <w:rsid w:val="00EC247F"/>
    <w:rsid w:val="00EC2968"/>
    <w:rsid w:val="00EC2D2E"/>
    <w:rsid w:val="00EC2FAD"/>
    <w:rsid w:val="00EC31F1"/>
    <w:rsid w:val="00EC35E4"/>
    <w:rsid w:val="00EC3738"/>
    <w:rsid w:val="00EC4755"/>
    <w:rsid w:val="00EC4EAA"/>
    <w:rsid w:val="00EC4EC4"/>
    <w:rsid w:val="00EC51F1"/>
    <w:rsid w:val="00EC52FD"/>
    <w:rsid w:val="00EC5583"/>
    <w:rsid w:val="00EC566B"/>
    <w:rsid w:val="00EC57D5"/>
    <w:rsid w:val="00EC5C24"/>
    <w:rsid w:val="00EC5CFB"/>
    <w:rsid w:val="00EC611B"/>
    <w:rsid w:val="00EC61D9"/>
    <w:rsid w:val="00EC62ED"/>
    <w:rsid w:val="00EC656C"/>
    <w:rsid w:val="00EC670D"/>
    <w:rsid w:val="00EC76D6"/>
    <w:rsid w:val="00EC7860"/>
    <w:rsid w:val="00EC78BB"/>
    <w:rsid w:val="00EC7944"/>
    <w:rsid w:val="00EC7C29"/>
    <w:rsid w:val="00EC7C97"/>
    <w:rsid w:val="00ED0693"/>
    <w:rsid w:val="00ED0B64"/>
    <w:rsid w:val="00ED15E3"/>
    <w:rsid w:val="00ED180B"/>
    <w:rsid w:val="00ED19FE"/>
    <w:rsid w:val="00ED1EFC"/>
    <w:rsid w:val="00ED1F12"/>
    <w:rsid w:val="00ED28DE"/>
    <w:rsid w:val="00ED31DA"/>
    <w:rsid w:val="00ED4393"/>
    <w:rsid w:val="00ED4543"/>
    <w:rsid w:val="00ED46BB"/>
    <w:rsid w:val="00ED4ABC"/>
    <w:rsid w:val="00ED4C82"/>
    <w:rsid w:val="00ED4FC1"/>
    <w:rsid w:val="00ED5004"/>
    <w:rsid w:val="00ED5252"/>
    <w:rsid w:val="00ED5839"/>
    <w:rsid w:val="00ED5C5E"/>
    <w:rsid w:val="00ED5D56"/>
    <w:rsid w:val="00ED68FF"/>
    <w:rsid w:val="00ED7097"/>
    <w:rsid w:val="00ED709B"/>
    <w:rsid w:val="00ED710C"/>
    <w:rsid w:val="00ED71E9"/>
    <w:rsid w:val="00ED729E"/>
    <w:rsid w:val="00ED74DE"/>
    <w:rsid w:val="00EE0C01"/>
    <w:rsid w:val="00EE1556"/>
    <w:rsid w:val="00EE1B2E"/>
    <w:rsid w:val="00EE1CCA"/>
    <w:rsid w:val="00EE2073"/>
    <w:rsid w:val="00EE2AF5"/>
    <w:rsid w:val="00EE2CF7"/>
    <w:rsid w:val="00EE3009"/>
    <w:rsid w:val="00EE375B"/>
    <w:rsid w:val="00EE3C9D"/>
    <w:rsid w:val="00EE440E"/>
    <w:rsid w:val="00EE48CF"/>
    <w:rsid w:val="00EE4B0C"/>
    <w:rsid w:val="00EE5617"/>
    <w:rsid w:val="00EE6345"/>
    <w:rsid w:val="00EE63F0"/>
    <w:rsid w:val="00EE7616"/>
    <w:rsid w:val="00EE787C"/>
    <w:rsid w:val="00EE78F3"/>
    <w:rsid w:val="00EE7A0F"/>
    <w:rsid w:val="00EE7B46"/>
    <w:rsid w:val="00EE7BC9"/>
    <w:rsid w:val="00EF0214"/>
    <w:rsid w:val="00EF0A88"/>
    <w:rsid w:val="00EF0AD2"/>
    <w:rsid w:val="00EF0B91"/>
    <w:rsid w:val="00EF0F51"/>
    <w:rsid w:val="00EF0F87"/>
    <w:rsid w:val="00EF12FE"/>
    <w:rsid w:val="00EF1D05"/>
    <w:rsid w:val="00EF22C9"/>
    <w:rsid w:val="00EF2FBD"/>
    <w:rsid w:val="00EF3332"/>
    <w:rsid w:val="00EF37C7"/>
    <w:rsid w:val="00EF3CB5"/>
    <w:rsid w:val="00EF4C06"/>
    <w:rsid w:val="00EF502E"/>
    <w:rsid w:val="00EF5531"/>
    <w:rsid w:val="00EF5B6A"/>
    <w:rsid w:val="00EF5D63"/>
    <w:rsid w:val="00EF5F2E"/>
    <w:rsid w:val="00EF6021"/>
    <w:rsid w:val="00EF62F3"/>
    <w:rsid w:val="00EF6B6C"/>
    <w:rsid w:val="00EF6E5C"/>
    <w:rsid w:val="00EF77DA"/>
    <w:rsid w:val="00EF7F0A"/>
    <w:rsid w:val="00F005A1"/>
    <w:rsid w:val="00F006BE"/>
    <w:rsid w:val="00F00AAD"/>
    <w:rsid w:val="00F01122"/>
    <w:rsid w:val="00F01300"/>
    <w:rsid w:val="00F019B0"/>
    <w:rsid w:val="00F01F3E"/>
    <w:rsid w:val="00F0203C"/>
    <w:rsid w:val="00F02FFC"/>
    <w:rsid w:val="00F03186"/>
    <w:rsid w:val="00F037BD"/>
    <w:rsid w:val="00F039C2"/>
    <w:rsid w:val="00F04417"/>
    <w:rsid w:val="00F05002"/>
    <w:rsid w:val="00F0549A"/>
    <w:rsid w:val="00F0585E"/>
    <w:rsid w:val="00F05DB0"/>
    <w:rsid w:val="00F06DCF"/>
    <w:rsid w:val="00F06FF7"/>
    <w:rsid w:val="00F078C1"/>
    <w:rsid w:val="00F10329"/>
    <w:rsid w:val="00F1037A"/>
    <w:rsid w:val="00F104A6"/>
    <w:rsid w:val="00F1092A"/>
    <w:rsid w:val="00F1092E"/>
    <w:rsid w:val="00F10954"/>
    <w:rsid w:val="00F10CEE"/>
    <w:rsid w:val="00F1112F"/>
    <w:rsid w:val="00F11A6D"/>
    <w:rsid w:val="00F11E06"/>
    <w:rsid w:val="00F12AC6"/>
    <w:rsid w:val="00F12EF1"/>
    <w:rsid w:val="00F12F6B"/>
    <w:rsid w:val="00F135A0"/>
    <w:rsid w:val="00F139F6"/>
    <w:rsid w:val="00F13AAD"/>
    <w:rsid w:val="00F14B5B"/>
    <w:rsid w:val="00F14D87"/>
    <w:rsid w:val="00F14F87"/>
    <w:rsid w:val="00F15D00"/>
    <w:rsid w:val="00F15DFA"/>
    <w:rsid w:val="00F15F2A"/>
    <w:rsid w:val="00F16585"/>
    <w:rsid w:val="00F16E53"/>
    <w:rsid w:val="00F16F66"/>
    <w:rsid w:val="00F17804"/>
    <w:rsid w:val="00F17BB3"/>
    <w:rsid w:val="00F17DCD"/>
    <w:rsid w:val="00F2017D"/>
    <w:rsid w:val="00F20324"/>
    <w:rsid w:val="00F20616"/>
    <w:rsid w:val="00F2100A"/>
    <w:rsid w:val="00F21E68"/>
    <w:rsid w:val="00F221A8"/>
    <w:rsid w:val="00F22B6F"/>
    <w:rsid w:val="00F230C4"/>
    <w:rsid w:val="00F233D2"/>
    <w:rsid w:val="00F233EF"/>
    <w:rsid w:val="00F23E88"/>
    <w:rsid w:val="00F249B4"/>
    <w:rsid w:val="00F24A3A"/>
    <w:rsid w:val="00F26248"/>
    <w:rsid w:val="00F266F4"/>
    <w:rsid w:val="00F26DE9"/>
    <w:rsid w:val="00F2743C"/>
    <w:rsid w:val="00F27BB6"/>
    <w:rsid w:val="00F27DA8"/>
    <w:rsid w:val="00F3007F"/>
    <w:rsid w:val="00F306A1"/>
    <w:rsid w:val="00F31179"/>
    <w:rsid w:val="00F31619"/>
    <w:rsid w:val="00F31637"/>
    <w:rsid w:val="00F31660"/>
    <w:rsid w:val="00F3170C"/>
    <w:rsid w:val="00F32A34"/>
    <w:rsid w:val="00F32AD5"/>
    <w:rsid w:val="00F32BE8"/>
    <w:rsid w:val="00F33425"/>
    <w:rsid w:val="00F3346B"/>
    <w:rsid w:val="00F33AED"/>
    <w:rsid w:val="00F33CA9"/>
    <w:rsid w:val="00F34707"/>
    <w:rsid w:val="00F34F83"/>
    <w:rsid w:val="00F35223"/>
    <w:rsid w:val="00F3540F"/>
    <w:rsid w:val="00F3550C"/>
    <w:rsid w:val="00F358F8"/>
    <w:rsid w:val="00F365CB"/>
    <w:rsid w:val="00F365EB"/>
    <w:rsid w:val="00F366C5"/>
    <w:rsid w:val="00F366F8"/>
    <w:rsid w:val="00F3694E"/>
    <w:rsid w:val="00F3729F"/>
    <w:rsid w:val="00F37E4E"/>
    <w:rsid w:val="00F401D3"/>
    <w:rsid w:val="00F40271"/>
    <w:rsid w:val="00F402A3"/>
    <w:rsid w:val="00F40BFF"/>
    <w:rsid w:val="00F411A0"/>
    <w:rsid w:val="00F41BB1"/>
    <w:rsid w:val="00F427CC"/>
    <w:rsid w:val="00F427CF"/>
    <w:rsid w:val="00F42942"/>
    <w:rsid w:val="00F43207"/>
    <w:rsid w:val="00F43456"/>
    <w:rsid w:val="00F4363A"/>
    <w:rsid w:val="00F43865"/>
    <w:rsid w:val="00F43E96"/>
    <w:rsid w:val="00F44108"/>
    <w:rsid w:val="00F4413A"/>
    <w:rsid w:val="00F44149"/>
    <w:rsid w:val="00F45833"/>
    <w:rsid w:val="00F45904"/>
    <w:rsid w:val="00F459FD"/>
    <w:rsid w:val="00F45AD9"/>
    <w:rsid w:val="00F45BF2"/>
    <w:rsid w:val="00F464F1"/>
    <w:rsid w:val="00F471FB"/>
    <w:rsid w:val="00F47532"/>
    <w:rsid w:val="00F477F6"/>
    <w:rsid w:val="00F47A27"/>
    <w:rsid w:val="00F509E9"/>
    <w:rsid w:val="00F50CD9"/>
    <w:rsid w:val="00F51066"/>
    <w:rsid w:val="00F515C8"/>
    <w:rsid w:val="00F51708"/>
    <w:rsid w:val="00F51B27"/>
    <w:rsid w:val="00F51CFB"/>
    <w:rsid w:val="00F51EC1"/>
    <w:rsid w:val="00F51EEE"/>
    <w:rsid w:val="00F52642"/>
    <w:rsid w:val="00F533E0"/>
    <w:rsid w:val="00F533F1"/>
    <w:rsid w:val="00F53599"/>
    <w:rsid w:val="00F54D33"/>
    <w:rsid w:val="00F54F75"/>
    <w:rsid w:val="00F55060"/>
    <w:rsid w:val="00F551E6"/>
    <w:rsid w:val="00F55249"/>
    <w:rsid w:val="00F55CA0"/>
    <w:rsid w:val="00F55F23"/>
    <w:rsid w:val="00F5653E"/>
    <w:rsid w:val="00F5685C"/>
    <w:rsid w:val="00F568E8"/>
    <w:rsid w:val="00F56EFA"/>
    <w:rsid w:val="00F56F9B"/>
    <w:rsid w:val="00F5724F"/>
    <w:rsid w:val="00F606BB"/>
    <w:rsid w:val="00F608F7"/>
    <w:rsid w:val="00F60AB9"/>
    <w:rsid w:val="00F61471"/>
    <w:rsid w:val="00F6149C"/>
    <w:rsid w:val="00F614AC"/>
    <w:rsid w:val="00F61951"/>
    <w:rsid w:val="00F61CCC"/>
    <w:rsid w:val="00F6254D"/>
    <w:rsid w:val="00F62B89"/>
    <w:rsid w:val="00F63300"/>
    <w:rsid w:val="00F6370D"/>
    <w:rsid w:val="00F63D34"/>
    <w:rsid w:val="00F64582"/>
    <w:rsid w:val="00F64B2E"/>
    <w:rsid w:val="00F64BB9"/>
    <w:rsid w:val="00F64CD6"/>
    <w:rsid w:val="00F64E06"/>
    <w:rsid w:val="00F656E6"/>
    <w:rsid w:val="00F664E2"/>
    <w:rsid w:val="00F6663B"/>
    <w:rsid w:val="00F668DB"/>
    <w:rsid w:val="00F6696E"/>
    <w:rsid w:val="00F67A5D"/>
    <w:rsid w:val="00F67FCC"/>
    <w:rsid w:val="00F67FE6"/>
    <w:rsid w:val="00F7023F"/>
    <w:rsid w:val="00F70677"/>
    <w:rsid w:val="00F7102A"/>
    <w:rsid w:val="00F71294"/>
    <w:rsid w:val="00F7149E"/>
    <w:rsid w:val="00F71C3E"/>
    <w:rsid w:val="00F71E74"/>
    <w:rsid w:val="00F71FAF"/>
    <w:rsid w:val="00F7228A"/>
    <w:rsid w:val="00F724EA"/>
    <w:rsid w:val="00F728DE"/>
    <w:rsid w:val="00F72D2B"/>
    <w:rsid w:val="00F7305B"/>
    <w:rsid w:val="00F733A5"/>
    <w:rsid w:val="00F73504"/>
    <w:rsid w:val="00F735D5"/>
    <w:rsid w:val="00F73936"/>
    <w:rsid w:val="00F749A7"/>
    <w:rsid w:val="00F74E79"/>
    <w:rsid w:val="00F75126"/>
    <w:rsid w:val="00F7590B"/>
    <w:rsid w:val="00F75BB1"/>
    <w:rsid w:val="00F76609"/>
    <w:rsid w:val="00F76832"/>
    <w:rsid w:val="00F76A01"/>
    <w:rsid w:val="00F76A19"/>
    <w:rsid w:val="00F76BC1"/>
    <w:rsid w:val="00F77344"/>
    <w:rsid w:val="00F77786"/>
    <w:rsid w:val="00F77878"/>
    <w:rsid w:val="00F77BF1"/>
    <w:rsid w:val="00F77D16"/>
    <w:rsid w:val="00F8069D"/>
    <w:rsid w:val="00F807DF"/>
    <w:rsid w:val="00F80AC5"/>
    <w:rsid w:val="00F80C05"/>
    <w:rsid w:val="00F810A1"/>
    <w:rsid w:val="00F81789"/>
    <w:rsid w:val="00F81D43"/>
    <w:rsid w:val="00F836FC"/>
    <w:rsid w:val="00F83753"/>
    <w:rsid w:val="00F83934"/>
    <w:rsid w:val="00F83B61"/>
    <w:rsid w:val="00F83D54"/>
    <w:rsid w:val="00F84353"/>
    <w:rsid w:val="00F8463A"/>
    <w:rsid w:val="00F84776"/>
    <w:rsid w:val="00F84C68"/>
    <w:rsid w:val="00F853D0"/>
    <w:rsid w:val="00F85D98"/>
    <w:rsid w:val="00F86325"/>
    <w:rsid w:val="00F87028"/>
    <w:rsid w:val="00F87396"/>
    <w:rsid w:val="00F8771C"/>
    <w:rsid w:val="00F87B43"/>
    <w:rsid w:val="00F87BB9"/>
    <w:rsid w:val="00F90143"/>
    <w:rsid w:val="00F90545"/>
    <w:rsid w:val="00F9087A"/>
    <w:rsid w:val="00F90FC1"/>
    <w:rsid w:val="00F914CF"/>
    <w:rsid w:val="00F914F4"/>
    <w:rsid w:val="00F91DCC"/>
    <w:rsid w:val="00F91E02"/>
    <w:rsid w:val="00F93ACD"/>
    <w:rsid w:val="00F940F6"/>
    <w:rsid w:val="00F94653"/>
    <w:rsid w:val="00F949DB"/>
    <w:rsid w:val="00F94E88"/>
    <w:rsid w:val="00F95C1B"/>
    <w:rsid w:val="00F969EC"/>
    <w:rsid w:val="00F96D92"/>
    <w:rsid w:val="00FA03FB"/>
    <w:rsid w:val="00FA096A"/>
    <w:rsid w:val="00FA1089"/>
    <w:rsid w:val="00FA10CC"/>
    <w:rsid w:val="00FA1158"/>
    <w:rsid w:val="00FA1745"/>
    <w:rsid w:val="00FA1961"/>
    <w:rsid w:val="00FA2443"/>
    <w:rsid w:val="00FA27BC"/>
    <w:rsid w:val="00FA3AF7"/>
    <w:rsid w:val="00FA3BCE"/>
    <w:rsid w:val="00FA3EC8"/>
    <w:rsid w:val="00FA4074"/>
    <w:rsid w:val="00FA42FE"/>
    <w:rsid w:val="00FA449D"/>
    <w:rsid w:val="00FA44DE"/>
    <w:rsid w:val="00FA45EC"/>
    <w:rsid w:val="00FA47EF"/>
    <w:rsid w:val="00FA4827"/>
    <w:rsid w:val="00FA4EA5"/>
    <w:rsid w:val="00FA5394"/>
    <w:rsid w:val="00FA546E"/>
    <w:rsid w:val="00FA5494"/>
    <w:rsid w:val="00FA5813"/>
    <w:rsid w:val="00FA6035"/>
    <w:rsid w:val="00FA63FC"/>
    <w:rsid w:val="00FA684D"/>
    <w:rsid w:val="00FA6C9E"/>
    <w:rsid w:val="00FA7558"/>
    <w:rsid w:val="00FA7A08"/>
    <w:rsid w:val="00FA7E7A"/>
    <w:rsid w:val="00FA7EDC"/>
    <w:rsid w:val="00FB0476"/>
    <w:rsid w:val="00FB07C6"/>
    <w:rsid w:val="00FB0D7D"/>
    <w:rsid w:val="00FB0E36"/>
    <w:rsid w:val="00FB112F"/>
    <w:rsid w:val="00FB175A"/>
    <w:rsid w:val="00FB1D3C"/>
    <w:rsid w:val="00FB2257"/>
    <w:rsid w:val="00FB3707"/>
    <w:rsid w:val="00FB3792"/>
    <w:rsid w:val="00FB37F6"/>
    <w:rsid w:val="00FB389F"/>
    <w:rsid w:val="00FB3D02"/>
    <w:rsid w:val="00FB3D0D"/>
    <w:rsid w:val="00FB3D22"/>
    <w:rsid w:val="00FB437F"/>
    <w:rsid w:val="00FB4543"/>
    <w:rsid w:val="00FB4809"/>
    <w:rsid w:val="00FB4FEA"/>
    <w:rsid w:val="00FB50EF"/>
    <w:rsid w:val="00FB5164"/>
    <w:rsid w:val="00FB538C"/>
    <w:rsid w:val="00FB5506"/>
    <w:rsid w:val="00FB5567"/>
    <w:rsid w:val="00FB55D8"/>
    <w:rsid w:val="00FB5A41"/>
    <w:rsid w:val="00FB5D04"/>
    <w:rsid w:val="00FB6158"/>
    <w:rsid w:val="00FB6387"/>
    <w:rsid w:val="00FB68D2"/>
    <w:rsid w:val="00FB6F43"/>
    <w:rsid w:val="00FB702C"/>
    <w:rsid w:val="00FB71FD"/>
    <w:rsid w:val="00FB738F"/>
    <w:rsid w:val="00FB73CB"/>
    <w:rsid w:val="00FB7436"/>
    <w:rsid w:val="00FB7738"/>
    <w:rsid w:val="00FB7814"/>
    <w:rsid w:val="00FB78B3"/>
    <w:rsid w:val="00FB7F3B"/>
    <w:rsid w:val="00FC0888"/>
    <w:rsid w:val="00FC09AD"/>
    <w:rsid w:val="00FC0A6C"/>
    <w:rsid w:val="00FC0EE4"/>
    <w:rsid w:val="00FC10FB"/>
    <w:rsid w:val="00FC1A8E"/>
    <w:rsid w:val="00FC2584"/>
    <w:rsid w:val="00FC280C"/>
    <w:rsid w:val="00FC4320"/>
    <w:rsid w:val="00FC432C"/>
    <w:rsid w:val="00FC4362"/>
    <w:rsid w:val="00FC53B8"/>
    <w:rsid w:val="00FC564B"/>
    <w:rsid w:val="00FC5903"/>
    <w:rsid w:val="00FC5E51"/>
    <w:rsid w:val="00FC5EAE"/>
    <w:rsid w:val="00FC5FCF"/>
    <w:rsid w:val="00FC6652"/>
    <w:rsid w:val="00FC6666"/>
    <w:rsid w:val="00FC666C"/>
    <w:rsid w:val="00FC6DDF"/>
    <w:rsid w:val="00FC71E2"/>
    <w:rsid w:val="00FC7240"/>
    <w:rsid w:val="00FC7651"/>
    <w:rsid w:val="00FC7800"/>
    <w:rsid w:val="00FC793D"/>
    <w:rsid w:val="00FC7A8F"/>
    <w:rsid w:val="00FC7D2E"/>
    <w:rsid w:val="00FC7DCB"/>
    <w:rsid w:val="00FC7DDD"/>
    <w:rsid w:val="00FC7FFD"/>
    <w:rsid w:val="00FD033F"/>
    <w:rsid w:val="00FD03C8"/>
    <w:rsid w:val="00FD0418"/>
    <w:rsid w:val="00FD0F23"/>
    <w:rsid w:val="00FD128F"/>
    <w:rsid w:val="00FD140C"/>
    <w:rsid w:val="00FD16CE"/>
    <w:rsid w:val="00FD2033"/>
    <w:rsid w:val="00FD210D"/>
    <w:rsid w:val="00FD2B26"/>
    <w:rsid w:val="00FD3143"/>
    <w:rsid w:val="00FD3653"/>
    <w:rsid w:val="00FD3EA4"/>
    <w:rsid w:val="00FD4020"/>
    <w:rsid w:val="00FD44C2"/>
    <w:rsid w:val="00FD4674"/>
    <w:rsid w:val="00FD529F"/>
    <w:rsid w:val="00FD5344"/>
    <w:rsid w:val="00FD564B"/>
    <w:rsid w:val="00FD58F5"/>
    <w:rsid w:val="00FD5FEC"/>
    <w:rsid w:val="00FD69F5"/>
    <w:rsid w:val="00FD6BF6"/>
    <w:rsid w:val="00FD6CFF"/>
    <w:rsid w:val="00FD7E5B"/>
    <w:rsid w:val="00FE0416"/>
    <w:rsid w:val="00FE0CA5"/>
    <w:rsid w:val="00FE15D2"/>
    <w:rsid w:val="00FE1C5F"/>
    <w:rsid w:val="00FE1D7E"/>
    <w:rsid w:val="00FE1EA6"/>
    <w:rsid w:val="00FE2073"/>
    <w:rsid w:val="00FE2385"/>
    <w:rsid w:val="00FE2B51"/>
    <w:rsid w:val="00FE2D6A"/>
    <w:rsid w:val="00FE2D7B"/>
    <w:rsid w:val="00FE2DA7"/>
    <w:rsid w:val="00FE3601"/>
    <w:rsid w:val="00FE3DAF"/>
    <w:rsid w:val="00FE4093"/>
    <w:rsid w:val="00FE40C7"/>
    <w:rsid w:val="00FE415A"/>
    <w:rsid w:val="00FE4610"/>
    <w:rsid w:val="00FE4D1E"/>
    <w:rsid w:val="00FE57F4"/>
    <w:rsid w:val="00FE5B02"/>
    <w:rsid w:val="00FE5E0E"/>
    <w:rsid w:val="00FE6B8E"/>
    <w:rsid w:val="00FE6DCB"/>
    <w:rsid w:val="00FE7090"/>
    <w:rsid w:val="00FE73C3"/>
    <w:rsid w:val="00FE7527"/>
    <w:rsid w:val="00FE7768"/>
    <w:rsid w:val="00FE7D43"/>
    <w:rsid w:val="00FE7F5A"/>
    <w:rsid w:val="00FF05C4"/>
    <w:rsid w:val="00FF07A0"/>
    <w:rsid w:val="00FF09F1"/>
    <w:rsid w:val="00FF115E"/>
    <w:rsid w:val="00FF12FD"/>
    <w:rsid w:val="00FF173C"/>
    <w:rsid w:val="00FF17B0"/>
    <w:rsid w:val="00FF2448"/>
    <w:rsid w:val="00FF2713"/>
    <w:rsid w:val="00FF2889"/>
    <w:rsid w:val="00FF2934"/>
    <w:rsid w:val="00FF2BE3"/>
    <w:rsid w:val="00FF3221"/>
    <w:rsid w:val="00FF34EE"/>
    <w:rsid w:val="00FF3A8A"/>
    <w:rsid w:val="00FF3B47"/>
    <w:rsid w:val="00FF411F"/>
    <w:rsid w:val="00FF45E3"/>
    <w:rsid w:val="00FF4B77"/>
    <w:rsid w:val="00FF4BAB"/>
    <w:rsid w:val="00FF518B"/>
    <w:rsid w:val="00FF5902"/>
    <w:rsid w:val="00FF6117"/>
    <w:rsid w:val="00FF6B5D"/>
    <w:rsid w:val="00FF6BCB"/>
    <w:rsid w:val="00FF6CD6"/>
    <w:rsid w:val="00FF6DAD"/>
    <w:rsid w:val="00FF7546"/>
    <w:rsid w:val="00FF7571"/>
    <w:rsid w:val="00FF790D"/>
    <w:rsid w:val="00FF7DC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B67E"/>
  <w15:chartTrackingRefBased/>
  <w15:docId w15:val="{3DCF148A-E280-48DC-927D-F2241135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ind w:left="72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517"/>
    <w:pPr>
      <w:spacing w:after="200" w:line="276" w:lineRule="auto"/>
    </w:pPr>
  </w:style>
  <w:style w:type="paragraph" w:styleId="Heading1">
    <w:name w:val="heading 1"/>
    <w:basedOn w:val="Normal"/>
    <w:link w:val="Heading1Char"/>
    <w:uiPriority w:val="9"/>
    <w:qFormat/>
    <w:rsid w:val="00DE5232"/>
    <w:pPr>
      <w:widowControl w:val="0"/>
      <w:autoSpaceDE w:val="0"/>
      <w:autoSpaceDN w:val="0"/>
      <w:spacing w:before="123" w:after="0" w:line="240" w:lineRule="auto"/>
      <w:ind w:left="0" w:right="1702" w:firstLine="0"/>
      <w:jc w:val="center"/>
      <w:outlineLvl w:val="0"/>
    </w:pPr>
    <w:rPr>
      <w:rFonts w:ascii="Times New Roman" w:eastAsia="Times New Roman" w:hAnsi="Times New Roman" w:cs="Times New Roman"/>
      <w:b/>
      <w:bCs/>
      <w:sz w:val="19"/>
      <w:szCs w:val="19"/>
      <w:lang w:val="sq"/>
    </w:rPr>
  </w:style>
  <w:style w:type="paragraph" w:styleId="Heading2">
    <w:name w:val="heading 2"/>
    <w:basedOn w:val="Normal"/>
    <w:next w:val="Normal"/>
    <w:link w:val="Heading2Char"/>
    <w:uiPriority w:val="9"/>
    <w:semiHidden/>
    <w:unhideWhenUsed/>
    <w:qFormat/>
    <w:rsid w:val="00E725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725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zLigjPropozues">
    <w:name w:val="Baz_Ligj_Propozues"/>
    <w:rsid w:val="008E38AE"/>
    <w:pPr>
      <w:keepNext/>
      <w:widowControl w:val="0"/>
      <w:ind w:left="0" w:firstLine="720"/>
    </w:pPr>
    <w:rPr>
      <w:rFonts w:ascii="CG Times" w:eastAsia="Times New Roman" w:hAnsi="CG Times" w:cs="Times New Roman"/>
      <w:color w:val="000000"/>
      <w:lang w:val="en-GB"/>
    </w:rPr>
  </w:style>
  <w:style w:type="paragraph" w:customStyle="1" w:styleId="KapitulliNr">
    <w:name w:val="Kapitulli_Nr"/>
    <w:rsid w:val="008E38AE"/>
    <w:pPr>
      <w:keepNext/>
      <w:widowControl w:val="0"/>
      <w:ind w:left="0" w:firstLine="0"/>
      <w:jc w:val="center"/>
    </w:pPr>
    <w:rPr>
      <w:rFonts w:ascii="CG Times" w:eastAsia="Times New Roman" w:hAnsi="CG Times" w:cs="Times New Roman"/>
      <w:caps/>
      <w:lang w:val="en-GB"/>
    </w:rPr>
  </w:style>
  <w:style w:type="paragraph" w:customStyle="1" w:styleId="NeniNr">
    <w:name w:val="Neni_Nr"/>
    <w:next w:val="Normal"/>
    <w:rsid w:val="008E38AE"/>
    <w:pPr>
      <w:keepNext/>
      <w:widowControl w:val="0"/>
      <w:ind w:left="0" w:firstLine="0"/>
      <w:jc w:val="center"/>
    </w:pPr>
    <w:rPr>
      <w:rFonts w:ascii="CG Times" w:eastAsia="Times New Roman" w:hAnsi="CG Times" w:cs="Times New Roman"/>
      <w:szCs w:val="20"/>
      <w:lang w:val="en-GB"/>
    </w:rPr>
  </w:style>
  <w:style w:type="paragraph" w:customStyle="1" w:styleId="Paragrafi">
    <w:name w:val="Paragrafi"/>
    <w:link w:val="ParagrafiChar"/>
    <w:qFormat/>
    <w:rsid w:val="008E38AE"/>
    <w:pPr>
      <w:widowControl w:val="0"/>
      <w:ind w:left="0" w:firstLine="720"/>
    </w:pPr>
    <w:rPr>
      <w:rFonts w:ascii="CG Times" w:eastAsia="Times New Roman" w:hAnsi="CG Times" w:cs="Times New Roman"/>
      <w:szCs w:val="20"/>
      <w:lang w:val="en-US"/>
    </w:rPr>
  </w:style>
  <w:style w:type="paragraph" w:customStyle="1" w:styleId="Titulli">
    <w:name w:val="Titulli"/>
    <w:next w:val="Normal"/>
    <w:link w:val="TitulliChar"/>
    <w:rsid w:val="008E38AE"/>
    <w:pPr>
      <w:keepNext/>
      <w:widowControl w:val="0"/>
      <w:ind w:left="0" w:firstLine="0"/>
      <w:jc w:val="center"/>
      <w:outlineLvl w:val="1"/>
    </w:pPr>
    <w:rPr>
      <w:rFonts w:ascii="CG Times" w:eastAsia="Times New Roman" w:hAnsi="CG Times" w:cs="Times New Roman"/>
      <w:b/>
      <w:caps/>
      <w:lang w:val="en-GB"/>
    </w:rPr>
  </w:style>
  <w:style w:type="paragraph" w:customStyle="1" w:styleId="VENDOSI">
    <w:name w:val="VENDOSI"/>
    <w:next w:val="Normal"/>
    <w:rsid w:val="008E38AE"/>
    <w:pPr>
      <w:keepNext/>
      <w:widowControl w:val="0"/>
      <w:ind w:left="0" w:firstLine="0"/>
      <w:jc w:val="center"/>
    </w:pPr>
    <w:rPr>
      <w:rFonts w:ascii="CG Times" w:eastAsia="Times New Roman" w:hAnsi="CG Times" w:cs="Times New Roman"/>
      <w:caps/>
      <w:lang w:val="en-GB"/>
    </w:rPr>
  </w:style>
  <w:style w:type="paragraph" w:customStyle="1" w:styleId="NeniTitull">
    <w:name w:val="Neni_Titull"/>
    <w:next w:val="Normal"/>
    <w:link w:val="NeniTitullChar"/>
    <w:rsid w:val="008E38AE"/>
    <w:pPr>
      <w:keepNext/>
      <w:widowControl w:val="0"/>
      <w:ind w:left="0" w:firstLine="0"/>
      <w:jc w:val="center"/>
      <w:outlineLvl w:val="2"/>
    </w:pPr>
    <w:rPr>
      <w:rFonts w:ascii="CG Times" w:eastAsia="Times New Roman" w:hAnsi="CG Times" w:cs="Times New Roman"/>
      <w:b/>
      <w:szCs w:val="20"/>
      <w:lang w:val="en-GB"/>
    </w:rPr>
  </w:style>
  <w:style w:type="character" w:customStyle="1" w:styleId="TitulliChar">
    <w:name w:val="Titulli Char"/>
    <w:link w:val="Titulli"/>
    <w:rsid w:val="008E38AE"/>
    <w:rPr>
      <w:rFonts w:ascii="CG Times" w:eastAsia="Times New Roman" w:hAnsi="CG Times" w:cs="Times New Roman"/>
      <w:b/>
      <w:caps/>
      <w:lang w:val="en-GB"/>
    </w:rPr>
  </w:style>
  <w:style w:type="character" w:customStyle="1" w:styleId="NeniTitullChar">
    <w:name w:val="Neni_Titull Char"/>
    <w:link w:val="NeniTitull"/>
    <w:rsid w:val="008E38AE"/>
    <w:rPr>
      <w:rFonts w:ascii="CG Times" w:eastAsia="Times New Roman" w:hAnsi="CG Times" w:cs="Times New Roman"/>
      <w:b/>
      <w:szCs w:val="20"/>
      <w:lang w:val="en-GB"/>
    </w:rPr>
  </w:style>
  <w:style w:type="paragraph" w:styleId="ListParagraph">
    <w:name w:val="List Paragraph"/>
    <w:basedOn w:val="Normal"/>
    <w:link w:val="ListParagraphChar"/>
    <w:uiPriority w:val="34"/>
    <w:qFormat/>
    <w:rsid w:val="004B2EBE"/>
    <w:pPr>
      <w:contextualSpacing/>
    </w:pPr>
  </w:style>
  <w:style w:type="paragraph" w:styleId="NormalWeb">
    <w:name w:val="Normal (Web)"/>
    <w:basedOn w:val="Normal"/>
    <w:uiPriority w:val="99"/>
    <w:unhideWhenUsed/>
    <w:rsid w:val="006A49AF"/>
    <w:pPr>
      <w:spacing w:before="100" w:beforeAutospacing="1" w:after="100" w:afterAutospacing="1" w:line="240" w:lineRule="auto"/>
      <w:ind w:left="0" w:firstLine="0"/>
      <w:jc w:val="left"/>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C1DCF"/>
    <w:rPr>
      <w:sz w:val="16"/>
      <w:szCs w:val="16"/>
    </w:rPr>
  </w:style>
  <w:style w:type="paragraph" w:styleId="Header">
    <w:name w:val="header"/>
    <w:basedOn w:val="Normal"/>
    <w:link w:val="HeaderChar"/>
    <w:uiPriority w:val="99"/>
    <w:unhideWhenUsed/>
    <w:rsid w:val="00794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76C"/>
  </w:style>
  <w:style w:type="paragraph" w:styleId="Footer">
    <w:name w:val="footer"/>
    <w:basedOn w:val="Normal"/>
    <w:link w:val="FooterChar"/>
    <w:uiPriority w:val="99"/>
    <w:unhideWhenUsed/>
    <w:rsid w:val="00794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76C"/>
  </w:style>
  <w:style w:type="numbering" w:customStyle="1" w:styleId="NoList1">
    <w:name w:val="No List1"/>
    <w:next w:val="NoList"/>
    <w:uiPriority w:val="99"/>
    <w:semiHidden/>
    <w:unhideWhenUsed/>
    <w:rsid w:val="00B31D0E"/>
  </w:style>
  <w:style w:type="character" w:customStyle="1" w:styleId="FootnoteTextChar">
    <w:name w:val="Footnote Text Char"/>
    <w:basedOn w:val="DefaultParagraphFont"/>
    <w:link w:val="FootnoteText"/>
    <w:uiPriority w:val="99"/>
    <w:rsid w:val="00B31D0E"/>
    <w:rPr>
      <w:rFonts w:ascii="Arial Unicode MS" w:eastAsia="Arial Unicode MS" w:hAnsi="Arial Unicode MS" w:cs="Arial Unicode MS"/>
      <w:color w:val="000000"/>
      <w:sz w:val="20"/>
      <w:szCs w:val="20"/>
      <w:lang w:bidi="en-US"/>
    </w:rPr>
  </w:style>
  <w:style w:type="paragraph" w:styleId="FootnoteText">
    <w:name w:val="footnote text"/>
    <w:basedOn w:val="Normal"/>
    <w:link w:val="FootnoteTextChar"/>
    <w:uiPriority w:val="99"/>
    <w:unhideWhenUsed/>
    <w:rsid w:val="00B31D0E"/>
    <w:pPr>
      <w:widowControl w:val="0"/>
      <w:spacing w:after="0" w:line="240" w:lineRule="auto"/>
      <w:ind w:left="0" w:firstLine="0"/>
      <w:jc w:val="left"/>
    </w:pPr>
    <w:rPr>
      <w:rFonts w:ascii="Arial Unicode MS" w:eastAsia="Arial Unicode MS" w:hAnsi="Arial Unicode MS" w:cs="Arial Unicode MS"/>
      <w:color w:val="000000"/>
      <w:sz w:val="20"/>
      <w:szCs w:val="20"/>
      <w:lang w:bidi="en-US"/>
    </w:rPr>
  </w:style>
  <w:style w:type="character" w:customStyle="1" w:styleId="FootnoteTextChar1">
    <w:name w:val="Footnote Text Char1"/>
    <w:basedOn w:val="DefaultParagraphFont"/>
    <w:uiPriority w:val="99"/>
    <w:semiHidden/>
    <w:rsid w:val="00B31D0E"/>
    <w:rPr>
      <w:sz w:val="20"/>
      <w:szCs w:val="20"/>
    </w:rPr>
  </w:style>
  <w:style w:type="character" w:customStyle="1" w:styleId="BalloonTextChar">
    <w:name w:val="Balloon Text Char"/>
    <w:basedOn w:val="DefaultParagraphFont"/>
    <w:link w:val="BalloonText"/>
    <w:uiPriority w:val="99"/>
    <w:semiHidden/>
    <w:rsid w:val="00B31D0E"/>
    <w:rPr>
      <w:rFonts w:ascii="Segoe UI" w:eastAsia="Arial Unicode MS" w:hAnsi="Segoe UI" w:cs="Segoe UI"/>
      <w:color w:val="000000"/>
      <w:sz w:val="18"/>
      <w:szCs w:val="18"/>
      <w:lang w:bidi="en-US"/>
    </w:rPr>
  </w:style>
  <w:style w:type="paragraph" w:styleId="BalloonText">
    <w:name w:val="Balloon Text"/>
    <w:basedOn w:val="Normal"/>
    <w:link w:val="BalloonTextChar"/>
    <w:uiPriority w:val="99"/>
    <w:semiHidden/>
    <w:unhideWhenUsed/>
    <w:rsid w:val="00B31D0E"/>
    <w:pPr>
      <w:widowControl w:val="0"/>
      <w:spacing w:after="0" w:line="240" w:lineRule="auto"/>
      <w:ind w:left="0" w:firstLine="0"/>
      <w:jc w:val="left"/>
    </w:pPr>
    <w:rPr>
      <w:rFonts w:ascii="Segoe UI" w:eastAsia="Arial Unicode MS" w:hAnsi="Segoe UI" w:cs="Segoe UI"/>
      <w:color w:val="000000"/>
      <w:sz w:val="18"/>
      <w:szCs w:val="18"/>
      <w:lang w:bidi="en-US"/>
    </w:rPr>
  </w:style>
  <w:style w:type="character" w:customStyle="1" w:styleId="BalloonTextChar1">
    <w:name w:val="Balloon Text Char1"/>
    <w:basedOn w:val="DefaultParagraphFont"/>
    <w:uiPriority w:val="99"/>
    <w:semiHidden/>
    <w:rsid w:val="00B31D0E"/>
    <w:rPr>
      <w:rFonts w:ascii="Segoe UI" w:hAnsi="Segoe UI" w:cs="Segoe UI"/>
      <w:sz w:val="18"/>
      <w:szCs w:val="18"/>
    </w:rPr>
  </w:style>
  <w:style w:type="character" w:styleId="FootnoteReference">
    <w:name w:val="footnote reference"/>
    <w:basedOn w:val="DefaultParagraphFont"/>
    <w:uiPriority w:val="99"/>
    <w:unhideWhenUsed/>
    <w:rsid w:val="00B31D0E"/>
    <w:rPr>
      <w:vertAlign w:val="superscript"/>
    </w:rPr>
  </w:style>
  <w:style w:type="character" w:styleId="Hyperlink">
    <w:name w:val="Hyperlink"/>
    <w:basedOn w:val="DefaultParagraphFont"/>
    <w:rsid w:val="00B31D0E"/>
    <w:rPr>
      <w:color w:val="0066CC"/>
      <w:u w:val="single"/>
    </w:rPr>
  </w:style>
  <w:style w:type="character" w:customStyle="1" w:styleId="text-format-content">
    <w:name w:val="text-format-content"/>
    <w:basedOn w:val="DefaultParagraphFont"/>
    <w:rsid w:val="00DE5232"/>
  </w:style>
  <w:style w:type="character" w:customStyle="1" w:styleId="-oe-281">
    <w:name w:val="-oe-281"/>
    <w:basedOn w:val="DefaultParagraphFont"/>
    <w:rsid w:val="00DE5232"/>
  </w:style>
  <w:style w:type="character" w:customStyle="1" w:styleId="-hu-258">
    <w:name w:val="-hu-258"/>
    <w:basedOn w:val="DefaultParagraphFont"/>
    <w:rsid w:val="00DE5232"/>
  </w:style>
  <w:style w:type="character" w:customStyle="1" w:styleId="-a-297">
    <w:name w:val="-a-297"/>
    <w:basedOn w:val="DefaultParagraphFont"/>
    <w:rsid w:val="00DE5232"/>
  </w:style>
  <w:style w:type="character" w:customStyle="1" w:styleId="Heading1Char">
    <w:name w:val="Heading 1 Char"/>
    <w:basedOn w:val="DefaultParagraphFont"/>
    <w:link w:val="Heading1"/>
    <w:uiPriority w:val="9"/>
    <w:rsid w:val="00DE5232"/>
    <w:rPr>
      <w:rFonts w:ascii="Times New Roman" w:eastAsia="Times New Roman" w:hAnsi="Times New Roman" w:cs="Times New Roman"/>
      <w:b/>
      <w:bCs/>
      <w:sz w:val="19"/>
      <w:szCs w:val="19"/>
      <w:lang w:val="sq"/>
    </w:rPr>
  </w:style>
  <w:style w:type="paragraph" w:styleId="BodyText">
    <w:name w:val="Body Text"/>
    <w:basedOn w:val="Normal"/>
    <w:link w:val="BodyTextChar"/>
    <w:uiPriority w:val="1"/>
    <w:qFormat/>
    <w:rsid w:val="00DE5232"/>
    <w:pPr>
      <w:widowControl w:val="0"/>
      <w:autoSpaceDE w:val="0"/>
      <w:autoSpaceDN w:val="0"/>
      <w:spacing w:after="0" w:line="240" w:lineRule="auto"/>
      <w:ind w:left="0" w:firstLine="0"/>
      <w:jc w:val="left"/>
    </w:pPr>
    <w:rPr>
      <w:rFonts w:ascii="Times New Roman" w:eastAsia="Times New Roman" w:hAnsi="Times New Roman" w:cs="Times New Roman"/>
      <w:sz w:val="19"/>
      <w:szCs w:val="19"/>
      <w:lang w:val="sq"/>
    </w:rPr>
  </w:style>
  <w:style w:type="character" w:customStyle="1" w:styleId="BodyTextChar">
    <w:name w:val="Body Text Char"/>
    <w:basedOn w:val="DefaultParagraphFont"/>
    <w:link w:val="BodyText"/>
    <w:uiPriority w:val="1"/>
    <w:rsid w:val="00DE5232"/>
    <w:rPr>
      <w:rFonts w:ascii="Times New Roman" w:eastAsia="Times New Roman" w:hAnsi="Times New Roman" w:cs="Times New Roman"/>
      <w:sz w:val="19"/>
      <w:szCs w:val="19"/>
      <w:lang w:val="sq"/>
    </w:rPr>
  </w:style>
  <w:style w:type="paragraph" w:customStyle="1" w:styleId="TableParagraph">
    <w:name w:val="Table Paragraph"/>
    <w:basedOn w:val="Normal"/>
    <w:uiPriority w:val="1"/>
    <w:qFormat/>
    <w:rsid w:val="00DE5232"/>
    <w:pPr>
      <w:widowControl w:val="0"/>
      <w:autoSpaceDE w:val="0"/>
      <w:autoSpaceDN w:val="0"/>
      <w:spacing w:before="58" w:after="0" w:line="240" w:lineRule="auto"/>
      <w:ind w:left="0" w:firstLine="0"/>
      <w:jc w:val="left"/>
    </w:pPr>
    <w:rPr>
      <w:rFonts w:ascii="Times New Roman" w:eastAsia="Times New Roman" w:hAnsi="Times New Roman" w:cs="Times New Roman"/>
      <w:lang w:val="sq"/>
    </w:rPr>
  </w:style>
  <w:style w:type="paragraph" w:customStyle="1" w:styleId="KreuNr">
    <w:name w:val="Kreu_Nr"/>
    <w:rsid w:val="00DE5232"/>
    <w:pPr>
      <w:keepNext/>
      <w:widowControl w:val="0"/>
      <w:ind w:left="0" w:firstLine="0"/>
      <w:jc w:val="center"/>
    </w:pPr>
    <w:rPr>
      <w:rFonts w:ascii="CG Times" w:eastAsia="Times New Roman" w:hAnsi="CG Times" w:cs="Times New Roman"/>
      <w:caps/>
      <w:lang w:eastAsia="sq-AL"/>
    </w:rPr>
  </w:style>
  <w:style w:type="paragraph" w:styleId="CommentText">
    <w:name w:val="annotation text"/>
    <w:basedOn w:val="Normal"/>
    <w:link w:val="CommentTextChar"/>
    <w:uiPriority w:val="99"/>
    <w:unhideWhenUsed/>
    <w:rsid w:val="00DE5232"/>
    <w:pPr>
      <w:widowControl w:val="0"/>
      <w:autoSpaceDE w:val="0"/>
      <w:autoSpaceDN w:val="0"/>
      <w:spacing w:after="0" w:line="240" w:lineRule="auto"/>
      <w:ind w:left="0" w:firstLine="0"/>
      <w:jc w:val="left"/>
    </w:pPr>
    <w:rPr>
      <w:rFonts w:ascii="Times New Roman" w:eastAsia="Times New Roman" w:hAnsi="Times New Roman" w:cs="Times New Roman"/>
      <w:sz w:val="20"/>
      <w:szCs w:val="20"/>
      <w:lang w:val="sq"/>
    </w:rPr>
  </w:style>
  <w:style w:type="character" w:customStyle="1" w:styleId="CommentTextChar">
    <w:name w:val="Comment Text Char"/>
    <w:basedOn w:val="DefaultParagraphFont"/>
    <w:link w:val="CommentText"/>
    <w:uiPriority w:val="99"/>
    <w:rsid w:val="00DE5232"/>
    <w:rPr>
      <w:rFonts w:ascii="Times New Roman" w:eastAsia="Times New Roman" w:hAnsi="Times New Roman" w:cs="Times New Roman"/>
      <w:sz w:val="20"/>
      <w:szCs w:val="20"/>
      <w:lang w:val="sq"/>
    </w:rPr>
  </w:style>
  <w:style w:type="paragraph" w:styleId="CommentSubject">
    <w:name w:val="annotation subject"/>
    <w:basedOn w:val="CommentText"/>
    <w:next w:val="CommentText"/>
    <w:link w:val="CommentSubjectChar"/>
    <w:uiPriority w:val="99"/>
    <w:semiHidden/>
    <w:unhideWhenUsed/>
    <w:rsid w:val="00DE5232"/>
    <w:rPr>
      <w:b/>
      <w:bCs/>
    </w:rPr>
  </w:style>
  <w:style w:type="character" w:customStyle="1" w:styleId="CommentSubjectChar">
    <w:name w:val="Comment Subject Char"/>
    <w:basedOn w:val="CommentTextChar"/>
    <w:link w:val="CommentSubject"/>
    <w:uiPriority w:val="99"/>
    <w:semiHidden/>
    <w:rsid w:val="00DE5232"/>
    <w:rPr>
      <w:rFonts w:ascii="Times New Roman" w:eastAsia="Times New Roman" w:hAnsi="Times New Roman" w:cs="Times New Roman"/>
      <w:b/>
      <w:bCs/>
      <w:sz w:val="20"/>
      <w:szCs w:val="20"/>
      <w:lang w:val="sq"/>
    </w:rPr>
  </w:style>
  <w:style w:type="character" w:customStyle="1" w:styleId="footnoteChar">
    <w:name w:val="footnote Char"/>
    <w:rsid w:val="00DE5232"/>
    <w:rPr>
      <w:rFonts w:ascii="Trebuchet MS" w:eastAsia="MS Mincho" w:hAnsi="Trebuchet MS"/>
      <w:sz w:val="18"/>
      <w:szCs w:val="18"/>
      <w:lang w:val="en-GB" w:eastAsia="en-US" w:bidi="ar-SA"/>
    </w:rPr>
  </w:style>
  <w:style w:type="character" w:customStyle="1" w:styleId="ParagrafiChar">
    <w:name w:val="Paragrafi Char"/>
    <w:basedOn w:val="DefaultParagraphFont"/>
    <w:link w:val="Paragrafi"/>
    <w:locked/>
    <w:rsid w:val="00DE5232"/>
    <w:rPr>
      <w:rFonts w:ascii="CG Times" w:eastAsia="Times New Roman" w:hAnsi="CG Times" w:cs="Times New Roman"/>
      <w:szCs w:val="20"/>
      <w:lang w:val="en-US"/>
    </w:rPr>
  </w:style>
  <w:style w:type="character" w:styleId="Strong">
    <w:name w:val="Strong"/>
    <w:basedOn w:val="DefaultParagraphFont"/>
    <w:uiPriority w:val="22"/>
    <w:qFormat/>
    <w:rsid w:val="001F71A6"/>
    <w:rPr>
      <w:b/>
      <w:bCs/>
    </w:rPr>
  </w:style>
  <w:style w:type="paragraph" w:customStyle="1" w:styleId="Default">
    <w:name w:val="Default"/>
    <w:rsid w:val="0095365F"/>
    <w:pPr>
      <w:autoSpaceDE w:val="0"/>
      <w:autoSpaceDN w:val="0"/>
      <w:adjustRightInd w:val="0"/>
      <w:ind w:left="0" w:firstLine="0"/>
      <w:jc w:val="left"/>
    </w:pPr>
    <w:rPr>
      <w:rFonts w:ascii="EUAlbertina" w:hAnsi="EUAlbertina" w:cs="EUAlbertina"/>
      <w:color w:val="000000"/>
      <w:sz w:val="24"/>
      <w:szCs w:val="24"/>
      <w:lang w:val="en-US"/>
    </w:rPr>
  </w:style>
  <w:style w:type="character" w:customStyle="1" w:styleId="Heading3Char">
    <w:name w:val="Heading 3 Char"/>
    <w:basedOn w:val="DefaultParagraphFont"/>
    <w:link w:val="Heading3"/>
    <w:uiPriority w:val="9"/>
    <w:semiHidden/>
    <w:rsid w:val="00E725D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E725D8"/>
    <w:rPr>
      <w:rFonts w:asciiTheme="majorHAnsi" w:eastAsiaTheme="majorEastAsia" w:hAnsiTheme="majorHAnsi" w:cstheme="majorBidi"/>
      <w:color w:val="2E74B5" w:themeColor="accent1" w:themeShade="BF"/>
      <w:sz w:val="26"/>
      <w:szCs w:val="26"/>
    </w:rPr>
  </w:style>
  <w:style w:type="paragraph" w:customStyle="1" w:styleId="Shpallja">
    <w:name w:val="Shpallja"/>
    <w:rsid w:val="008054C6"/>
    <w:pPr>
      <w:widowControl w:val="0"/>
      <w:ind w:left="0" w:firstLine="0"/>
    </w:pPr>
    <w:rPr>
      <w:rFonts w:ascii="CG Times" w:eastAsia="Times New Roman" w:hAnsi="CG Times" w:cs="Times New Roman"/>
      <w:b/>
      <w:color w:val="000000"/>
    </w:rPr>
  </w:style>
  <w:style w:type="paragraph" w:styleId="Revision">
    <w:name w:val="Revision"/>
    <w:hidden/>
    <w:uiPriority w:val="99"/>
    <w:semiHidden/>
    <w:rsid w:val="00A04C41"/>
    <w:pPr>
      <w:ind w:left="0" w:firstLine="0"/>
      <w:jc w:val="left"/>
    </w:pPr>
  </w:style>
  <w:style w:type="paragraph" w:customStyle="1" w:styleId="isselectedend">
    <w:name w:val="isselectedend"/>
    <w:basedOn w:val="Normal"/>
    <w:rsid w:val="001B5C2A"/>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q-AL"/>
    </w:rPr>
  </w:style>
  <w:style w:type="paragraph" w:styleId="ListBullet">
    <w:name w:val="List Bullet"/>
    <w:basedOn w:val="Normal"/>
    <w:uiPriority w:val="99"/>
    <w:unhideWhenUsed/>
    <w:rsid w:val="00871852"/>
    <w:pPr>
      <w:numPr>
        <w:numId w:val="38"/>
      </w:numPr>
      <w:spacing w:after="120" w:line="259" w:lineRule="auto"/>
      <w:contextualSpacing/>
      <w:jc w:val="left"/>
    </w:pPr>
    <w:rPr>
      <w:rFonts w:ascii="Times New Roman" w:eastAsia="Times New Roman" w:hAnsi="Times New Roman"/>
      <w:lang w:val="en-US"/>
    </w:rPr>
  </w:style>
  <w:style w:type="character" w:customStyle="1" w:styleId="ListParagraphChar">
    <w:name w:val="List Paragraph Char"/>
    <w:link w:val="ListParagraph"/>
    <w:uiPriority w:val="34"/>
    <w:locked/>
    <w:rsid w:val="001D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707">
      <w:bodyDiv w:val="1"/>
      <w:marLeft w:val="0"/>
      <w:marRight w:val="0"/>
      <w:marTop w:val="0"/>
      <w:marBottom w:val="0"/>
      <w:divBdr>
        <w:top w:val="none" w:sz="0" w:space="0" w:color="auto"/>
        <w:left w:val="none" w:sz="0" w:space="0" w:color="auto"/>
        <w:bottom w:val="none" w:sz="0" w:space="0" w:color="auto"/>
        <w:right w:val="none" w:sz="0" w:space="0" w:color="auto"/>
      </w:divBdr>
    </w:div>
    <w:div w:id="12341209">
      <w:bodyDiv w:val="1"/>
      <w:marLeft w:val="0"/>
      <w:marRight w:val="0"/>
      <w:marTop w:val="0"/>
      <w:marBottom w:val="0"/>
      <w:divBdr>
        <w:top w:val="none" w:sz="0" w:space="0" w:color="auto"/>
        <w:left w:val="none" w:sz="0" w:space="0" w:color="auto"/>
        <w:bottom w:val="none" w:sz="0" w:space="0" w:color="auto"/>
        <w:right w:val="none" w:sz="0" w:space="0" w:color="auto"/>
      </w:divBdr>
    </w:div>
    <w:div w:id="37358772">
      <w:bodyDiv w:val="1"/>
      <w:marLeft w:val="0"/>
      <w:marRight w:val="0"/>
      <w:marTop w:val="0"/>
      <w:marBottom w:val="0"/>
      <w:divBdr>
        <w:top w:val="none" w:sz="0" w:space="0" w:color="auto"/>
        <w:left w:val="none" w:sz="0" w:space="0" w:color="auto"/>
        <w:bottom w:val="none" w:sz="0" w:space="0" w:color="auto"/>
        <w:right w:val="none" w:sz="0" w:space="0" w:color="auto"/>
      </w:divBdr>
    </w:div>
    <w:div w:id="44304558">
      <w:bodyDiv w:val="1"/>
      <w:marLeft w:val="0"/>
      <w:marRight w:val="0"/>
      <w:marTop w:val="0"/>
      <w:marBottom w:val="0"/>
      <w:divBdr>
        <w:top w:val="none" w:sz="0" w:space="0" w:color="auto"/>
        <w:left w:val="none" w:sz="0" w:space="0" w:color="auto"/>
        <w:bottom w:val="none" w:sz="0" w:space="0" w:color="auto"/>
        <w:right w:val="none" w:sz="0" w:space="0" w:color="auto"/>
      </w:divBdr>
    </w:div>
    <w:div w:id="60489895">
      <w:bodyDiv w:val="1"/>
      <w:marLeft w:val="0"/>
      <w:marRight w:val="0"/>
      <w:marTop w:val="0"/>
      <w:marBottom w:val="0"/>
      <w:divBdr>
        <w:top w:val="none" w:sz="0" w:space="0" w:color="auto"/>
        <w:left w:val="none" w:sz="0" w:space="0" w:color="auto"/>
        <w:bottom w:val="none" w:sz="0" w:space="0" w:color="auto"/>
        <w:right w:val="none" w:sz="0" w:space="0" w:color="auto"/>
      </w:divBdr>
    </w:div>
    <w:div w:id="63838118">
      <w:bodyDiv w:val="1"/>
      <w:marLeft w:val="0"/>
      <w:marRight w:val="0"/>
      <w:marTop w:val="0"/>
      <w:marBottom w:val="0"/>
      <w:divBdr>
        <w:top w:val="none" w:sz="0" w:space="0" w:color="auto"/>
        <w:left w:val="none" w:sz="0" w:space="0" w:color="auto"/>
        <w:bottom w:val="none" w:sz="0" w:space="0" w:color="auto"/>
        <w:right w:val="none" w:sz="0" w:space="0" w:color="auto"/>
      </w:divBdr>
    </w:div>
    <w:div w:id="68310128">
      <w:bodyDiv w:val="1"/>
      <w:marLeft w:val="0"/>
      <w:marRight w:val="0"/>
      <w:marTop w:val="0"/>
      <w:marBottom w:val="0"/>
      <w:divBdr>
        <w:top w:val="none" w:sz="0" w:space="0" w:color="auto"/>
        <w:left w:val="none" w:sz="0" w:space="0" w:color="auto"/>
        <w:bottom w:val="none" w:sz="0" w:space="0" w:color="auto"/>
        <w:right w:val="none" w:sz="0" w:space="0" w:color="auto"/>
      </w:divBdr>
    </w:div>
    <w:div w:id="70201081">
      <w:bodyDiv w:val="1"/>
      <w:marLeft w:val="0"/>
      <w:marRight w:val="0"/>
      <w:marTop w:val="0"/>
      <w:marBottom w:val="0"/>
      <w:divBdr>
        <w:top w:val="none" w:sz="0" w:space="0" w:color="auto"/>
        <w:left w:val="none" w:sz="0" w:space="0" w:color="auto"/>
        <w:bottom w:val="none" w:sz="0" w:space="0" w:color="auto"/>
        <w:right w:val="none" w:sz="0" w:space="0" w:color="auto"/>
      </w:divBdr>
    </w:div>
    <w:div w:id="90862887">
      <w:bodyDiv w:val="1"/>
      <w:marLeft w:val="0"/>
      <w:marRight w:val="0"/>
      <w:marTop w:val="0"/>
      <w:marBottom w:val="0"/>
      <w:divBdr>
        <w:top w:val="none" w:sz="0" w:space="0" w:color="auto"/>
        <w:left w:val="none" w:sz="0" w:space="0" w:color="auto"/>
        <w:bottom w:val="none" w:sz="0" w:space="0" w:color="auto"/>
        <w:right w:val="none" w:sz="0" w:space="0" w:color="auto"/>
      </w:divBdr>
    </w:div>
    <w:div w:id="99423095">
      <w:bodyDiv w:val="1"/>
      <w:marLeft w:val="0"/>
      <w:marRight w:val="0"/>
      <w:marTop w:val="0"/>
      <w:marBottom w:val="0"/>
      <w:divBdr>
        <w:top w:val="none" w:sz="0" w:space="0" w:color="auto"/>
        <w:left w:val="none" w:sz="0" w:space="0" w:color="auto"/>
        <w:bottom w:val="none" w:sz="0" w:space="0" w:color="auto"/>
        <w:right w:val="none" w:sz="0" w:space="0" w:color="auto"/>
      </w:divBdr>
    </w:div>
    <w:div w:id="115568764">
      <w:bodyDiv w:val="1"/>
      <w:marLeft w:val="0"/>
      <w:marRight w:val="0"/>
      <w:marTop w:val="0"/>
      <w:marBottom w:val="0"/>
      <w:divBdr>
        <w:top w:val="none" w:sz="0" w:space="0" w:color="auto"/>
        <w:left w:val="none" w:sz="0" w:space="0" w:color="auto"/>
        <w:bottom w:val="none" w:sz="0" w:space="0" w:color="auto"/>
        <w:right w:val="none" w:sz="0" w:space="0" w:color="auto"/>
      </w:divBdr>
    </w:div>
    <w:div w:id="136192898">
      <w:bodyDiv w:val="1"/>
      <w:marLeft w:val="0"/>
      <w:marRight w:val="0"/>
      <w:marTop w:val="0"/>
      <w:marBottom w:val="0"/>
      <w:divBdr>
        <w:top w:val="none" w:sz="0" w:space="0" w:color="auto"/>
        <w:left w:val="none" w:sz="0" w:space="0" w:color="auto"/>
        <w:bottom w:val="none" w:sz="0" w:space="0" w:color="auto"/>
        <w:right w:val="none" w:sz="0" w:space="0" w:color="auto"/>
      </w:divBdr>
    </w:div>
    <w:div w:id="159085465">
      <w:bodyDiv w:val="1"/>
      <w:marLeft w:val="0"/>
      <w:marRight w:val="0"/>
      <w:marTop w:val="0"/>
      <w:marBottom w:val="0"/>
      <w:divBdr>
        <w:top w:val="none" w:sz="0" w:space="0" w:color="auto"/>
        <w:left w:val="none" w:sz="0" w:space="0" w:color="auto"/>
        <w:bottom w:val="none" w:sz="0" w:space="0" w:color="auto"/>
        <w:right w:val="none" w:sz="0" w:space="0" w:color="auto"/>
      </w:divBdr>
    </w:div>
    <w:div w:id="175386711">
      <w:bodyDiv w:val="1"/>
      <w:marLeft w:val="0"/>
      <w:marRight w:val="0"/>
      <w:marTop w:val="0"/>
      <w:marBottom w:val="0"/>
      <w:divBdr>
        <w:top w:val="none" w:sz="0" w:space="0" w:color="auto"/>
        <w:left w:val="none" w:sz="0" w:space="0" w:color="auto"/>
        <w:bottom w:val="none" w:sz="0" w:space="0" w:color="auto"/>
        <w:right w:val="none" w:sz="0" w:space="0" w:color="auto"/>
      </w:divBdr>
    </w:div>
    <w:div w:id="177625444">
      <w:bodyDiv w:val="1"/>
      <w:marLeft w:val="0"/>
      <w:marRight w:val="0"/>
      <w:marTop w:val="0"/>
      <w:marBottom w:val="0"/>
      <w:divBdr>
        <w:top w:val="none" w:sz="0" w:space="0" w:color="auto"/>
        <w:left w:val="none" w:sz="0" w:space="0" w:color="auto"/>
        <w:bottom w:val="none" w:sz="0" w:space="0" w:color="auto"/>
        <w:right w:val="none" w:sz="0" w:space="0" w:color="auto"/>
      </w:divBdr>
    </w:div>
    <w:div w:id="186909525">
      <w:bodyDiv w:val="1"/>
      <w:marLeft w:val="0"/>
      <w:marRight w:val="0"/>
      <w:marTop w:val="0"/>
      <w:marBottom w:val="0"/>
      <w:divBdr>
        <w:top w:val="none" w:sz="0" w:space="0" w:color="auto"/>
        <w:left w:val="none" w:sz="0" w:space="0" w:color="auto"/>
        <w:bottom w:val="none" w:sz="0" w:space="0" w:color="auto"/>
        <w:right w:val="none" w:sz="0" w:space="0" w:color="auto"/>
      </w:divBdr>
    </w:div>
    <w:div w:id="248513364">
      <w:bodyDiv w:val="1"/>
      <w:marLeft w:val="0"/>
      <w:marRight w:val="0"/>
      <w:marTop w:val="0"/>
      <w:marBottom w:val="0"/>
      <w:divBdr>
        <w:top w:val="none" w:sz="0" w:space="0" w:color="auto"/>
        <w:left w:val="none" w:sz="0" w:space="0" w:color="auto"/>
        <w:bottom w:val="none" w:sz="0" w:space="0" w:color="auto"/>
        <w:right w:val="none" w:sz="0" w:space="0" w:color="auto"/>
      </w:divBdr>
    </w:div>
    <w:div w:id="250937610">
      <w:bodyDiv w:val="1"/>
      <w:marLeft w:val="0"/>
      <w:marRight w:val="0"/>
      <w:marTop w:val="0"/>
      <w:marBottom w:val="0"/>
      <w:divBdr>
        <w:top w:val="none" w:sz="0" w:space="0" w:color="auto"/>
        <w:left w:val="none" w:sz="0" w:space="0" w:color="auto"/>
        <w:bottom w:val="none" w:sz="0" w:space="0" w:color="auto"/>
        <w:right w:val="none" w:sz="0" w:space="0" w:color="auto"/>
      </w:divBdr>
    </w:div>
    <w:div w:id="263346272">
      <w:bodyDiv w:val="1"/>
      <w:marLeft w:val="0"/>
      <w:marRight w:val="0"/>
      <w:marTop w:val="0"/>
      <w:marBottom w:val="0"/>
      <w:divBdr>
        <w:top w:val="none" w:sz="0" w:space="0" w:color="auto"/>
        <w:left w:val="none" w:sz="0" w:space="0" w:color="auto"/>
        <w:bottom w:val="none" w:sz="0" w:space="0" w:color="auto"/>
        <w:right w:val="none" w:sz="0" w:space="0" w:color="auto"/>
      </w:divBdr>
    </w:div>
    <w:div w:id="270089064">
      <w:bodyDiv w:val="1"/>
      <w:marLeft w:val="0"/>
      <w:marRight w:val="0"/>
      <w:marTop w:val="0"/>
      <w:marBottom w:val="0"/>
      <w:divBdr>
        <w:top w:val="none" w:sz="0" w:space="0" w:color="auto"/>
        <w:left w:val="none" w:sz="0" w:space="0" w:color="auto"/>
        <w:bottom w:val="none" w:sz="0" w:space="0" w:color="auto"/>
        <w:right w:val="none" w:sz="0" w:space="0" w:color="auto"/>
      </w:divBdr>
    </w:div>
    <w:div w:id="272171951">
      <w:bodyDiv w:val="1"/>
      <w:marLeft w:val="0"/>
      <w:marRight w:val="0"/>
      <w:marTop w:val="0"/>
      <w:marBottom w:val="0"/>
      <w:divBdr>
        <w:top w:val="none" w:sz="0" w:space="0" w:color="auto"/>
        <w:left w:val="none" w:sz="0" w:space="0" w:color="auto"/>
        <w:bottom w:val="none" w:sz="0" w:space="0" w:color="auto"/>
        <w:right w:val="none" w:sz="0" w:space="0" w:color="auto"/>
      </w:divBdr>
    </w:div>
    <w:div w:id="277444613">
      <w:bodyDiv w:val="1"/>
      <w:marLeft w:val="0"/>
      <w:marRight w:val="0"/>
      <w:marTop w:val="0"/>
      <w:marBottom w:val="0"/>
      <w:divBdr>
        <w:top w:val="none" w:sz="0" w:space="0" w:color="auto"/>
        <w:left w:val="none" w:sz="0" w:space="0" w:color="auto"/>
        <w:bottom w:val="none" w:sz="0" w:space="0" w:color="auto"/>
        <w:right w:val="none" w:sz="0" w:space="0" w:color="auto"/>
      </w:divBdr>
    </w:div>
    <w:div w:id="294062948">
      <w:bodyDiv w:val="1"/>
      <w:marLeft w:val="0"/>
      <w:marRight w:val="0"/>
      <w:marTop w:val="0"/>
      <w:marBottom w:val="0"/>
      <w:divBdr>
        <w:top w:val="none" w:sz="0" w:space="0" w:color="auto"/>
        <w:left w:val="none" w:sz="0" w:space="0" w:color="auto"/>
        <w:bottom w:val="none" w:sz="0" w:space="0" w:color="auto"/>
        <w:right w:val="none" w:sz="0" w:space="0" w:color="auto"/>
      </w:divBdr>
    </w:div>
    <w:div w:id="306740575">
      <w:bodyDiv w:val="1"/>
      <w:marLeft w:val="0"/>
      <w:marRight w:val="0"/>
      <w:marTop w:val="0"/>
      <w:marBottom w:val="0"/>
      <w:divBdr>
        <w:top w:val="none" w:sz="0" w:space="0" w:color="auto"/>
        <w:left w:val="none" w:sz="0" w:space="0" w:color="auto"/>
        <w:bottom w:val="none" w:sz="0" w:space="0" w:color="auto"/>
        <w:right w:val="none" w:sz="0" w:space="0" w:color="auto"/>
      </w:divBdr>
    </w:div>
    <w:div w:id="310257734">
      <w:bodyDiv w:val="1"/>
      <w:marLeft w:val="0"/>
      <w:marRight w:val="0"/>
      <w:marTop w:val="0"/>
      <w:marBottom w:val="0"/>
      <w:divBdr>
        <w:top w:val="none" w:sz="0" w:space="0" w:color="auto"/>
        <w:left w:val="none" w:sz="0" w:space="0" w:color="auto"/>
        <w:bottom w:val="none" w:sz="0" w:space="0" w:color="auto"/>
        <w:right w:val="none" w:sz="0" w:space="0" w:color="auto"/>
      </w:divBdr>
    </w:div>
    <w:div w:id="357661895">
      <w:bodyDiv w:val="1"/>
      <w:marLeft w:val="0"/>
      <w:marRight w:val="0"/>
      <w:marTop w:val="0"/>
      <w:marBottom w:val="0"/>
      <w:divBdr>
        <w:top w:val="none" w:sz="0" w:space="0" w:color="auto"/>
        <w:left w:val="none" w:sz="0" w:space="0" w:color="auto"/>
        <w:bottom w:val="none" w:sz="0" w:space="0" w:color="auto"/>
        <w:right w:val="none" w:sz="0" w:space="0" w:color="auto"/>
      </w:divBdr>
    </w:div>
    <w:div w:id="364403349">
      <w:bodyDiv w:val="1"/>
      <w:marLeft w:val="0"/>
      <w:marRight w:val="0"/>
      <w:marTop w:val="0"/>
      <w:marBottom w:val="0"/>
      <w:divBdr>
        <w:top w:val="none" w:sz="0" w:space="0" w:color="auto"/>
        <w:left w:val="none" w:sz="0" w:space="0" w:color="auto"/>
        <w:bottom w:val="none" w:sz="0" w:space="0" w:color="auto"/>
        <w:right w:val="none" w:sz="0" w:space="0" w:color="auto"/>
      </w:divBdr>
    </w:div>
    <w:div w:id="370307395">
      <w:bodyDiv w:val="1"/>
      <w:marLeft w:val="0"/>
      <w:marRight w:val="0"/>
      <w:marTop w:val="0"/>
      <w:marBottom w:val="0"/>
      <w:divBdr>
        <w:top w:val="none" w:sz="0" w:space="0" w:color="auto"/>
        <w:left w:val="none" w:sz="0" w:space="0" w:color="auto"/>
        <w:bottom w:val="none" w:sz="0" w:space="0" w:color="auto"/>
        <w:right w:val="none" w:sz="0" w:space="0" w:color="auto"/>
      </w:divBdr>
    </w:div>
    <w:div w:id="393165973">
      <w:bodyDiv w:val="1"/>
      <w:marLeft w:val="0"/>
      <w:marRight w:val="0"/>
      <w:marTop w:val="0"/>
      <w:marBottom w:val="0"/>
      <w:divBdr>
        <w:top w:val="none" w:sz="0" w:space="0" w:color="auto"/>
        <w:left w:val="none" w:sz="0" w:space="0" w:color="auto"/>
        <w:bottom w:val="none" w:sz="0" w:space="0" w:color="auto"/>
        <w:right w:val="none" w:sz="0" w:space="0" w:color="auto"/>
      </w:divBdr>
    </w:div>
    <w:div w:id="397901387">
      <w:bodyDiv w:val="1"/>
      <w:marLeft w:val="0"/>
      <w:marRight w:val="0"/>
      <w:marTop w:val="0"/>
      <w:marBottom w:val="0"/>
      <w:divBdr>
        <w:top w:val="none" w:sz="0" w:space="0" w:color="auto"/>
        <w:left w:val="none" w:sz="0" w:space="0" w:color="auto"/>
        <w:bottom w:val="none" w:sz="0" w:space="0" w:color="auto"/>
        <w:right w:val="none" w:sz="0" w:space="0" w:color="auto"/>
      </w:divBdr>
      <w:divsChild>
        <w:div w:id="69351578">
          <w:marLeft w:val="0"/>
          <w:marRight w:val="0"/>
          <w:marTop w:val="0"/>
          <w:marBottom w:val="0"/>
          <w:divBdr>
            <w:top w:val="none" w:sz="0" w:space="0" w:color="auto"/>
            <w:left w:val="none" w:sz="0" w:space="0" w:color="auto"/>
            <w:bottom w:val="none" w:sz="0" w:space="0" w:color="auto"/>
            <w:right w:val="none" w:sz="0" w:space="0" w:color="auto"/>
          </w:divBdr>
          <w:divsChild>
            <w:div w:id="1761754840">
              <w:marLeft w:val="0"/>
              <w:marRight w:val="0"/>
              <w:marTop w:val="0"/>
              <w:marBottom w:val="0"/>
              <w:divBdr>
                <w:top w:val="none" w:sz="0" w:space="0" w:color="auto"/>
                <w:left w:val="none" w:sz="0" w:space="0" w:color="auto"/>
                <w:bottom w:val="none" w:sz="0" w:space="0" w:color="auto"/>
                <w:right w:val="none" w:sz="0" w:space="0" w:color="auto"/>
              </w:divBdr>
            </w:div>
          </w:divsChild>
        </w:div>
        <w:div w:id="110981357">
          <w:marLeft w:val="0"/>
          <w:marRight w:val="0"/>
          <w:marTop w:val="0"/>
          <w:marBottom w:val="0"/>
          <w:divBdr>
            <w:top w:val="none" w:sz="0" w:space="0" w:color="auto"/>
            <w:left w:val="none" w:sz="0" w:space="0" w:color="auto"/>
            <w:bottom w:val="none" w:sz="0" w:space="0" w:color="auto"/>
            <w:right w:val="none" w:sz="0" w:space="0" w:color="auto"/>
          </w:divBdr>
          <w:divsChild>
            <w:div w:id="6951374">
              <w:marLeft w:val="0"/>
              <w:marRight w:val="0"/>
              <w:marTop w:val="0"/>
              <w:marBottom w:val="0"/>
              <w:divBdr>
                <w:top w:val="none" w:sz="0" w:space="0" w:color="auto"/>
                <w:left w:val="none" w:sz="0" w:space="0" w:color="auto"/>
                <w:bottom w:val="none" w:sz="0" w:space="0" w:color="auto"/>
                <w:right w:val="none" w:sz="0" w:space="0" w:color="auto"/>
              </w:divBdr>
            </w:div>
          </w:divsChild>
        </w:div>
        <w:div w:id="184173405">
          <w:marLeft w:val="0"/>
          <w:marRight w:val="0"/>
          <w:marTop w:val="0"/>
          <w:marBottom w:val="0"/>
          <w:divBdr>
            <w:top w:val="none" w:sz="0" w:space="0" w:color="auto"/>
            <w:left w:val="none" w:sz="0" w:space="0" w:color="auto"/>
            <w:bottom w:val="none" w:sz="0" w:space="0" w:color="auto"/>
            <w:right w:val="none" w:sz="0" w:space="0" w:color="auto"/>
          </w:divBdr>
          <w:divsChild>
            <w:div w:id="11537259">
              <w:marLeft w:val="0"/>
              <w:marRight w:val="0"/>
              <w:marTop w:val="0"/>
              <w:marBottom w:val="0"/>
              <w:divBdr>
                <w:top w:val="none" w:sz="0" w:space="0" w:color="auto"/>
                <w:left w:val="none" w:sz="0" w:space="0" w:color="auto"/>
                <w:bottom w:val="none" w:sz="0" w:space="0" w:color="auto"/>
                <w:right w:val="none" w:sz="0" w:space="0" w:color="auto"/>
              </w:divBdr>
            </w:div>
          </w:divsChild>
        </w:div>
        <w:div w:id="310603526">
          <w:marLeft w:val="0"/>
          <w:marRight w:val="0"/>
          <w:marTop w:val="0"/>
          <w:marBottom w:val="0"/>
          <w:divBdr>
            <w:top w:val="none" w:sz="0" w:space="0" w:color="auto"/>
            <w:left w:val="none" w:sz="0" w:space="0" w:color="auto"/>
            <w:bottom w:val="none" w:sz="0" w:space="0" w:color="auto"/>
            <w:right w:val="none" w:sz="0" w:space="0" w:color="auto"/>
          </w:divBdr>
          <w:divsChild>
            <w:div w:id="506292198">
              <w:marLeft w:val="0"/>
              <w:marRight w:val="0"/>
              <w:marTop w:val="0"/>
              <w:marBottom w:val="0"/>
              <w:divBdr>
                <w:top w:val="none" w:sz="0" w:space="0" w:color="auto"/>
                <w:left w:val="none" w:sz="0" w:space="0" w:color="auto"/>
                <w:bottom w:val="none" w:sz="0" w:space="0" w:color="auto"/>
                <w:right w:val="none" w:sz="0" w:space="0" w:color="auto"/>
              </w:divBdr>
            </w:div>
          </w:divsChild>
        </w:div>
        <w:div w:id="449325516">
          <w:marLeft w:val="0"/>
          <w:marRight w:val="0"/>
          <w:marTop w:val="0"/>
          <w:marBottom w:val="0"/>
          <w:divBdr>
            <w:top w:val="none" w:sz="0" w:space="0" w:color="auto"/>
            <w:left w:val="none" w:sz="0" w:space="0" w:color="auto"/>
            <w:bottom w:val="none" w:sz="0" w:space="0" w:color="auto"/>
            <w:right w:val="none" w:sz="0" w:space="0" w:color="auto"/>
          </w:divBdr>
          <w:divsChild>
            <w:div w:id="1018770336">
              <w:marLeft w:val="0"/>
              <w:marRight w:val="0"/>
              <w:marTop w:val="0"/>
              <w:marBottom w:val="0"/>
              <w:divBdr>
                <w:top w:val="none" w:sz="0" w:space="0" w:color="auto"/>
                <w:left w:val="none" w:sz="0" w:space="0" w:color="auto"/>
                <w:bottom w:val="none" w:sz="0" w:space="0" w:color="auto"/>
                <w:right w:val="none" w:sz="0" w:space="0" w:color="auto"/>
              </w:divBdr>
            </w:div>
          </w:divsChild>
        </w:div>
        <w:div w:id="643967607">
          <w:marLeft w:val="0"/>
          <w:marRight w:val="0"/>
          <w:marTop w:val="0"/>
          <w:marBottom w:val="0"/>
          <w:divBdr>
            <w:top w:val="none" w:sz="0" w:space="0" w:color="auto"/>
            <w:left w:val="none" w:sz="0" w:space="0" w:color="auto"/>
            <w:bottom w:val="none" w:sz="0" w:space="0" w:color="auto"/>
            <w:right w:val="none" w:sz="0" w:space="0" w:color="auto"/>
          </w:divBdr>
          <w:divsChild>
            <w:div w:id="2064404153">
              <w:marLeft w:val="0"/>
              <w:marRight w:val="0"/>
              <w:marTop w:val="0"/>
              <w:marBottom w:val="0"/>
              <w:divBdr>
                <w:top w:val="none" w:sz="0" w:space="0" w:color="auto"/>
                <w:left w:val="none" w:sz="0" w:space="0" w:color="auto"/>
                <w:bottom w:val="none" w:sz="0" w:space="0" w:color="auto"/>
                <w:right w:val="none" w:sz="0" w:space="0" w:color="auto"/>
              </w:divBdr>
            </w:div>
          </w:divsChild>
        </w:div>
        <w:div w:id="686559894">
          <w:marLeft w:val="0"/>
          <w:marRight w:val="0"/>
          <w:marTop w:val="0"/>
          <w:marBottom w:val="0"/>
          <w:divBdr>
            <w:top w:val="none" w:sz="0" w:space="0" w:color="auto"/>
            <w:left w:val="none" w:sz="0" w:space="0" w:color="auto"/>
            <w:bottom w:val="none" w:sz="0" w:space="0" w:color="auto"/>
            <w:right w:val="none" w:sz="0" w:space="0" w:color="auto"/>
          </w:divBdr>
          <w:divsChild>
            <w:div w:id="778524632">
              <w:marLeft w:val="0"/>
              <w:marRight w:val="0"/>
              <w:marTop w:val="0"/>
              <w:marBottom w:val="0"/>
              <w:divBdr>
                <w:top w:val="none" w:sz="0" w:space="0" w:color="auto"/>
                <w:left w:val="none" w:sz="0" w:space="0" w:color="auto"/>
                <w:bottom w:val="none" w:sz="0" w:space="0" w:color="auto"/>
                <w:right w:val="none" w:sz="0" w:space="0" w:color="auto"/>
              </w:divBdr>
              <w:divsChild>
                <w:div w:id="1843202930">
                  <w:marLeft w:val="0"/>
                  <w:marRight w:val="0"/>
                  <w:marTop w:val="0"/>
                  <w:marBottom w:val="0"/>
                  <w:divBdr>
                    <w:top w:val="none" w:sz="0" w:space="0" w:color="auto"/>
                    <w:left w:val="none" w:sz="0" w:space="0" w:color="auto"/>
                    <w:bottom w:val="none" w:sz="0" w:space="0" w:color="auto"/>
                    <w:right w:val="none" w:sz="0" w:space="0" w:color="auto"/>
                  </w:divBdr>
                  <w:divsChild>
                    <w:div w:id="41250822">
                      <w:marLeft w:val="0"/>
                      <w:marRight w:val="0"/>
                      <w:marTop w:val="0"/>
                      <w:marBottom w:val="0"/>
                      <w:divBdr>
                        <w:top w:val="none" w:sz="0" w:space="0" w:color="auto"/>
                        <w:left w:val="none" w:sz="0" w:space="0" w:color="auto"/>
                        <w:bottom w:val="none" w:sz="0" w:space="0" w:color="auto"/>
                        <w:right w:val="none" w:sz="0" w:space="0" w:color="auto"/>
                      </w:divBdr>
                      <w:divsChild>
                        <w:div w:id="1047728002">
                          <w:marLeft w:val="0"/>
                          <w:marRight w:val="0"/>
                          <w:marTop w:val="0"/>
                          <w:marBottom w:val="0"/>
                          <w:divBdr>
                            <w:top w:val="none" w:sz="0" w:space="0" w:color="auto"/>
                            <w:left w:val="none" w:sz="0" w:space="0" w:color="auto"/>
                            <w:bottom w:val="none" w:sz="0" w:space="0" w:color="auto"/>
                            <w:right w:val="none" w:sz="0" w:space="0" w:color="auto"/>
                          </w:divBdr>
                        </w:div>
                      </w:divsChild>
                    </w:div>
                    <w:div w:id="454755103">
                      <w:marLeft w:val="0"/>
                      <w:marRight w:val="0"/>
                      <w:marTop w:val="0"/>
                      <w:marBottom w:val="0"/>
                      <w:divBdr>
                        <w:top w:val="none" w:sz="0" w:space="0" w:color="auto"/>
                        <w:left w:val="none" w:sz="0" w:space="0" w:color="auto"/>
                        <w:bottom w:val="none" w:sz="0" w:space="0" w:color="auto"/>
                        <w:right w:val="none" w:sz="0" w:space="0" w:color="auto"/>
                      </w:divBdr>
                      <w:divsChild>
                        <w:div w:id="902956356">
                          <w:marLeft w:val="0"/>
                          <w:marRight w:val="0"/>
                          <w:marTop w:val="0"/>
                          <w:marBottom w:val="0"/>
                          <w:divBdr>
                            <w:top w:val="none" w:sz="0" w:space="0" w:color="auto"/>
                            <w:left w:val="none" w:sz="0" w:space="0" w:color="auto"/>
                            <w:bottom w:val="none" w:sz="0" w:space="0" w:color="auto"/>
                            <w:right w:val="none" w:sz="0" w:space="0" w:color="auto"/>
                          </w:divBdr>
                        </w:div>
                      </w:divsChild>
                    </w:div>
                    <w:div w:id="539590187">
                      <w:marLeft w:val="0"/>
                      <w:marRight w:val="0"/>
                      <w:marTop w:val="0"/>
                      <w:marBottom w:val="0"/>
                      <w:divBdr>
                        <w:top w:val="none" w:sz="0" w:space="0" w:color="auto"/>
                        <w:left w:val="none" w:sz="0" w:space="0" w:color="auto"/>
                        <w:bottom w:val="none" w:sz="0" w:space="0" w:color="auto"/>
                        <w:right w:val="none" w:sz="0" w:space="0" w:color="auto"/>
                      </w:divBdr>
                      <w:divsChild>
                        <w:div w:id="130827666">
                          <w:marLeft w:val="0"/>
                          <w:marRight w:val="0"/>
                          <w:marTop w:val="0"/>
                          <w:marBottom w:val="0"/>
                          <w:divBdr>
                            <w:top w:val="none" w:sz="0" w:space="0" w:color="auto"/>
                            <w:left w:val="none" w:sz="0" w:space="0" w:color="auto"/>
                            <w:bottom w:val="none" w:sz="0" w:space="0" w:color="auto"/>
                            <w:right w:val="none" w:sz="0" w:space="0" w:color="auto"/>
                          </w:divBdr>
                        </w:div>
                      </w:divsChild>
                    </w:div>
                    <w:div w:id="594679062">
                      <w:marLeft w:val="0"/>
                      <w:marRight w:val="0"/>
                      <w:marTop w:val="0"/>
                      <w:marBottom w:val="0"/>
                      <w:divBdr>
                        <w:top w:val="none" w:sz="0" w:space="0" w:color="auto"/>
                        <w:left w:val="none" w:sz="0" w:space="0" w:color="auto"/>
                        <w:bottom w:val="none" w:sz="0" w:space="0" w:color="auto"/>
                        <w:right w:val="none" w:sz="0" w:space="0" w:color="auto"/>
                      </w:divBdr>
                      <w:divsChild>
                        <w:div w:id="521019382">
                          <w:marLeft w:val="0"/>
                          <w:marRight w:val="0"/>
                          <w:marTop w:val="0"/>
                          <w:marBottom w:val="0"/>
                          <w:divBdr>
                            <w:top w:val="none" w:sz="0" w:space="0" w:color="auto"/>
                            <w:left w:val="none" w:sz="0" w:space="0" w:color="auto"/>
                            <w:bottom w:val="none" w:sz="0" w:space="0" w:color="auto"/>
                            <w:right w:val="none" w:sz="0" w:space="0" w:color="auto"/>
                          </w:divBdr>
                        </w:div>
                      </w:divsChild>
                    </w:div>
                    <w:div w:id="760948331">
                      <w:marLeft w:val="0"/>
                      <w:marRight w:val="0"/>
                      <w:marTop w:val="0"/>
                      <w:marBottom w:val="0"/>
                      <w:divBdr>
                        <w:top w:val="none" w:sz="0" w:space="0" w:color="auto"/>
                        <w:left w:val="none" w:sz="0" w:space="0" w:color="auto"/>
                        <w:bottom w:val="none" w:sz="0" w:space="0" w:color="auto"/>
                        <w:right w:val="none" w:sz="0" w:space="0" w:color="auto"/>
                      </w:divBdr>
                      <w:divsChild>
                        <w:div w:id="709381403">
                          <w:marLeft w:val="0"/>
                          <w:marRight w:val="0"/>
                          <w:marTop w:val="0"/>
                          <w:marBottom w:val="0"/>
                          <w:divBdr>
                            <w:top w:val="none" w:sz="0" w:space="0" w:color="auto"/>
                            <w:left w:val="none" w:sz="0" w:space="0" w:color="auto"/>
                            <w:bottom w:val="none" w:sz="0" w:space="0" w:color="auto"/>
                            <w:right w:val="none" w:sz="0" w:space="0" w:color="auto"/>
                          </w:divBdr>
                        </w:div>
                      </w:divsChild>
                    </w:div>
                    <w:div w:id="841551794">
                      <w:marLeft w:val="0"/>
                      <w:marRight w:val="0"/>
                      <w:marTop w:val="0"/>
                      <w:marBottom w:val="0"/>
                      <w:divBdr>
                        <w:top w:val="none" w:sz="0" w:space="0" w:color="auto"/>
                        <w:left w:val="none" w:sz="0" w:space="0" w:color="auto"/>
                        <w:bottom w:val="none" w:sz="0" w:space="0" w:color="auto"/>
                        <w:right w:val="none" w:sz="0" w:space="0" w:color="auto"/>
                      </w:divBdr>
                      <w:divsChild>
                        <w:div w:id="2062634734">
                          <w:marLeft w:val="0"/>
                          <w:marRight w:val="0"/>
                          <w:marTop w:val="0"/>
                          <w:marBottom w:val="0"/>
                          <w:divBdr>
                            <w:top w:val="none" w:sz="0" w:space="0" w:color="auto"/>
                            <w:left w:val="none" w:sz="0" w:space="0" w:color="auto"/>
                            <w:bottom w:val="none" w:sz="0" w:space="0" w:color="auto"/>
                            <w:right w:val="none" w:sz="0" w:space="0" w:color="auto"/>
                          </w:divBdr>
                        </w:div>
                      </w:divsChild>
                    </w:div>
                    <w:div w:id="1270971684">
                      <w:marLeft w:val="0"/>
                      <w:marRight w:val="0"/>
                      <w:marTop w:val="0"/>
                      <w:marBottom w:val="0"/>
                      <w:divBdr>
                        <w:top w:val="none" w:sz="0" w:space="0" w:color="auto"/>
                        <w:left w:val="none" w:sz="0" w:space="0" w:color="auto"/>
                        <w:bottom w:val="none" w:sz="0" w:space="0" w:color="auto"/>
                        <w:right w:val="none" w:sz="0" w:space="0" w:color="auto"/>
                      </w:divBdr>
                      <w:divsChild>
                        <w:div w:id="777216352">
                          <w:marLeft w:val="0"/>
                          <w:marRight w:val="0"/>
                          <w:marTop w:val="0"/>
                          <w:marBottom w:val="0"/>
                          <w:divBdr>
                            <w:top w:val="none" w:sz="0" w:space="0" w:color="auto"/>
                            <w:left w:val="none" w:sz="0" w:space="0" w:color="auto"/>
                            <w:bottom w:val="none" w:sz="0" w:space="0" w:color="auto"/>
                            <w:right w:val="none" w:sz="0" w:space="0" w:color="auto"/>
                          </w:divBdr>
                        </w:div>
                      </w:divsChild>
                    </w:div>
                    <w:div w:id="1736470310">
                      <w:marLeft w:val="0"/>
                      <w:marRight w:val="0"/>
                      <w:marTop w:val="0"/>
                      <w:marBottom w:val="0"/>
                      <w:divBdr>
                        <w:top w:val="none" w:sz="0" w:space="0" w:color="auto"/>
                        <w:left w:val="none" w:sz="0" w:space="0" w:color="auto"/>
                        <w:bottom w:val="none" w:sz="0" w:space="0" w:color="auto"/>
                        <w:right w:val="none" w:sz="0" w:space="0" w:color="auto"/>
                      </w:divBdr>
                      <w:divsChild>
                        <w:div w:id="1672677726">
                          <w:marLeft w:val="0"/>
                          <w:marRight w:val="0"/>
                          <w:marTop w:val="0"/>
                          <w:marBottom w:val="0"/>
                          <w:divBdr>
                            <w:top w:val="none" w:sz="0" w:space="0" w:color="auto"/>
                            <w:left w:val="none" w:sz="0" w:space="0" w:color="auto"/>
                            <w:bottom w:val="none" w:sz="0" w:space="0" w:color="auto"/>
                            <w:right w:val="none" w:sz="0" w:space="0" w:color="auto"/>
                          </w:divBdr>
                        </w:div>
                      </w:divsChild>
                    </w:div>
                    <w:div w:id="1766804583">
                      <w:marLeft w:val="0"/>
                      <w:marRight w:val="0"/>
                      <w:marTop w:val="0"/>
                      <w:marBottom w:val="0"/>
                      <w:divBdr>
                        <w:top w:val="none" w:sz="0" w:space="0" w:color="auto"/>
                        <w:left w:val="none" w:sz="0" w:space="0" w:color="auto"/>
                        <w:bottom w:val="none" w:sz="0" w:space="0" w:color="auto"/>
                        <w:right w:val="none" w:sz="0" w:space="0" w:color="auto"/>
                      </w:divBdr>
                      <w:divsChild>
                        <w:div w:id="1311205066">
                          <w:marLeft w:val="0"/>
                          <w:marRight w:val="0"/>
                          <w:marTop w:val="0"/>
                          <w:marBottom w:val="0"/>
                          <w:divBdr>
                            <w:top w:val="none" w:sz="0" w:space="0" w:color="auto"/>
                            <w:left w:val="none" w:sz="0" w:space="0" w:color="auto"/>
                            <w:bottom w:val="none" w:sz="0" w:space="0" w:color="auto"/>
                            <w:right w:val="none" w:sz="0" w:space="0" w:color="auto"/>
                          </w:divBdr>
                        </w:div>
                      </w:divsChild>
                    </w:div>
                    <w:div w:id="1863858672">
                      <w:marLeft w:val="0"/>
                      <w:marRight w:val="0"/>
                      <w:marTop w:val="0"/>
                      <w:marBottom w:val="0"/>
                      <w:divBdr>
                        <w:top w:val="none" w:sz="0" w:space="0" w:color="auto"/>
                        <w:left w:val="none" w:sz="0" w:space="0" w:color="auto"/>
                        <w:bottom w:val="none" w:sz="0" w:space="0" w:color="auto"/>
                        <w:right w:val="none" w:sz="0" w:space="0" w:color="auto"/>
                      </w:divBdr>
                      <w:divsChild>
                        <w:div w:id="723527932">
                          <w:marLeft w:val="0"/>
                          <w:marRight w:val="0"/>
                          <w:marTop w:val="0"/>
                          <w:marBottom w:val="0"/>
                          <w:divBdr>
                            <w:top w:val="none" w:sz="0" w:space="0" w:color="auto"/>
                            <w:left w:val="none" w:sz="0" w:space="0" w:color="auto"/>
                            <w:bottom w:val="none" w:sz="0" w:space="0" w:color="auto"/>
                            <w:right w:val="none" w:sz="0" w:space="0" w:color="auto"/>
                          </w:divBdr>
                        </w:div>
                      </w:divsChild>
                    </w:div>
                    <w:div w:id="2015918491">
                      <w:marLeft w:val="0"/>
                      <w:marRight w:val="0"/>
                      <w:marTop w:val="0"/>
                      <w:marBottom w:val="0"/>
                      <w:divBdr>
                        <w:top w:val="none" w:sz="0" w:space="0" w:color="auto"/>
                        <w:left w:val="none" w:sz="0" w:space="0" w:color="auto"/>
                        <w:bottom w:val="none" w:sz="0" w:space="0" w:color="auto"/>
                        <w:right w:val="none" w:sz="0" w:space="0" w:color="auto"/>
                      </w:divBdr>
                      <w:divsChild>
                        <w:div w:id="21186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78807">
          <w:marLeft w:val="0"/>
          <w:marRight w:val="0"/>
          <w:marTop w:val="0"/>
          <w:marBottom w:val="0"/>
          <w:divBdr>
            <w:top w:val="none" w:sz="0" w:space="0" w:color="auto"/>
            <w:left w:val="none" w:sz="0" w:space="0" w:color="auto"/>
            <w:bottom w:val="none" w:sz="0" w:space="0" w:color="auto"/>
            <w:right w:val="none" w:sz="0" w:space="0" w:color="auto"/>
          </w:divBdr>
          <w:divsChild>
            <w:div w:id="1394540892">
              <w:marLeft w:val="0"/>
              <w:marRight w:val="0"/>
              <w:marTop w:val="0"/>
              <w:marBottom w:val="0"/>
              <w:divBdr>
                <w:top w:val="none" w:sz="0" w:space="0" w:color="auto"/>
                <w:left w:val="none" w:sz="0" w:space="0" w:color="auto"/>
                <w:bottom w:val="none" w:sz="0" w:space="0" w:color="auto"/>
                <w:right w:val="none" w:sz="0" w:space="0" w:color="auto"/>
              </w:divBdr>
            </w:div>
          </w:divsChild>
        </w:div>
        <w:div w:id="1041054211">
          <w:marLeft w:val="0"/>
          <w:marRight w:val="0"/>
          <w:marTop w:val="0"/>
          <w:marBottom w:val="0"/>
          <w:divBdr>
            <w:top w:val="none" w:sz="0" w:space="0" w:color="auto"/>
            <w:left w:val="none" w:sz="0" w:space="0" w:color="auto"/>
            <w:bottom w:val="none" w:sz="0" w:space="0" w:color="auto"/>
            <w:right w:val="none" w:sz="0" w:space="0" w:color="auto"/>
          </w:divBdr>
          <w:divsChild>
            <w:div w:id="1019158648">
              <w:marLeft w:val="0"/>
              <w:marRight w:val="0"/>
              <w:marTop w:val="0"/>
              <w:marBottom w:val="0"/>
              <w:divBdr>
                <w:top w:val="none" w:sz="0" w:space="0" w:color="auto"/>
                <w:left w:val="none" w:sz="0" w:space="0" w:color="auto"/>
                <w:bottom w:val="none" w:sz="0" w:space="0" w:color="auto"/>
                <w:right w:val="none" w:sz="0" w:space="0" w:color="auto"/>
              </w:divBdr>
              <w:divsChild>
                <w:div w:id="815804271">
                  <w:marLeft w:val="0"/>
                  <w:marRight w:val="0"/>
                  <w:marTop w:val="0"/>
                  <w:marBottom w:val="0"/>
                  <w:divBdr>
                    <w:top w:val="none" w:sz="0" w:space="0" w:color="auto"/>
                    <w:left w:val="none" w:sz="0" w:space="0" w:color="auto"/>
                    <w:bottom w:val="none" w:sz="0" w:space="0" w:color="auto"/>
                    <w:right w:val="none" w:sz="0" w:space="0" w:color="auto"/>
                  </w:divBdr>
                  <w:divsChild>
                    <w:div w:id="83963388">
                      <w:marLeft w:val="0"/>
                      <w:marRight w:val="0"/>
                      <w:marTop w:val="0"/>
                      <w:marBottom w:val="0"/>
                      <w:divBdr>
                        <w:top w:val="none" w:sz="0" w:space="0" w:color="auto"/>
                        <w:left w:val="none" w:sz="0" w:space="0" w:color="auto"/>
                        <w:bottom w:val="none" w:sz="0" w:space="0" w:color="auto"/>
                        <w:right w:val="none" w:sz="0" w:space="0" w:color="auto"/>
                      </w:divBdr>
                      <w:divsChild>
                        <w:div w:id="961810563">
                          <w:marLeft w:val="0"/>
                          <w:marRight w:val="0"/>
                          <w:marTop w:val="0"/>
                          <w:marBottom w:val="0"/>
                          <w:divBdr>
                            <w:top w:val="none" w:sz="0" w:space="0" w:color="auto"/>
                            <w:left w:val="none" w:sz="0" w:space="0" w:color="auto"/>
                            <w:bottom w:val="none" w:sz="0" w:space="0" w:color="auto"/>
                            <w:right w:val="none" w:sz="0" w:space="0" w:color="auto"/>
                          </w:divBdr>
                        </w:div>
                      </w:divsChild>
                    </w:div>
                    <w:div w:id="509222192">
                      <w:marLeft w:val="0"/>
                      <w:marRight w:val="0"/>
                      <w:marTop w:val="0"/>
                      <w:marBottom w:val="0"/>
                      <w:divBdr>
                        <w:top w:val="none" w:sz="0" w:space="0" w:color="auto"/>
                        <w:left w:val="none" w:sz="0" w:space="0" w:color="auto"/>
                        <w:bottom w:val="none" w:sz="0" w:space="0" w:color="auto"/>
                        <w:right w:val="none" w:sz="0" w:space="0" w:color="auto"/>
                      </w:divBdr>
                      <w:divsChild>
                        <w:div w:id="851409959">
                          <w:marLeft w:val="0"/>
                          <w:marRight w:val="0"/>
                          <w:marTop w:val="0"/>
                          <w:marBottom w:val="0"/>
                          <w:divBdr>
                            <w:top w:val="none" w:sz="0" w:space="0" w:color="auto"/>
                            <w:left w:val="none" w:sz="0" w:space="0" w:color="auto"/>
                            <w:bottom w:val="none" w:sz="0" w:space="0" w:color="auto"/>
                            <w:right w:val="none" w:sz="0" w:space="0" w:color="auto"/>
                          </w:divBdr>
                        </w:div>
                      </w:divsChild>
                    </w:div>
                    <w:div w:id="2036999331">
                      <w:marLeft w:val="0"/>
                      <w:marRight w:val="0"/>
                      <w:marTop w:val="0"/>
                      <w:marBottom w:val="0"/>
                      <w:divBdr>
                        <w:top w:val="none" w:sz="0" w:space="0" w:color="auto"/>
                        <w:left w:val="none" w:sz="0" w:space="0" w:color="auto"/>
                        <w:bottom w:val="none" w:sz="0" w:space="0" w:color="auto"/>
                        <w:right w:val="none" w:sz="0" w:space="0" w:color="auto"/>
                      </w:divBdr>
                      <w:divsChild>
                        <w:div w:id="1836145030">
                          <w:marLeft w:val="0"/>
                          <w:marRight w:val="0"/>
                          <w:marTop w:val="0"/>
                          <w:marBottom w:val="0"/>
                          <w:divBdr>
                            <w:top w:val="none" w:sz="0" w:space="0" w:color="auto"/>
                            <w:left w:val="none" w:sz="0" w:space="0" w:color="auto"/>
                            <w:bottom w:val="none" w:sz="0" w:space="0" w:color="auto"/>
                            <w:right w:val="none" w:sz="0" w:space="0" w:color="auto"/>
                          </w:divBdr>
                        </w:div>
                      </w:divsChild>
                    </w:div>
                    <w:div w:id="2043939468">
                      <w:marLeft w:val="0"/>
                      <w:marRight w:val="0"/>
                      <w:marTop w:val="0"/>
                      <w:marBottom w:val="0"/>
                      <w:divBdr>
                        <w:top w:val="none" w:sz="0" w:space="0" w:color="auto"/>
                        <w:left w:val="none" w:sz="0" w:space="0" w:color="auto"/>
                        <w:bottom w:val="none" w:sz="0" w:space="0" w:color="auto"/>
                        <w:right w:val="none" w:sz="0" w:space="0" w:color="auto"/>
                      </w:divBdr>
                      <w:divsChild>
                        <w:div w:id="3572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64340">
          <w:marLeft w:val="0"/>
          <w:marRight w:val="0"/>
          <w:marTop w:val="0"/>
          <w:marBottom w:val="0"/>
          <w:divBdr>
            <w:top w:val="none" w:sz="0" w:space="0" w:color="auto"/>
            <w:left w:val="none" w:sz="0" w:space="0" w:color="auto"/>
            <w:bottom w:val="none" w:sz="0" w:space="0" w:color="auto"/>
            <w:right w:val="none" w:sz="0" w:space="0" w:color="auto"/>
          </w:divBdr>
          <w:divsChild>
            <w:div w:id="1666736734">
              <w:marLeft w:val="0"/>
              <w:marRight w:val="0"/>
              <w:marTop w:val="0"/>
              <w:marBottom w:val="0"/>
              <w:divBdr>
                <w:top w:val="none" w:sz="0" w:space="0" w:color="auto"/>
                <w:left w:val="none" w:sz="0" w:space="0" w:color="auto"/>
                <w:bottom w:val="none" w:sz="0" w:space="0" w:color="auto"/>
                <w:right w:val="none" w:sz="0" w:space="0" w:color="auto"/>
              </w:divBdr>
            </w:div>
          </w:divsChild>
        </w:div>
        <w:div w:id="1410811103">
          <w:marLeft w:val="0"/>
          <w:marRight w:val="0"/>
          <w:marTop w:val="0"/>
          <w:marBottom w:val="0"/>
          <w:divBdr>
            <w:top w:val="none" w:sz="0" w:space="0" w:color="auto"/>
            <w:left w:val="none" w:sz="0" w:space="0" w:color="auto"/>
            <w:bottom w:val="none" w:sz="0" w:space="0" w:color="auto"/>
            <w:right w:val="none" w:sz="0" w:space="0" w:color="auto"/>
          </w:divBdr>
          <w:divsChild>
            <w:div w:id="533494975">
              <w:marLeft w:val="0"/>
              <w:marRight w:val="0"/>
              <w:marTop w:val="0"/>
              <w:marBottom w:val="0"/>
              <w:divBdr>
                <w:top w:val="none" w:sz="0" w:space="0" w:color="auto"/>
                <w:left w:val="none" w:sz="0" w:space="0" w:color="auto"/>
                <w:bottom w:val="none" w:sz="0" w:space="0" w:color="auto"/>
                <w:right w:val="none" w:sz="0" w:space="0" w:color="auto"/>
              </w:divBdr>
            </w:div>
          </w:divsChild>
        </w:div>
        <w:div w:id="1666663802">
          <w:marLeft w:val="0"/>
          <w:marRight w:val="0"/>
          <w:marTop w:val="0"/>
          <w:marBottom w:val="0"/>
          <w:divBdr>
            <w:top w:val="none" w:sz="0" w:space="0" w:color="auto"/>
            <w:left w:val="none" w:sz="0" w:space="0" w:color="auto"/>
            <w:bottom w:val="none" w:sz="0" w:space="0" w:color="auto"/>
            <w:right w:val="none" w:sz="0" w:space="0" w:color="auto"/>
          </w:divBdr>
          <w:divsChild>
            <w:div w:id="16429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536">
      <w:bodyDiv w:val="1"/>
      <w:marLeft w:val="0"/>
      <w:marRight w:val="0"/>
      <w:marTop w:val="0"/>
      <w:marBottom w:val="0"/>
      <w:divBdr>
        <w:top w:val="none" w:sz="0" w:space="0" w:color="auto"/>
        <w:left w:val="none" w:sz="0" w:space="0" w:color="auto"/>
        <w:bottom w:val="none" w:sz="0" w:space="0" w:color="auto"/>
        <w:right w:val="none" w:sz="0" w:space="0" w:color="auto"/>
      </w:divBdr>
    </w:div>
    <w:div w:id="431705488">
      <w:bodyDiv w:val="1"/>
      <w:marLeft w:val="0"/>
      <w:marRight w:val="0"/>
      <w:marTop w:val="0"/>
      <w:marBottom w:val="0"/>
      <w:divBdr>
        <w:top w:val="none" w:sz="0" w:space="0" w:color="auto"/>
        <w:left w:val="none" w:sz="0" w:space="0" w:color="auto"/>
        <w:bottom w:val="none" w:sz="0" w:space="0" w:color="auto"/>
        <w:right w:val="none" w:sz="0" w:space="0" w:color="auto"/>
      </w:divBdr>
    </w:div>
    <w:div w:id="459154029">
      <w:bodyDiv w:val="1"/>
      <w:marLeft w:val="0"/>
      <w:marRight w:val="0"/>
      <w:marTop w:val="0"/>
      <w:marBottom w:val="0"/>
      <w:divBdr>
        <w:top w:val="none" w:sz="0" w:space="0" w:color="auto"/>
        <w:left w:val="none" w:sz="0" w:space="0" w:color="auto"/>
        <w:bottom w:val="none" w:sz="0" w:space="0" w:color="auto"/>
        <w:right w:val="none" w:sz="0" w:space="0" w:color="auto"/>
      </w:divBdr>
    </w:div>
    <w:div w:id="464130149">
      <w:bodyDiv w:val="1"/>
      <w:marLeft w:val="0"/>
      <w:marRight w:val="0"/>
      <w:marTop w:val="0"/>
      <w:marBottom w:val="0"/>
      <w:divBdr>
        <w:top w:val="none" w:sz="0" w:space="0" w:color="auto"/>
        <w:left w:val="none" w:sz="0" w:space="0" w:color="auto"/>
        <w:bottom w:val="none" w:sz="0" w:space="0" w:color="auto"/>
        <w:right w:val="none" w:sz="0" w:space="0" w:color="auto"/>
      </w:divBdr>
    </w:div>
    <w:div w:id="482501184">
      <w:bodyDiv w:val="1"/>
      <w:marLeft w:val="0"/>
      <w:marRight w:val="0"/>
      <w:marTop w:val="0"/>
      <w:marBottom w:val="0"/>
      <w:divBdr>
        <w:top w:val="none" w:sz="0" w:space="0" w:color="auto"/>
        <w:left w:val="none" w:sz="0" w:space="0" w:color="auto"/>
        <w:bottom w:val="none" w:sz="0" w:space="0" w:color="auto"/>
        <w:right w:val="none" w:sz="0" w:space="0" w:color="auto"/>
      </w:divBdr>
    </w:div>
    <w:div w:id="493960514">
      <w:bodyDiv w:val="1"/>
      <w:marLeft w:val="0"/>
      <w:marRight w:val="0"/>
      <w:marTop w:val="0"/>
      <w:marBottom w:val="0"/>
      <w:divBdr>
        <w:top w:val="none" w:sz="0" w:space="0" w:color="auto"/>
        <w:left w:val="none" w:sz="0" w:space="0" w:color="auto"/>
        <w:bottom w:val="none" w:sz="0" w:space="0" w:color="auto"/>
        <w:right w:val="none" w:sz="0" w:space="0" w:color="auto"/>
      </w:divBdr>
    </w:div>
    <w:div w:id="503326163">
      <w:bodyDiv w:val="1"/>
      <w:marLeft w:val="0"/>
      <w:marRight w:val="0"/>
      <w:marTop w:val="0"/>
      <w:marBottom w:val="0"/>
      <w:divBdr>
        <w:top w:val="none" w:sz="0" w:space="0" w:color="auto"/>
        <w:left w:val="none" w:sz="0" w:space="0" w:color="auto"/>
        <w:bottom w:val="none" w:sz="0" w:space="0" w:color="auto"/>
        <w:right w:val="none" w:sz="0" w:space="0" w:color="auto"/>
      </w:divBdr>
    </w:div>
    <w:div w:id="523634765">
      <w:bodyDiv w:val="1"/>
      <w:marLeft w:val="0"/>
      <w:marRight w:val="0"/>
      <w:marTop w:val="0"/>
      <w:marBottom w:val="0"/>
      <w:divBdr>
        <w:top w:val="none" w:sz="0" w:space="0" w:color="auto"/>
        <w:left w:val="none" w:sz="0" w:space="0" w:color="auto"/>
        <w:bottom w:val="none" w:sz="0" w:space="0" w:color="auto"/>
        <w:right w:val="none" w:sz="0" w:space="0" w:color="auto"/>
      </w:divBdr>
    </w:div>
    <w:div w:id="524564394">
      <w:bodyDiv w:val="1"/>
      <w:marLeft w:val="0"/>
      <w:marRight w:val="0"/>
      <w:marTop w:val="0"/>
      <w:marBottom w:val="0"/>
      <w:divBdr>
        <w:top w:val="none" w:sz="0" w:space="0" w:color="auto"/>
        <w:left w:val="none" w:sz="0" w:space="0" w:color="auto"/>
        <w:bottom w:val="none" w:sz="0" w:space="0" w:color="auto"/>
        <w:right w:val="none" w:sz="0" w:space="0" w:color="auto"/>
      </w:divBdr>
    </w:div>
    <w:div w:id="526523033">
      <w:bodyDiv w:val="1"/>
      <w:marLeft w:val="0"/>
      <w:marRight w:val="0"/>
      <w:marTop w:val="0"/>
      <w:marBottom w:val="0"/>
      <w:divBdr>
        <w:top w:val="none" w:sz="0" w:space="0" w:color="auto"/>
        <w:left w:val="none" w:sz="0" w:space="0" w:color="auto"/>
        <w:bottom w:val="none" w:sz="0" w:space="0" w:color="auto"/>
        <w:right w:val="none" w:sz="0" w:space="0" w:color="auto"/>
      </w:divBdr>
    </w:div>
    <w:div w:id="529489464">
      <w:bodyDiv w:val="1"/>
      <w:marLeft w:val="0"/>
      <w:marRight w:val="0"/>
      <w:marTop w:val="0"/>
      <w:marBottom w:val="0"/>
      <w:divBdr>
        <w:top w:val="none" w:sz="0" w:space="0" w:color="auto"/>
        <w:left w:val="none" w:sz="0" w:space="0" w:color="auto"/>
        <w:bottom w:val="none" w:sz="0" w:space="0" w:color="auto"/>
        <w:right w:val="none" w:sz="0" w:space="0" w:color="auto"/>
      </w:divBdr>
    </w:div>
    <w:div w:id="529997248">
      <w:bodyDiv w:val="1"/>
      <w:marLeft w:val="0"/>
      <w:marRight w:val="0"/>
      <w:marTop w:val="0"/>
      <w:marBottom w:val="0"/>
      <w:divBdr>
        <w:top w:val="none" w:sz="0" w:space="0" w:color="auto"/>
        <w:left w:val="none" w:sz="0" w:space="0" w:color="auto"/>
        <w:bottom w:val="none" w:sz="0" w:space="0" w:color="auto"/>
        <w:right w:val="none" w:sz="0" w:space="0" w:color="auto"/>
      </w:divBdr>
    </w:div>
    <w:div w:id="579103023">
      <w:bodyDiv w:val="1"/>
      <w:marLeft w:val="0"/>
      <w:marRight w:val="0"/>
      <w:marTop w:val="0"/>
      <w:marBottom w:val="0"/>
      <w:divBdr>
        <w:top w:val="none" w:sz="0" w:space="0" w:color="auto"/>
        <w:left w:val="none" w:sz="0" w:space="0" w:color="auto"/>
        <w:bottom w:val="none" w:sz="0" w:space="0" w:color="auto"/>
        <w:right w:val="none" w:sz="0" w:space="0" w:color="auto"/>
      </w:divBdr>
    </w:div>
    <w:div w:id="614293251">
      <w:bodyDiv w:val="1"/>
      <w:marLeft w:val="0"/>
      <w:marRight w:val="0"/>
      <w:marTop w:val="0"/>
      <w:marBottom w:val="0"/>
      <w:divBdr>
        <w:top w:val="none" w:sz="0" w:space="0" w:color="auto"/>
        <w:left w:val="none" w:sz="0" w:space="0" w:color="auto"/>
        <w:bottom w:val="none" w:sz="0" w:space="0" w:color="auto"/>
        <w:right w:val="none" w:sz="0" w:space="0" w:color="auto"/>
      </w:divBdr>
    </w:div>
    <w:div w:id="618953545">
      <w:bodyDiv w:val="1"/>
      <w:marLeft w:val="0"/>
      <w:marRight w:val="0"/>
      <w:marTop w:val="0"/>
      <w:marBottom w:val="0"/>
      <w:divBdr>
        <w:top w:val="none" w:sz="0" w:space="0" w:color="auto"/>
        <w:left w:val="none" w:sz="0" w:space="0" w:color="auto"/>
        <w:bottom w:val="none" w:sz="0" w:space="0" w:color="auto"/>
        <w:right w:val="none" w:sz="0" w:space="0" w:color="auto"/>
      </w:divBdr>
    </w:div>
    <w:div w:id="634021880">
      <w:bodyDiv w:val="1"/>
      <w:marLeft w:val="0"/>
      <w:marRight w:val="0"/>
      <w:marTop w:val="0"/>
      <w:marBottom w:val="0"/>
      <w:divBdr>
        <w:top w:val="none" w:sz="0" w:space="0" w:color="auto"/>
        <w:left w:val="none" w:sz="0" w:space="0" w:color="auto"/>
        <w:bottom w:val="none" w:sz="0" w:space="0" w:color="auto"/>
        <w:right w:val="none" w:sz="0" w:space="0" w:color="auto"/>
      </w:divBdr>
      <w:divsChild>
        <w:div w:id="19519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3339550">
      <w:bodyDiv w:val="1"/>
      <w:marLeft w:val="0"/>
      <w:marRight w:val="0"/>
      <w:marTop w:val="0"/>
      <w:marBottom w:val="0"/>
      <w:divBdr>
        <w:top w:val="none" w:sz="0" w:space="0" w:color="auto"/>
        <w:left w:val="none" w:sz="0" w:space="0" w:color="auto"/>
        <w:bottom w:val="none" w:sz="0" w:space="0" w:color="auto"/>
        <w:right w:val="none" w:sz="0" w:space="0" w:color="auto"/>
      </w:divBdr>
    </w:div>
    <w:div w:id="688482534">
      <w:bodyDiv w:val="1"/>
      <w:marLeft w:val="0"/>
      <w:marRight w:val="0"/>
      <w:marTop w:val="0"/>
      <w:marBottom w:val="0"/>
      <w:divBdr>
        <w:top w:val="none" w:sz="0" w:space="0" w:color="auto"/>
        <w:left w:val="none" w:sz="0" w:space="0" w:color="auto"/>
        <w:bottom w:val="none" w:sz="0" w:space="0" w:color="auto"/>
        <w:right w:val="none" w:sz="0" w:space="0" w:color="auto"/>
      </w:divBdr>
    </w:div>
    <w:div w:id="697658638">
      <w:bodyDiv w:val="1"/>
      <w:marLeft w:val="0"/>
      <w:marRight w:val="0"/>
      <w:marTop w:val="0"/>
      <w:marBottom w:val="0"/>
      <w:divBdr>
        <w:top w:val="none" w:sz="0" w:space="0" w:color="auto"/>
        <w:left w:val="none" w:sz="0" w:space="0" w:color="auto"/>
        <w:bottom w:val="none" w:sz="0" w:space="0" w:color="auto"/>
        <w:right w:val="none" w:sz="0" w:space="0" w:color="auto"/>
      </w:divBdr>
    </w:div>
    <w:div w:id="698817168">
      <w:bodyDiv w:val="1"/>
      <w:marLeft w:val="0"/>
      <w:marRight w:val="0"/>
      <w:marTop w:val="0"/>
      <w:marBottom w:val="0"/>
      <w:divBdr>
        <w:top w:val="none" w:sz="0" w:space="0" w:color="auto"/>
        <w:left w:val="none" w:sz="0" w:space="0" w:color="auto"/>
        <w:bottom w:val="none" w:sz="0" w:space="0" w:color="auto"/>
        <w:right w:val="none" w:sz="0" w:space="0" w:color="auto"/>
      </w:divBdr>
    </w:div>
    <w:div w:id="709035645">
      <w:bodyDiv w:val="1"/>
      <w:marLeft w:val="0"/>
      <w:marRight w:val="0"/>
      <w:marTop w:val="0"/>
      <w:marBottom w:val="0"/>
      <w:divBdr>
        <w:top w:val="none" w:sz="0" w:space="0" w:color="auto"/>
        <w:left w:val="none" w:sz="0" w:space="0" w:color="auto"/>
        <w:bottom w:val="none" w:sz="0" w:space="0" w:color="auto"/>
        <w:right w:val="none" w:sz="0" w:space="0" w:color="auto"/>
      </w:divBdr>
    </w:div>
    <w:div w:id="714046450">
      <w:bodyDiv w:val="1"/>
      <w:marLeft w:val="0"/>
      <w:marRight w:val="0"/>
      <w:marTop w:val="0"/>
      <w:marBottom w:val="0"/>
      <w:divBdr>
        <w:top w:val="none" w:sz="0" w:space="0" w:color="auto"/>
        <w:left w:val="none" w:sz="0" w:space="0" w:color="auto"/>
        <w:bottom w:val="none" w:sz="0" w:space="0" w:color="auto"/>
        <w:right w:val="none" w:sz="0" w:space="0" w:color="auto"/>
      </w:divBdr>
    </w:div>
    <w:div w:id="728726872">
      <w:bodyDiv w:val="1"/>
      <w:marLeft w:val="0"/>
      <w:marRight w:val="0"/>
      <w:marTop w:val="0"/>
      <w:marBottom w:val="0"/>
      <w:divBdr>
        <w:top w:val="none" w:sz="0" w:space="0" w:color="auto"/>
        <w:left w:val="none" w:sz="0" w:space="0" w:color="auto"/>
        <w:bottom w:val="none" w:sz="0" w:space="0" w:color="auto"/>
        <w:right w:val="none" w:sz="0" w:space="0" w:color="auto"/>
      </w:divBdr>
    </w:div>
    <w:div w:id="742871704">
      <w:bodyDiv w:val="1"/>
      <w:marLeft w:val="0"/>
      <w:marRight w:val="0"/>
      <w:marTop w:val="0"/>
      <w:marBottom w:val="0"/>
      <w:divBdr>
        <w:top w:val="none" w:sz="0" w:space="0" w:color="auto"/>
        <w:left w:val="none" w:sz="0" w:space="0" w:color="auto"/>
        <w:bottom w:val="none" w:sz="0" w:space="0" w:color="auto"/>
        <w:right w:val="none" w:sz="0" w:space="0" w:color="auto"/>
      </w:divBdr>
    </w:div>
    <w:div w:id="754203510">
      <w:bodyDiv w:val="1"/>
      <w:marLeft w:val="0"/>
      <w:marRight w:val="0"/>
      <w:marTop w:val="0"/>
      <w:marBottom w:val="0"/>
      <w:divBdr>
        <w:top w:val="none" w:sz="0" w:space="0" w:color="auto"/>
        <w:left w:val="none" w:sz="0" w:space="0" w:color="auto"/>
        <w:bottom w:val="none" w:sz="0" w:space="0" w:color="auto"/>
        <w:right w:val="none" w:sz="0" w:space="0" w:color="auto"/>
      </w:divBdr>
    </w:div>
    <w:div w:id="765030279">
      <w:bodyDiv w:val="1"/>
      <w:marLeft w:val="0"/>
      <w:marRight w:val="0"/>
      <w:marTop w:val="0"/>
      <w:marBottom w:val="0"/>
      <w:divBdr>
        <w:top w:val="none" w:sz="0" w:space="0" w:color="auto"/>
        <w:left w:val="none" w:sz="0" w:space="0" w:color="auto"/>
        <w:bottom w:val="none" w:sz="0" w:space="0" w:color="auto"/>
        <w:right w:val="none" w:sz="0" w:space="0" w:color="auto"/>
      </w:divBdr>
    </w:div>
    <w:div w:id="769545407">
      <w:bodyDiv w:val="1"/>
      <w:marLeft w:val="0"/>
      <w:marRight w:val="0"/>
      <w:marTop w:val="0"/>
      <w:marBottom w:val="0"/>
      <w:divBdr>
        <w:top w:val="none" w:sz="0" w:space="0" w:color="auto"/>
        <w:left w:val="none" w:sz="0" w:space="0" w:color="auto"/>
        <w:bottom w:val="none" w:sz="0" w:space="0" w:color="auto"/>
        <w:right w:val="none" w:sz="0" w:space="0" w:color="auto"/>
      </w:divBdr>
    </w:div>
    <w:div w:id="779299130">
      <w:bodyDiv w:val="1"/>
      <w:marLeft w:val="0"/>
      <w:marRight w:val="0"/>
      <w:marTop w:val="0"/>
      <w:marBottom w:val="0"/>
      <w:divBdr>
        <w:top w:val="none" w:sz="0" w:space="0" w:color="auto"/>
        <w:left w:val="none" w:sz="0" w:space="0" w:color="auto"/>
        <w:bottom w:val="none" w:sz="0" w:space="0" w:color="auto"/>
        <w:right w:val="none" w:sz="0" w:space="0" w:color="auto"/>
      </w:divBdr>
    </w:div>
    <w:div w:id="810905271">
      <w:bodyDiv w:val="1"/>
      <w:marLeft w:val="0"/>
      <w:marRight w:val="0"/>
      <w:marTop w:val="0"/>
      <w:marBottom w:val="0"/>
      <w:divBdr>
        <w:top w:val="none" w:sz="0" w:space="0" w:color="auto"/>
        <w:left w:val="none" w:sz="0" w:space="0" w:color="auto"/>
        <w:bottom w:val="none" w:sz="0" w:space="0" w:color="auto"/>
        <w:right w:val="none" w:sz="0" w:space="0" w:color="auto"/>
      </w:divBdr>
    </w:div>
    <w:div w:id="829365226">
      <w:bodyDiv w:val="1"/>
      <w:marLeft w:val="0"/>
      <w:marRight w:val="0"/>
      <w:marTop w:val="0"/>
      <w:marBottom w:val="0"/>
      <w:divBdr>
        <w:top w:val="none" w:sz="0" w:space="0" w:color="auto"/>
        <w:left w:val="none" w:sz="0" w:space="0" w:color="auto"/>
        <w:bottom w:val="none" w:sz="0" w:space="0" w:color="auto"/>
        <w:right w:val="none" w:sz="0" w:space="0" w:color="auto"/>
      </w:divBdr>
    </w:div>
    <w:div w:id="854736054">
      <w:bodyDiv w:val="1"/>
      <w:marLeft w:val="0"/>
      <w:marRight w:val="0"/>
      <w:marTop w:val="0"/>
      <w:marBottom w:val="0"/>
      <w:divBdr>
        <w:top w:val="none" w:sz="0" w:space="0" w:color="auto"/>
        <w:left w:val="none" w:sz="0" w:space="0" w:color="auto"/>
        <w:bottom w:val="none" w:sz="0" w:space="0" w:color="auto"/>
        <w:right w:val="none" w:sz="0" w:space="0" w:color="auto"/>
      </w:divBdr>
    </w:div>
    <w:div w:id="860357066">
      <w:bodyDiv w:val="1"/>
      <w:marLeft w:val="0"/>
      <w:marRight w:val="0"/>
      <w:marTop w:val="0"/>
      <w:marBottom w:val="0"/>
      <w:divBdr>
        <w:top w:val="none" w:sz="0" w:space="0" w:color="auto"/>
        <w:left w:val="none" w:sz="0" w:space="0" w:color="auto"/>
        <w:bottom w:val="none" w:sz="0" w:space="0" w:color="auto"/>
        <w:right w:val="none" w:sz="0" w:space="0" w:color="auto"/>
      </w:divBdr>
    </w:div>
    <w:div w:id="870919928">
      <w:bodyDiv w:val="1"/>
      <w:marLeft w:val="0"/>
      <w:marRight w:val="0"/>
      <w:marTop w:val="0"/>
      <w:marBottom w:val="0"/>
      <w:divBdr>
        <w:top w:val="none" w:sz="0" w:space="0" w:color="auto"/>
        <w:left w:val="none" w:sz="0" w:space="0" w:color="auto"/>
        <w:bottom w:val="none" w:sz="0" w:space="0" w:color="auto"/>
        <w:right w:val="none" w:sz="0" w:space="0" w:color="auto"/>
      </w:divBdr>
    </w:div>
    <w:div w:id="884178548">
      <w:bodyDiv w:val="1"/>
      <w:marLeft w:val="0"/>
      <w:marRight w:val="0"/>
      <w:marTop w:val="0"/>
      <w:marBottom w:val="0"/>
      <w:divBdr>
        <w:top w:val="none" w:sz="0" w:space="0" w:color="auto"/>
        <w:left w:val="none" w:sz="0" w:space="0" w:color="auto"/>
        <w:bottom w:val="none" w:sz="0" w:space="0" w:color="auto"/>
        <w:right w:val="none" w:sz="0" w:space="0" w:color="auto"/>
      </w:divBdr>
    </w:div>
    <w:div w:id="886113200">
      <w:bodyDiv w:val="1"/>
      <w:marLeft w:val="0"/>
      <w:marRight w:val="0"/>
      <w:marTop w:val="0"/>
      <w:marBottom w:val="0"/>
      <w:divBdr>
        <w:top w:val="none" w:sz="0" w:space="0" w:color="auto"/>
        <w:left w:val="none" w:sz="0" w:space="0" w:color="auto"/>
        <w:bottom w:val="none" w:sz="0" w:space="0" w:color="auto"/>
        <w:right w:val="none" w:sz="0" w:space="0" w:color="auto"/>
      </w:divBdr>
    </w:div>
    <w:div w:id="900795831">
      <w:bodyDiv w:val="1"/>
      <w:marLeft w:val="0"/>
      <w:marRight w:val="0"/>
      <w:marTop w:val="0"/>
      <w:marBottom w:val="0"/>
      <w:divBdr>
        <w:top w:val="none" w:sz="0" w:space="0" w:color="auto"/>
        <w:left w:val="none" w:sz="0" w:space="0" w:color="auto"/>
        <w:bottom w:val="none" w:sz="0" w:space="0" w:color="auto"/>
        <w:right w:val="none" w:sz="0" w:space="0" w:color="auto"/>
      </w:divBdr>
    </w:div>
    <w:div w:id="902259151">
      <w:bodyDiv w:val="1"/>
      <w:marLeft w:val="0"/>
      <w:marRight w:val="0"/>
      <w:marTop w:val="0"/>
      <w:marBottom w:val="0"/>
      <w:divBdr>
        <w:top w:val="none" w:sz="0" w:space="0" w:color="auto"/>
        <w:left w:val="none" w:sz="0" w:space="0" w:color="auto"/>
        <w:bottom w:val="none" w:sz="0" w:space="0" w:color="auto"/>
        <w:right w:val="none" w:sz="0" w:space="0" w:color="auto"/>
      </w:divBdr>
    </w:div>
    <w:div w:id="908729617">
      <w:bodyDiv w:val="1"/>
      <w:marLeft w:val="0"/>
      <w:marRight w:val="0"/>
      <w:marTop w:val="0"/>
      <w:marBottom w:val="0"/>
      <w:divBdr>
        <w:top w:val="none" w:sz="0" w:space="0" w:color="auto"/>
        <w:left w:val="none" w:sz="0" w:space="0" w:color="auto"/>
        <w:bottom w:val="none" w:sz="0" w:space="0" w:color="auto"/>
        <w:right w:val="none" w:sz="0" w:space="0" w:color="auto"/>
      </w:divBdr>
      <w:divsChild>
        <w:div w:id="50852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4820574">
      <w:bodyDiv w:val="1"/>
      <w:marLeft w:val="0"/>
      <w:marRight w:val="0"/>
      <w:marTop w:val="0"/>
      <w:marBottom w:val="0"/>
      <w:divBdr>
        <w:top w:val="none" w:sz="0" w:space="0" w:color="auto"/>
        <w:left w:val="none" w:sz="0" w:space="0" w:color="auto"/>
        <w:bottom w:val="none" w:sz="0" w:space="0" w:color="auto"/>
        <w:right w:val="none" w:sz="0" w:space="0" w:color="auto"/>
      </w:divBdr>
    </w:div>
    <w:div w:id="923996376">
      <w:bodyDiv w:val="1"/>
      <w:marLeft w:val="0"/>
      <w:marRight w:val="0"/>
      <w:marTop w:val="0"/>
      <w:marBottom w:val="0"/>
      <w:divBdr>
        <w:top w:val="none" w:sz="0" w:space="0" w:color="auto"/>
        <w:left w:val="none" w:sz="0" w:space="0" w:color="auto"/>
        <w:bottom w:val="none" w:sz="0" w:space="0" w:color="auto"/>
        <w:right w:val="none" w:sz="0" w:space="0" w:color="auto"/>
      </w:divBdr>
    </w:div>
    <w:div w:id="935137086">
      <w:bodyDiv w:val="1"/>
      <w:marLeft w:val="0"/>
      <w:marRight w:val="0"/>
      <w:marTop w:val="0"/>
      <w:marBottom w:val="0"/>
      <w:divBdr>
        <w:top w:val="none" w:sz="0" w:space="0" w:color="auto"/>
        <w:left w:val="none" w:sz="0" w:space="0" w:color="auto"/>
        <w:bottom w:val="none" w:sz="0" w:space="0" w:color="auto"/>
        <w:right w:val="none" w:sz="0" w:space="0" w:color="auto"/>
      </w:divBdr>
    </w:div>
    <w:div w:id="937492492">
      <w:bodyDiv w:val="1"/>
      <w:marLeft w:val="0"/>
      <w:marRight w:val="0"/>
      <w:marTop w:val="0"/>
      <w:marBottom w:val="0"/>
      <w:divBdr>
        <w:top w:val="none" w:sz="0" w:space="0" w:color="auto"/>
        <w:left w:val="none" w:sz="0" w:space="0" w:color="auto"/>
        <w:bottom w:val="none" w:sz="0" w:space="0" w:color="auto"/>
        <w:right w:val="none" w:sz="0" w:space="0" w:color="auto"/>
      </w:divBdr>
    </w:div>
    <w:div w:id="940451387">
      <w:bodyDiv w:val="1"/>
      <w:marLeft w:val="0"/>
      <w:marRight w:val="0"/>
      <w:marTop w:val="0"/>
      <w:marBottom w:val="0"/>
      <w:divBdr>
        <w:top w:val="none" w:sz="0" w:space="0" w:color="auto"/>
        <w:left w:val="none" w:sz="0" w:space="0" w:color="auto"/>
        <w:bottom w:val="none" w:sz="0" w:space="0" w:color="auto"/>
        <w:right w:val="none" w:sz="0" w:space="0" w:color="auto"/>
      </w:divBdr>
    </w:div>
    <w:div w:id="947782276">
      <w:bodyDiv w:val="1"/>
      <w:marLeft w:val="0"/>
      <w:marRight w:val="0"/>
      <w:marTop w:val="0"/>
      <w:marBottom w:val="0"/>
      <w:divBdr>
        <w:top w:val="none" w:sz="0" w:space="0" w:color="auto"/>
        <w:left w:val="none" w:sz="0" w:space="0" w:color="auto"/>
        <w:bottom w:val="none" w:sz="0" w:space="0" w:color="auto"/>
        <w:right w:val="none" w:sz="0" w:space="0" w:color="auto"/>
      </w:divBdr>
    </w:div>
    <w:div w:id="957948547">
      <w:bodyDiv w:val="1"/>
      <w:marLeft w:val="0"/>
      <w:marRight w:val="0"/>
      <w:marTop w:val="0"/>
      <w:marBottom w:val="0"/>
      <w:divBdr>
        <w:top w:val="none" w:sz="0" w:space="0" w:color="auto"/>
        <w:left w:val="none" w:sz="0" w:space="0" w:color="auto"/>
        <w:bottom w:val="none" w:sz="0" w:space="0" w:color="auto"/>
        <w:right w:val="none" w:sz="0" w:space="0" w:color="auto"/>
      </w:divBdr>
    </w:div>
    <w:div w:id="963198300">
      <w:bodyDiv w:val="1"/>
      <w:marLeft w:val="0"/>
      <w:marRight w:val="0"/>
      <w:marTop w:val="0"/>
      <w:marBottom w:val="0"/>
      <w:divBdr>
        <w:top w:val="none" w:sz="0" w:space="0" w:color="auto"/>
        <w:left w:val="none" w:sz="0" w:space="0" w:color="auto"/>
        <w:bottom w:val="none" w:sz="0" w:space="0" w:color="auto"/>
        <w:right w:val="none" w:sz="0" w:space="0" w:color="auto"/>
      </w:divBdr>
      <w:divsChild>
        <w:div w:id="139076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30022">
      <w:bodyDiv w:val="1"/>
      <w:marLeft w:val="0"/>
      <w:marRight w:val="0"/>
      <w:marTop w:val="0"/>
      <w:marBottom w:val="0"/>
      <w:divBdr>
        <w:top w:val="none" w:sz="0" w:space="0" w:color="auto"/>
        <w:left w:val="none" w:sz="0" w:space="0" w:color="auto"/>
        <w:bottom w:val="none" w:sz="0" w:space="0" w:color="auto"/>
        <w:right w:val="none" w:sz="0" w:space="0" w:color="auto"/>
      </w:divBdr>
    </w:div>
    <w:div w:id="1024863040">
      <w:bodyDiv w:val="1"/>
      <w:marLeft w:val="0"/>
      <w:marRight w:val="0"/>
      <w:marTop w:val="0"/>
      <w:marBottom w:val="0"/>
      <w:divBdr>
        <w:top w:val="none" w:sz="0" w:space="0" w:color="auto"/>
        <w:left w:val="none" w:sz="0" w:space="0" w:color="auto"/>
        <w:bottom w:val="none" w:sz="0" w:space="0" w:color="auto"/>
        <w:right w:val="none" w:sz="0" w:space="0" w:color="auto"/>
      </w:divBdr>
    </w:div>
    <w:div w:id="1026060968">
      <w:bodyDiv w:val="1"/>
      <w:marLeft w:val="0"/>
      <w:marRight w:val="0"/>
      <w:marTop w:val="0"/>
      <w:marBottom w:val="0"/>
      <w:divBdr>
        <w:top w:val="none" w:sz="0" w:space="0" w:color="auto"/>
        <w:left w:val="none" w:sz="0" w:space="0" w:color="auto"/>
        <w:bottom w:val="none" w:sz="0" w:space="0" w:color="auto"/>
        <w:right w:val="none" w:sz="0" w:space="0" w:color="auto"/>
      </w:divBdr>
    </w:div>
    <w:div w:id="1028801068">
      <w:bodyDiv w:val="1"/>
      <w:marLeft w:val="0"/>
      <w:marRight w:val="0"/>
      <w:marTop w:val="0"/>
      <w:marBottom w:val="0"/>
      <w:divBdr>
        <w:top w:val="none" w:sz="0" w:space="0" w:color="auto"/>
        <w:left w:val="none" w:sz="0" w:space="0" w:color="auto"/>
        <w:bottom w:val="none" w:sz="0" w:space="0" w:color="auto"/>
        <w:right w:val="none" w:sz="0" w:space="0" w:color="auto"/>
      </w:divBdr>
    </w:div>
    <w:div w:id="1030491861">
      <w:bodyDiv w:val="1"/>
      <w:marLeft w:val="0"/>
      <w:marRight w:val="0"/>
      <w:marTop w:val="0"/>
      <w:marBottom w:val="0"/>
      <w:divBdr>
        <w:top w:val="none" w:sz="0" w:space="0" w:color="auto"/>
        <w:left w:val="none" w:sz="0" w:space="0" w:color="auto"/>
        <w:bottom w:val="none" w:sz="0" w:space="0" w:color="auto"/>
        <w:right w:val="none" w:sz="0" w:space="0" w:color="auto"/>
      </w:divBdr>
    </w:div>
    <w:div w:id="1075516434">
      <w:bodyDiv w:val="1"/>
      <w:marLeft w:val="0"/>
      <w:marRight w:val="0"/>
      <w:marTop w:val="0"/>
      <w:marBottom w:val="0"/>
      <w:divBdr>
        <w:top w:val="none" w:sz="0" w:space="0" w:color="auto"/>
        <w:left w:val="none" w:sz="0" w:space="0" w:color="auto"/>
        <w:bottom w:val="none" w:sz="0" w:space="0" w:color="auto"/>
        <w:right w:val="none" w:sz="0" w:space="0" w:color="auto"/>
      </w:divBdr>
    </w:div>
    <w:div w:id="1091315421">
      <w:bodyDiv w:val="1"/>
      <w:marLeft w:val="0"/>
      <w:marRight w:val="0"/>
      <w:marTop w:val="0"/>
      <w:marBottom w:val="0"/>
      <w:divBdr>
        <w:top w:val="none" w:sz="0" w:space="0" w:color="auto"/>
        <w:left w:val="none" w:sz="0" w:space="0" w:color="auto"/>
        <w:bottom w:val="none" w:sz="0" w:space="0" w:color="auto"/>
        <w:right w:val="none" w:sz="0" w:space="0" w:color="auto"/>
      </w:divBdr>
    </w:div>
    <w:div w:id="1181966138">
      <w:bodyDiv w:val="1"/>
      <w:marLeft w:val="0"/>
      <w:marRight w:val="0"/>
      <w:marTop w:val="0"/>
      <w:marBottom w:val="0"/>
      <w:divBdr>
        <w:top w:val="none" w:sz="0" w:space="0" w:color="auto"/>
        <w:left w:val="none" w:sz="0" w:space="0" w:color="auto"/>
        <w:bottom w:val="none" w:sz="0" w:space="0" w:color="auto"/>
        <w:right w:val="none" w:sz="0" w:space="0" w:color="auto"/>
      </w:divBdr>
    </w:div>
    <w:div w:id="1197304676">
      <w:bodyDiv w:val="1"/>
      <w:marLeft w:val="0"/>
      <w:marRight w:val="0"/>
      <w:marTop w:val="0"/>
      <w:marBottom w:val="0"/>
      <w:divBdr>
        <w:top w:val="none" w:sz="0" w:space="0" w:color="auto"/>
        <w:left w:val="none" w:sz="0" w:space="0" w:color="auto"/>
        <w:bottom w:val="none" w:sz="0" w:space="0" w:color="auto"/>
        <w:right w:val="none" w:sz="0" w:space="0" w:color="auto"/>
      </w:divBdr>
    </w:div>
    <w:div w:id="1208294396">
      <w:bodyDiv w:val="1"/>
      <w:marLeft w:val="0"/>
      <w:marRight w:val="0"/>
      <w:marTop w:val="0"/>
      <w:marBottom w:val="0"/>
      <w:divBdr>
        <w:top w:val="none" w:sz="0" w:space="0" w:color="auto"/>
        <w:left w:val="none" w:sz="0" w:space="0" w:color="auto"/>
        <w:bottom w:val="none" w:sz="0" w:space="0" w:color="auto"/>
        <w:right w:val="none" w:sz="0" w:space="0" w:color="auto"/>
      </w:divBdr>
    </w:div>
    <w:div w:id="1235433724">
      <w:bodyDiv w:val="1"/>
      <w:marLeft w:val="0"/>
      <w:marRight w:val="0"/>
      <w:marTop w:val="0"/>
      <w:marBottom w:val="0"/>
      <w:divBdr>
        <w:top w:val="none" w:sz="0" w:space="0" w:color="auto"/>
        <w:left w:val="none" w:sz="0" w:space="0" w:color="auto"/>
        <w:bottom w:val="none" w:sz="0" w:space="0" w:color="auto"/>
        <w:right w:val="none" w:sz="0" w:space="0" w:color="auto"/>
      </w:divBdr>
    </w:div>
    <w:div w:id="1245606998">
      <w:bodyDiv w:val="1"/>
      <w:marLeft w:val="0"/>
      <w:marRight w:val="0"/>
      <w:marTop w:val="0"/>
      <w:marBottom w:val="0"/>
      <w:divBdr>
        <w:top w:val="none" w:sz="0" w:space="0" w:color="auto"/>
        <w:left w:val="none" w:sz="0" w:space="0" w:color="auto"/>
        <w:bottom w:val="none" w:sz="0" w:space="0" w:color="auto"/>
        <w:right w:val="none" w:sz="0" w:space="0" w:color="auto"/>
      </w:divBdr>
    </w:div>
    <w:div w:id="1252351522">
      <w:bodyDiv w:val="1"/>
      <w:marLeft w:val="0"/>
      <w:marRight w:val="0"/>
      <w:marTop w:val="0"/>
      <w:marBottom w:val="0"/>
      <w:divBdr>
        <w:top w:val="none" w:sz="0" w:space="0" w:color="auto"/>
        <w:left w:val="none" w:sz="0" w:space="0" w:color="auto"/>
        <w:bottom w:val="none" w:sz="0" w:space="0" w:color="auto"/>
        <w:right w:val="none" w:sz="0" w:space="0" w:color="auto"/>
      </w:divBdr>
    </w:div>
    <w:div w:id="1252812513">
      <w:bodyDiv w:val="1"/>
      <w:marLeft w:val="0"/>
      <w:marRight w:val="0"/>
      <w:marTop w:val="0"/>
      <w:marBottom w:val="0"/>
      <w:divBdr>
        <w:top w:val="none" w:sz="0" w:space="0" w:color="auto"/>
        <w:left w:val="none" w:sz="0" w:space="0" w:color="auto"/>
        <w:bottom w:val="none" w:sz="0" w:space="0" w:color="auto"/>
        <w:right w:val="none" w:sz="0" w:space="0" w:color="auto"/>
      </w:divBdr>
    </w:div>
    <w:div w:id="1271820898">
      <w:bodyDiv w:val="1"/>
      <w:marLeft w:val="0"/>
      <w:marRight w:val="0"/>
      <w:marTop w:val="0"/>
      <w:marBottom w:val="0"/>
      <w:divBdr>
        <w:top w:val="none" w:sz="0" w:space="0" w:color="auto"/>
        <w:left w:val="none" w:sz="0" w:space="0" w:color="auto"/>
        <w:bottom w:val="none" w:sz="0" w:space="0" w:color="auto"/>
        <w:right w:val="none" w:sz="0" w:space="0" w:color="auto"/>
      </w:divBdr>
    </w:div>
    <w:div w:id="1298144061">
      <w:bodyDiv w:val="1"/>
      <w:marLeft w:val="0"/>
      <w:marRight w:val="0"/>
      <w:marTop w:val="0"/>
      <w:marBottom w:val="0"/>
      <w:divBdr>
        <w:top w:val="none" w:sz="0" w:space="0" w:color="auto"/>
        <w:left w:val="none" w:sz="0" w:space="0" w:color="auto"/>
        <w:bottom w:val="none" w:sz="0" w:space="0" w:color="auto"/>
        <w:right w:val="none" w:sz="0" w:space="0" w:color="auto"/>
      </w:divBdr>
    </w:div>
    <w:div w:id="1327855970">
      <w:bodyDiv w:val="1"/>
      <w:marLeft w:val="0"/>
      <w:marRight w:val="0"/>
      <w:marTop w:val="0"/>
      <w:marBottom w:val="0"/>
      <w:divBdr>
        <w:top w:val="none" w:sz="0" w:space="0" w:color="auto"/>
        <w:left w:val="none" w:sz="0" w:space="0" w:color="auto"/>
        <w:bottom w:val="none" w:sz="0" w:space="0" w:color="auto"/>
        <w:right w:val="none" w:sz="0" w:space="0" w:color="auto"/>
      </w:divBdr>
    </w:div>
    <w:div w:id="1342782925">
      <w:bodyDiv w:val="1"/>
      <w:marLeft w:val="0"/>
      <w:marRight w:val="0"/>
      <w:marTop w:val="0"/>
      <w:marBottom w:val="0"/>
      <w:divBdr>
        <w:top w:val="none" w:sz="0" w:space="0" w:color="auto"/>
        <w:left w:val="none" w:sz="0" w:space="0" w:color="auto"/>
        <w:bottom w:val="none" w:sz="0" w:space="0" w:color="auto"/>
        <w:right w:val="none" w:sz="0" w:space="0" w:color="auto"/>
      </w:divBdr>
    </w:div>
    <w:div w:id="1349404650">
      <w:bodyDiv w:val="1"/>
      <w:marLeft w:val="0"/>
      <w:marRight w:val="0"/>
      <w:marTop w:val="0"/>
      <w:marBottom w:val="0"/>
      <w:divBdr>
        <w:top w:val="none" w:sz="0" w:space="0" w:color="auto"/>
        <w:left w:val="none" w:sz="0" w:space="0" w:color="auto"/>
        <w:bottom w:val="none" w:sz="0" w:space="0" w:color="auto"/>
        <w:right w:val="none" w:sz="0" w:space="0" w:color="auto"/>
      </w:divBdr>
    </w:div>
    <w:div w:id="1356728812">
      <w:bodyDiv w:val="1"/>
      <w:marLeft w:val="0"/>
      <w:marRight w:val="0"/>
      <w:marTop w:val="0"/>
      <w:marBottom w:val="0"/>
      <w:divBdr>
        <w:top w:val="none" w:sz="0" w:space="0" w:color="auto"/>
        <w:left w:val="none" w:sz="0" w:space="0" w:color="auto"/>
        <w:bottom w:val="none" w:sz="0" w:space="0" w:color="auto"/>
        <w:right w:val="none" w:sz="0" w:space="0" w:color="auto"/>
      </w:divBdr>
    </w:div>
    <w:div w:id="1361053825">
      <w:bodyDiv w:val="1"/>
      <w:marLeft w:val="0"/>
      <w:marRight w:val="0"/>
      <w:marTop w:val="0"/>
      <w:marBottom w:val="0"/>
      <w:divBdr>
        <w:top w:val="none" w:sz="0" w:space="0" w:color="auto"/>
        <w:left w:val="none" w:sz="0" w:space="0" w:color="auto"/>
        <w:bottom w:val="none" w:sz="0" w:space="0" w:color="auto"/>
        <w:right w:val="none" w:sz="0" w:space="0" w:color="auto"/>
      </w:divBdr>
    </w:div>
    <w:div w:id="1391534586">
      <w:bodyDiv w:val="1"/>
      <w:marLeft w:val="0"/>
      <w:marRight w:val="0"/>
      <w:marTop w:val="0"/>
      <w:marBottom w:val="0"/>
      <w:divBdr>
        <w:top w:val="none" w:sz="0" w:space="0" w:color="auto"/>
        <w:left w:val="none" w:sz="0" w:space="0" w:color="auto"/>
        <w:bottom w:val="none" w:sz="0" w:space="0" w:color="auto"/>
        <w:right w:val="none" w:sz="0" w:space="0" w:color="auto"/>
      </w:divBdr>
    </w:div>
    <w:div w:id="1392341712">
      <w:bodyDiv w:val="1"/>
      <w:marLeft w:val="0"/>
      <w:marRight w:val="0"/>
      <w:marTop w:val="0"/>
      <w:marBottom w:val="0"/>
      <w:divBdr>
        <w:top w:val="none" w:sz="0" w:space="0" w:color="auto"/>
        <w:left w:val="none" w:sz="0" w:space="0" w:color="auto"/>
        <w:bottom w:val="none" w:sz="0" w:space="0" w:color="auto"/>
        <w:right w:val="none" w:sz="0" w:space="0" w:color="auto"/>
      </w:divBdr>
    </w:div>
    <w:div w:id="1394430598">
      <w:bodyDiv w:val="1"/>
      <w:marLeft w:val="0"/>
      <w:marRight w:val="0"/>
      <w:marTop w:val="0"/>
      <w:marBottom w:val="0"/>
      <w:divBdr>
        <w:top w:val="none" w:sz="0" w:space="0" w:color="auto"/>
        <w:left w:val="none" w:sz="0" w:space="0" w:color="auto"/>
        <w:bottom w:val="none" w:sz="0" w:space="0" w:color="auto"/>
        <w:right w:val="none" w:sz="0" w:space="0" w:color="auto"/>
      </w:divBdr>
    </w:div>
    <w:div w:id="1415785148">
      <w:bodyDiv w:val="1"/>
      <w:marLeft w:val="0"/>
      <w:marRight w:val="0"/>
      <w:marTop w:val="0"/>
      <w:marBottom w:val="0"/>
      <w:divBdr>
        <w:top w:val="none" w:sz="0" w:space="0" w:color="auto"/>
        <w:left w:val="none" w:sz="0" w:space="0" w:color="auto"/>
        <w:bottom w:val="none" w:sz="0" w:space="0" w:color="auto"/>
        <w:right w:val="none" w:sz="0" w:space="0" w:color="auto"/>
      </w:divBdr>
    </w:div>
    <w:div w:id="1429303400">
      <w:bodyDiv w:val="1"/>
      <w:marLeft w:val="0"/>
      <w:marRight w:val="0"/>
      <w:marTop w:val="0"/>
      <w:marBottom w:val="0"/>
      <w:divBdr>
        <w:top w:val="none" w:sz="0" w:space="0" w:color="auto"/>
        <w:left w:val="none" w:sz="0" w:space="0" w:color="auto"/>
        <w:bottom w:val="none" w:sz="0" w:space="0" w:color="auto"/>
        <w:right w:val="none" w:sz="0" w:space="0" w:color="auto"/>
      </w:divBdr>
      <w:divsChild>
        <w:div w:id="132994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900169">
      <w:bodyDiv w:val="1"/>
      <w:marLeft w:val="0"/>
      <w:marRight w:val="0"/>
      <w:marTop w:val="0"/>
      <w:marBottom w:val="0"/>
      <w:divBdr>
        <w:top w:val="none" w:sz="0" w:space="0" w:color="auto"/>
        <w:left w:val="none" w:sz="0" w:space="0" w:color="auto"/>
        <w:bottom w:val="none" w:sz="0" w:space="0" w:color="auto"/>
        <w:right w:val="none" w:sz="0" w:space="0" w:color="auto"/>
      </w:divBdr>
    </w:div>
    <w:div w:id="1441603634">
      <w:bodyDiv w:val="1"/>
      <w:marLeft w:val="0"/>
      <w:marRight w:val="0"/>
      <w:marTop w:val="0"/>
      <w:marBottom w:val="0"/>
      <w:divBdr>
        <w:top w:val="none" w:sz="0" w:space="0" w:color="auto"/>
        <w:left w:val="none" w:sz="0" w:space="0" w:color="auto"/>
        <w:bottom w:val="none" w:sz="0" w:space="0" w:color="auto"/>
        <w:right w:val="none" w:sz="0" w:space="0" w:color="auto"/>
      </w:divBdr>
    </w:div>
    <w:div w:id="1489594920">
      <w:bodyDiv w:val="1"/>
      <w:marLeft w:val="0"/>
      <w:marRight w:val="0"/>
      <w:marTop w:val="0"/>
      <w:marBottom w:val="0"/>
      <w:divBdr>
        <w:top w:val="none" w:sz="0" w:space="0" w:color="auto"/>
        <w:left w:val="none" w:sz="0" w:space="0" w:color="auto"/>
        <w:bottom w:val="none" w:sz="0" w:space="0" w:color="auto"/>
        <w:right w:val="none" w:sz="0" w:space="0" w:color="auto"/>
      </w:divBdr>
    </w:div>
    <w:div w:id="1493177771">
      <w:bodyDiv w:val="1"/>
      <w:marLeft w:val="0"/>
      <w:marRight w:val="0"/>
      <w:marTop w:val="0"/>
      <w:marBottom w:val="0"/>
      <w:divBdr>
        <w:top w:val="none" w:sz="0" w:space="0" w:color="auto"/>
        <w:left w:val="none" w:sz="0" w:space="0" w:color="auto"/>
        <w:bottom w:val="none" w:sz="0" w:space="0" w:color="auto"/>
        <w:right w:val="none" w:sz="0" w:space="0" w:color="auto"/>
      </w:divBdr>
      <w:divsChild>
        <w:div w:id="1196039399">
          <w:marLeft w:val="0"/>
          <w:marRight w:val="0"/>
          <w:marTop w:val="0"/>
          <w:marBottom w:val="0"/>
          <w:divBdr>
            <w:top w:val="none" w:sz="0" w:space="0" w:color="auto"/>
            <w:left w:val="none" w:sz="0" w:space="0" w:color="auto"/>
            <w:bottom w:val="none" w:sz="0" w:space="0" w:color="auto"/>
            <w:right w:val="none" w:sz="0" w:space="0" w:color="auto"/>
          </w:divBdr>
          <w:divsChild>
            <w:div w:id="1132136594">
              <w:marLeft w:val="0"/>
              <w:marRight w:val="0"/>
              <w:marTop w:val="0"/>
              <w:marBottom w:val="0"/>
              <w:divBdr>
                <w:top w:val="none" w:sz="0" w:space="0" w:color="auto"/>
                <w:left w:val="none" w:sz="0" w:space="0" w:color="auto"/>
                <w:bottom w:val="none" w:sz="0" w:space="0" w:color="auto"/>
                <w:right w:val="none" w:sz="0" w:space="0" w:color="auto"/>
              </w:divBdr>
              <w:divsChild>
                <w:div w:id="136158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6539">
      <w:bodyDiv w:val="1"/>
      <w:marLeft w:val="0"/>
      <w:marRight w:val="0"/>
      <w:marTop w:val="0"/>
      <w:marBottom w:val="0"/>
      <w:divBdr>
        <w:top w:val="none" w:sz="0" w:space="0" w:color="auto"/>
        <w:left w:val="none" w:sz="0" w:space="0" w:color="auto"/>
        <w:bottom w:val="none" w:sz="0" w:space="0" w:color="auto"/>
        <w:right w:val="none" w:sz="0" w:space="0" w:color="auto"/>
      </w:divBdr>
    </w:div>
    <w:div w:id="1505165552">
      <w:bodyDiv w:val="1"/>
      <w:marLeft w:val="0"/>
      <w:marRight w:val="0"/>
      <w:marTop w:val="0"/>
      <w:marBottom w:val="0"/>
      <w:divBdr>
        <w:top w:val="none" w:sz="0" w:space="0" w:color="auto"/>
        <w:left w:val="none" w:sz="0" w:space="0" w:color="auto"/>
        <w:bottom w:val="none" w:sz="0" w:space="0" w:color="auto"/>
        <w:right w:val="none" w:sz="0" w:space="0" w:color="auto"/>
      </w:divBdr>
    </w:div>
    <w:div w:id="1520896072">
      <w:bodyDiv w:val="1"/>
      <w:marLeft w:val="0"/>
      <w:marRight w:val="0"/>
      <w:marTop w:val="0"/>
      <w:marBottom w:val="0"/>
      <w:divBdr>
        <w:top w:val="none" w:sz="0" w:space="0" w:color="auto"/>
        <w:left w:val="none" w:sz="0" w:space="0" w:color="auto"/>
        <w:bottom w:val="none" w:sz="0" w:space="0" w:color="auto"/>
        <w:right w:val="none" w:sz="0" w:space="0" w:color="auto"/>
      </w:divBdr>
    </w:div>
    <w:div w:id="1522235586">
      <w:bodyDiv w:val="1"/>
      <w:marLeft w:val="0"/>
      <w:marRight w:val="0"/>
      <w:marTop w:val="0"/>
      <w:marBottom w:val="0"/>
      <w:divBdr>
        <w:top w:val="none" w:sz="0" w:space="0" w:color="auto"/>
        <w:left w:val="none" w:sz="0" w:space="0" w:color="auto"/>
        <w:bottom w:val="none" w:sz="0" w:space="0" w:color="auto"/>
        <w:right w:val="none" w:sz="0" w:space="0" w:color="auto"/>
      </w:divBdr>
    </w:div>
    <w:div w:id="1576628275">
      <w:bodyDiv w:val="1"/>
      <w:marLeft w:val="0"/>
      <w:marRight w:val="0"/>
      <w:marTop w:val="0"/>
      <w:marBottom w:val="0"/>
      <w:divBdr>
        <w:top w:val="none" w:sz="0" w:space="0" w:color="auto"/>
        <w:left w:val="none" w:sz="0" w:space="0" w:color="auto"/>
        <w:bottom w:val="none" w:sz="0" w:space="0" w:color="auto"/>
        <w:right w:val="none" w:sz="0" w:space="0" w:color="auto"/>
      </w:divBdr>
    </w:div>
    <w:div w:id="1595632305">
      <w:bodyDiv w:val="1"/>
      <w:marLeft w:val="0"/>
      <w:marRight w:val="0"/>
      <w:marTop w:val="0"/>
      <w:marBottom w:val="0"/>
      <w:divBdr>
        <w:top w:val="none" w:sz="0" w:space="0" w:color="auto"/>
        <w:left w:val="none" w:sz="0" w:space="0" w:color="auto"/>
        <w:bottom w:val="none" w:sz="0" w:space="0" w:color="auto"/>
        <w:right w:val="none" w:sz="0" w:space="0" w:color="auto"/>
      </w:divBdr>
    </w:div>
    <w:div w:id="1619144080">
      <w:bodyDiv w:val="1"/>
      <w:marLeft w:val="0"/>
      <w:marRight w:val="0"/>
      <w:marTop w:val="0"/>
      <w:marBottom w:val="0"/>
      <w:divBdr>
        <w:top w:val="none" w:sz="0" w:space="0" w:color="auto"/>
        <w:left w:val="none" w:sz="0" w:space="0" w:color="auto"/>
        <w:bottom w:val="none" w:sz="0" w:space="0" w:color="auto"/>
        <w:right w:val="none" w:sz="0" w:space="0" w:color="auto"/>
      </w:divBdr>
      <w:divsChild>
        <w:div w:id="135145307">
          <w:marLeft w:val="0"/>
          <w:marRight w:val="0"/>
          <w:marTop w:val="0"/>
          <w:marBottom w:val="0"/>
          <w:divBdr>
            <w:top w:val="none" w:sz="0" w:space="0" w:color="auto"/>
            <w:left w:val="none" w:sz="0" w:space="0" w:color="auto"/>
            <w:bottom w:val="none" w:sz="0" w:space="0" w:color="auto"/>
            <w:right w:val="none" w:sz="0" w:space="0" w:color="auto"/>
          </w:divBdr>
          <w:divsChild>
            <w:div w:id="1441298514">
              <w:marLeft w:val="0"/>
              <w:marRight w:val="0"/>
              <w:marTop w:val="0"/>
              <w:marBottom w:val="0"/>
              <w:divBdr>
                <w:top w:val="none" w:sz="0" w:space="0" w:color="auto"/>
                <w:left w:val="none" w:sz="0" w:space="0" w:color="auto"/>
                <w:bottom w:val="none" w:sz="0" w:space="0" w:color="auto"/>
                <w:right w:val="none" w:sz="0" w:space="0" w:color="auto"/>
              </w:divBdr>
              <w:divsChild>
                <w:div w:id="2022657028">
                  <w:marLeft w:val="0"/>
                  <w:marRight w:val="0"/>
                  <w:marTop w:val="0"/>
                  <w:marBottom w:val="0"/>
                  <w:divBdr>
                    <w:top w:val="none" w:sz="0" w:space="0" w:color="auto"/>
                    <w:left w:val="none" w:sz="0" w:space="0" w:color="auto"/>
                    <w:bottom w:val="none" w:sz="0" w:space="0" w:color="auto"/>
                    <w:right w:val="none" w:sz="0" w:space="0" w:color="auto"/>
                  </w:divBdr>
                  <w:divsChild>
                    <w:div w:id="131023766">
                      <w:marLeft w:val="0"/>
                      <w:marRight w:val="0"/>
                      <w:marTop w:val="0"/>
                      <w:marBottom w:val="0"/>
                      <w:divBdr>
                        <w:top w:val="none" w:sz="0" w:space="0" w:color="auto"/>
                        <w:left w:val="none" w:sz="0" w:space="0" w:color="auto"/>
                        <w:bottom w:val="none" w:sz="0" w:space="0" w:color="auto"/>
                        <w:right w:val="none" w:sz="0" w:space="0" w:color="auto"/>
                      </w:divBdr>
                      <w:divsChild>
                        <w:div w:id="2078045212">
                          <w:marLeft w:val="0"/>
                          <w:marRight w:val="0"/>
                          <w:marTop w:val="0"/>
                          <w:marBottom w:val="0"/>
                          <w:divBdr>
                            <w:top w:val="none" w:sz="0" w:space="0" w:color="auto"/>
                            <w:left w:val="none" w:sz="0" w:space="0" w:color="auto"/>
                            <w:bottom w:val="none" w:sz="0" w:space="0" w:color="auto"/>
                            <w:right w:val="none" w:sz="0" w:space="0" w:color="auto"/>
                          </w:divBdr>
                          <w:divsChild>
                            <w:div w:id="15933162">
                              <w:marLeft w:val="0"/>
                              <w:marRight w:val="0"/>
                              <w:marTop w:val="0"/>
                              <w:marBottom w:val="0"/>
                              <w:divBdr>
                                <w:top w:val="none" w:sz="0" w:space="0" w:color="auto"/>
                                <w:left w:val="none" w:sz="0" w:space="0" w:color="auto"/>
                                <w:bottom w:val="none" w:sz="0" w:space="0" w:color="auto"/>
                                <w:right w:val="none" w:sz="0" w:space="0" w:color="auto"/>
                              </w:divBdr>
                              <w:divsChild>
                                <w:div w:id="4554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872591">
      <w:bodyDiv w:val="1"/>
      <w:marLeft w:val="0"/>
      <w:marRight w:val="0"/>
      <w:marTop w:val="0"/>
      <w:marBottom w:val="0"/>
      <w:divBdr>
        <w:top w:val="none" w:sz="0" w:space="0" w:color="auto"/>
        <w:left w:val="none" w:sz="0" w:space="0" w:color="auto"/>
        <w:bottom w:val="none" w:sz="0" w:space="0" w:color="auto"/>
        <w:right w:val="none" w:sz="0" w:space="0" w:color="auto"/>
      </w:divBdr>
    </w:div>
    <w:div w:id="1662541615">
      <w:bodyDiv w:val="1"/>
      <w:marLeft w:val="0"/>
      <w:marRight w:val="0"/>
      <w:marTop w:val="0"/>
      <w:marBottom w:val="0"/>
      <w:divBdr>
        <w:top w:val="none" w:sz="0" w:space="0" w:color="auto"/>
        <w:left w:val="none" w:sz="0" w:space="0" w:color="auto"/>
        <w:bottom w:val="none" w:sz="0" w:space="0" w:color="auto"/>
        <w:right w:val="none" w:sz="0" w:space="0" w:color="auto"/>
      </w:divBdr>
    </w:div>
    <w:div w:id="1668510311">
      <w:bodyDiv w:val="1"/>
      <w:marLeft w:val="0"/>
      <w:marRight w:val="0"/>
      <w:marTop w:val="0"/>
      <w:marBottom w:val="0"/>
      <w:divBdr>
        <w:top w:val="none" w:sz="0" w:space="0" w:color="auto"/>
        <w:left w:val="none" w:sz="0" w:space="0" w:color="auto"/>
        <w:bottom w:val="none" w:sz="0" w:space="0" w:color="auto"/>
        <w:right w:val="none" w:sz="0" w:space="0" w:color="auto"/>
      </w:divBdr>
    </w:div>
    <w:div w:id="1672441658">
      <w:bodyDiv w:val="1"/>
      <w:marLeft w:val="0"/>
      <w:marRight w:val="0"/>
      <w:marTop w:val="0"/>
      <w:marBottom w:val="0"/>
      <w:divBdr>
        <w:top w:val="none" w:sz="0" w:space="0" w:color="auto"/>
        <w:left w:val="none" w:sz="0" w:space="0" w:color="auto"/>
        <w:bottom w:val="none" w:sz="0" w:space="0" w:color="auto"/>
        <w:right w:val="none" w:sz="0" w:space="0" w:color="auto"/>
      </w:divBdr>
    </w:div>
    <w:div w:id="1681741012">
      <w:bodyDiv w:val="1"/>
      <w:marLeft w:val="0"/>
      <w:marRight w:val="0"/>
      <w:marTop w:val="0"/>
      <w:marBottom w:val="0"/>
      <w:divBdr>
        <w:top w:val="none" w:sz="0" w:space="0" w:color="auto"/>
        <w:left w:val="none" w:sz="0" w:space="0" w:color="auto"/>
        <w:bottom w:val="none" w:sz="0" w:space="0" w:color="auto"/>
        <w:right w:val="none" w:sz="0" w:space="0" w:color="auto"/>
      </w:divBdr>
    </w:div>
    <w:div w:id="1683622997">
      <w:bodyDiv w:val="1"/>
      <w:marLeft w:val="0"/>
      <w:marRight w:val="0"/>
      <w:marTop w:val="0"/>
      <w:marBottom w:val="0"/>
      <w:divBdr>
        <w:top w:val="none" w:sz="0" w:space="0" w:color="auto"/>
        <w:left w:val="none" w:sz="0" w:space="0" w:color="auto"/>
        <w:bottom w:val="none" w:sz="0" w:space="0" w:color="auto"/>
        <w:right w:val="none" w:sz="0" w:space="0" w:color="auto"/>
      </w:divBdr>
    </w:div>
    <w:div w:id="1714694986">
      <w:bodyDiv w:val="1"/>
      <w:marLeft w:val="0"/>
      <w:marRight w:val="0"/>
      <w:marTop w:val="0"/>
      <w:marBottom w:val="0"/>
      <w:divBdr>
        <w:top w:val="none" w:sz="0" w:space="0" w:color="auto"/>
        <w:left w:val="none" w:sz="0" w:space="0" w:color="auto"/>
        <w:bottom w:val="none" w:sz="0" w:space="0" w:color="auto"/>
        <w:right w:val="none" w:sz="0" w:space="0" w:color="auto"/>
      </w:divBdr>
    </w:div>
    <w:div w:id="1734546360">
      <w:bodyDiv w:val="1"/>
      <w:marLeft w:val="0"/>
      <w:marRight w:val="0"/>
      <w:marTop w:val="0"/>
      <w:marBottom w:val="0"/>
      <w:divBdr>
        <w:top w:val="none" w:sz="0" w:space="0" w:color="auto"/>
        <w:left w:val="none" w:sz="0" w:space="0" w:color="auto"/>
        <w:bottom w:val="none" w:sz="0" w:space="0" w:color="auto"/>
        <w:right w:val="none" w:sz="0" w:space="0" w:color="auto"/>
      </w:divBdr>
    </w:div>
    <w:div w:id="1766030864">
      <w:bodyDiv w:val="1"/>
      <w:marLeft w:val="0"/>
      <w:marRight w:val="0"/>
      <w:marTop w:val="0"/>
      <w:marBottom w:val="0"/>
      <w:divBdr>
        <w:top w:val="none" w:sz="0" w:space="0" w:color="auto"/>
        <w:left w:val="none" w:sz="0" w:space="0" w:color="auto"/>
        <w:bottom w:val="none" w:sz="0" w:space="0" w:color="auto"/>
        <w:right w:val="none" w:sz="0" w:space="0" w:color="auto"/>
      </w:divBdr>
    </w:div>
    <w:div w:id="1778721535">
      <w:bodyDiv w:val="1"/>
      <w:marLeft w:val="0"/>
      <w:marRight w:val="0"/>
      <w:marTop w:val="0"/>
      <w:marBottom w:val="0"/>
      <w:divBdr>
        <w:top w:val="none" w:sz="0" w:space="0" w:color="auto"/>
        <w:left w:val="none" w:sz="0" w:space="0" w:color="auto"/>
        <w:bottom w:val="none" w:sz="0" w:space="0" w:color="auto"/>
        <w:right w:val="none" w:sz="0" w:space="0" w:color="auto"/>
      </w:divBdr>
    </w:div>
    <w:div w:id="1779250859">
      <w:bodyDiv w:val="1"/>
      <w:marLeft w:val="0"/>
      <w:marRight w:val="0"/>
      <w:marTop w:val="0"/>
      <w:marBottom w:val="0"/>
      <w:divBdr>
        <w:top w:val="none" w:sz="0" w:space="0" w:color="auto"/>
        <w:left w:val="none" w:sz="0" w:space="0" w:color="auto"/>
        <w:bottom w:val="none" w:sz="0" w:space="0" w:color="auto"/>
        <w:right w:val="none" w:sz="0" w:space="0" w:color="auto"/>
      </w:divBdr>
    </w:div>
    <w:div w:id="1799643501">
      <w:bodyDiv w:val="1"/>
      <w:marLeft w:val="0"/>
      <w:marRight w:val="0"/>
      <w:marTop w:val="0"/>
      <w:marBottom w:val="0"/>
      <w:divBdr>
        <w:top w:val="none" w:sz="0" w:space="0" w:color="auto"/>
        <w:left w:val="none" w:sz="0" w:space="0" w:color="auto"/>
        <w:bottom w:val="none" w:sz="0" w:space="0" w:color="auto"/>
        <w:right w:val="none" w:sz="0" w:space="0" w:color="auto"/>
      </w:divBdr>
    </w:div>
    <w:div w:id="1812136099">
      <w:bodyDiv w:val="1"/>
      <w:marLeft w:val="0"/>
      <w:marRight w:val="0"/>
      <w:marTop w:val="0"/>
      <w:marBottom w:val="0"/>
      <w:divBdr>
        <w:top w:val="none" w:sz="0" w:space="0" w:color="auto"/>
        <w:left w:val="none" w:sz="0" w:space="0" w:color="auto"/>
        <w:bottom w:val="none" w:sz="0" w:space="0" w:color="auto"/>
        <w:right w:val="none" w:sz="0" w:space="0" w:color="auto"/>
      </w:divBdr>
    </w:div>
    <w:div w:id="1815758520">
      <w:bodyDiv w:val="1"/>
      <w:marLeft w:val="0"/>
      <w:marRight w:val="0"/>
      <w:marTop w:val="0"/>
      <w:marBottom w:val="0"/>
      <w:divBdr>
        <w:top w:val="none" w:sz="0" w:space="0" w:color="auto"/>
        <w:left w:val="none" w:sz="0" w:space="0" w:color="auto"/>
        <w:bottom w:val="none" w:sz="0" w:space="0" w:color="auto"/>
        <w:right w:val="none" w:sz="0" w:space="0" w:color="auto"/>
      </w:divBdr>
    </w:div>
    <w:div w:id="1820417681">
      <w:bodyDiv w:val="1"/>
      <w:marLeft w:val="0"/>
      <w:marRight w:val="0"/>
      <w:marTop w:val="0"/>
      <w:marBottom w:val="0"/>
      <w:divBdr>
        <w:top w:val="none" w:sz="0" w:space="0" w:color="auto"/>
        <w:left w:val="none" w:sz="0" w:space="0" w:color="auto"/>
        <w:bottom w:val="none" w:sz="0" w:space="0" w:color="auto"/>
        <w:right w:val="none" w:sz="0" w:space="0" w:color="auto"/>
      </w:divBdr>
    </w:div>
    <w:div w:id="1843930924">
      <w:bodyDiv w:val="1"/>
      <w:marLeft w:val="0"/>
      <w:marRight w:val="0"/>
      <w:marTop w:val="0"/>
      <w:marBottom w:val="0"/>
      <w:divBdr>
        <w:top w:val="none" w:sz="0" w:space="0" w:color="auto"/>
        <w:left w:val="none" w:sz="0" w:space="0" w:color="auto"/>
        <w:bottom w:val="none" w:sz="0" w:space="0" w:color="auto"/>
        <w:right w:val="none" w:sz="0" w:space="0" w:color="auto"/>
      </w:divBdr>
    </w:div>
    <w:div w:id="1853913177">
      <w:bodyDiv w:val="1"/>
      <w:marLeft w:val="0"/>
      <w:marRight w:val="0"/>
      <w:marTop w:val="0"/>
      <w:marBottom w:val="0"/>
      <w:divBdr>
        <w:top w:val="none" w:sz="0" w:space="0" w:color="auto"/>
        <w:left w:val="none" w:sz="0" w:space="0" w:color="auto"/>
        <w:bottom w:val="none" w:sz="0" w:space="0" w:color="auto"/>
        <w:right w:val="none" w:sz="0" w:space="0" w:color="auto"/>
      </w:divBdr>
    </w:div>
    <w:div w:id="1920363545">
      <w:bodyDiv w:val="1"/>
      <w:marLeft w:val="0"/>
      <w:marRight w:val="0"/>
      <w:marTop w:val="0"/>
      <w:marBottom w:val="0"/>
      <w:divBdr>
        <w:top w:val="none" w:sz="0" w:space="0" w:color="auto"/>
        <w:left w:val="none" w:sz="0" w:space="0" w:color="auto"/>
        <w:bottom w:val="none" w:sz="0" w:space="0" w:color="auto"/>
        <w:right w:val="none" w:sz="0" w:space="0" w:color="auto"/>
      </w:divBdr>
    </w:div>
    <w:div w:id="1920433685">
      <w:bodyDiv w:val="1"/>
      <w:marLeft w:val="0"/>
      <w:marRight w:val="0"/>
      <w:marTop w:val="0"/>
      <w:marBottom w:val="0"/>
      <w:divBdr>
        <w:top w:val="none" w:sz="0" w:space="0" w:color="auto"/>
        <w:left w:val="none" w:sz="0" w:space="0" w:color="auto"/>
        <w:bottom w:val="none" w:sz="0" w:space="0" w:color="auto"/>
        <w:right w:val="none" w:sz="0" w:space="0" w:color="auto"/>
      </w:divBdr>
    </w:div>
    <w:div w:id="1949388772">
      <w:bodyDiv w:val="1"/>
      <w:marLeft w:val="0"/>
      <w:marRight w:val="0"/>
      <w:marTop w:val="0"/>
      <w:marBottom w:val="0"/>
      <w:divBdr>
        <w:top w:val="none" w:sz="0" w:space="0" w:color="auto"/>
        <w:left w:val="none" w:sz="0" w:space="0" w:color="auto"/>
        <w:bottom w:val="none" w:sz="0" w:space="0" w:color="auto"/>
        <w:right w:val="none" w:sz="0" w:space="0" w:color="auto"/>
      </w:divBdr>
    </w:div>
    <w:div w:id="1959288177">
      <w:bodyDiv w:val="1"/>
      <w:marLeft w:val="0"/>
      <w:marRight w:val="0"/>
      <w:marTop w:val="0"/>
      <w:marBottom w:val="0"/>
      <w:divBdr>
        <w:top w:val="none" w:sz="0" w:space="0" w:color="auto"/>
        <w:left w:val="none" w:sz="0" w:space="0" w:color="auto"/>
        <w:bottom w:val="none" w:sz="0" w:space="0" w:color="auto"/>
        <w:right w:val="none" w:sz="0" w:space="0" w:color="auto"/>
      </w:divBdr>
    </w:div>
    <w:div w:id="1964262340">
      <w:bodyDiv w:val="1"/>
      <w:marLeft w:val="0"/>
      <w:marRight w:val="0"/>
      <w:marTop w:val="0"/>
      <w:marBottom w:val="0"/>
      <w:divBdr>
        <w:top w:val="none" w:sz="0" w:space="0" w:color="auto"/>
        <w:left w:val="none" w:sz="0" w:space="0" w:color="auto"/>
        <w:bottom w:val="none" w:sz="0" w:space="0" w:color="auto"/>
        <w:right w:val="none" w:sz="0" w:space="0" w:color="auto"/>
      </w:divBdr>
    </w:div>
    <w:div w:id="2016034011">
      <w:bodyDiv w:val="1"/>
      <w:marLeft w:val="0"/>
      <w:marRight w:val="0"/>
      <w:marTop w:val="0"/>
      <w:marBottom w:val="0"/>
      <w:divBdr>
        <w:top w:val="none" w:sz="0" w:space="0" w:color="auto"/>
        <w:left w:val="none" w:sz="0" w:space="0" w:color="auto"/>
        <w:bottom w:val="none" w:sz="0" w:space="0" w:color="auto"/>
        <w:right w:val="none" w:sz="0" w:space="0" w:color="auto"/>
      </w:divBdr>
    </w:div>
    <w:div w:id="2032223360">
      <w:bodyDiv w:val="1"/>
      <w:marLeft w:val="0"/>
      <w:marRight w:val="0"/>
      <w:marTop w:val="0"/>
      <w:marBottom w:val="0"/>
      <w:divBdr>
        <w:top w:val="none" w:sz="0" w:space="0" w:color="auto"/>
        <w:left w:val="none" w:sz="0" w:space="0" w:color="auto"/>
        <w:bottom w:val="none" w:sz="0" w:space="0" w:color="auto"/>
        <w:right w:val="none" w:sz="0" w:space="0" w:color="auto"/>
      </w:divBdr>
    </w:div>
    <w:div w:id="2035037159">
      <w:bodyDiv w:val="1"/>
      <w:marLeft w:val="0"/>
      <w:marRight w:val="0"/>
      <w:marTop w:val="0"/>
      <w:marBottom w:val="0"/>
      <w:divBdr>
        <w:top w:val="none" w:sz="0" w:space="0" w:color="auto"/>
        <w:left w:val="none" w:sz="0" w:space="0" w:color="auto"/>
        <w:bottom w:val="none" w:sz="0" w:space="0" w:color="auto"/>
        <w:right w:val="none" w:sz="0" w:space="0" w:color="auto"/>
      </w:divBdr>
    </w:div>
    <w:div w:id="2109154735">
      <w:bodyDiv w:val="1"/>
      <w:marLeft w:val="0"/>
      <w:marRight w:val="0"/>
      <w:marTop w:val="0"/>
      <w:marBottom w:val="0"/>
      <w:divBdr>
        <w:top w:val="none" w:sz="0" w:space="0" w:color="auto"/>
        <w:left w:val="none" w:sz="0" w:space="0" w:color="auto"/>
        <w:bottom w:val="none" w:sz="0" w:space="0" w:color="auto"/>
        <w:right w:val="none" w:sz="0" w:space="0" w:color="auto"/>
      </w:divBdr>
    </w:div>
    <w:div w:id="2123769343">
      <w:bodyDiv w:val="1"/>
      <w:marLeft w:val="0"/>
      <w:marRight w:val="0"/>
      <w:marTop w:val="0"/>
      <w:marBottom w:val="0"/>
      <w:divBdr>
        <w:top w:val="none" w:sz="0" w:space="0" w:color="auto"/>
        <w:left w:val="none" w:sz="0" w:space="0" w:color="auto"/>
        <w:bottom w:val="none" w:sz="0" w:space="0" w:color="auto"/>
        <w:right w:val="none" w:sz="0" w:space="0" w:color="auto"/>
      </w:divBdr>
    </w:div>
    <w:div w:id="213243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FE30-B22E-40BE-B933-308D3BD9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77197</Words>
  <Characters>440027</Characters>
  <Application>Microsoft Office Word</Application>
  <DocSecurity>0</DocSecurity>
  <Lines>3666</Lines>
  <Paragraphs>1032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dc:creator>
  <cp:keywords/>
  <dc:description/>
  <cp:lastModifiedBy>AIF</cp:lastModifiedBy>
  <cp:revision>2</cp:revision>
  <cp:lastPrinted>2026-07-24T10:10:00Z</cp:lastPrinted>
  <dcterms:created xsi:type="dcterms:W3CDTF">2026-07-29T13:10:00Z</dcterms:created>
  <dcterms:modified xsi:type="dcterms:W3CDTF">2026-07-29T13:10:00Z</dcterms:modified>
</cp:coreProperties>
</file>