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815" w:tblpY="1"/>
        <w:tblOverlap w:val="never"/>
        <w:tblW w:w="143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0"/>
        <w:gridCol w:w="3507"/>
        <w:gridCol w:w="977"/>
        <w:gridCol w:w="289"/>
        <w:gridCol w:w="1980"/>
        <w:gridCol w:w="2064"/>
        <w:gridCol w:w="1356"/>
        <w:gridCol w:w="3324"/>
      </w:tblGrid>
      <w:tr w:rsidR="000663CC" w:rsidRPr="00F727DA" w:rsidTr="00E24C86">
        <w:trPr>
          <w:trHeight w:val="996"/>
          <w:tblHeader/>
        </w:trPr>
        <w:tc>
          <w:tcPr>
            <w:tcW w:w="4407" w:type="dxa"/>
            <w:gridSpan w:val="2"/>
            <w:shd w:val="clear" w:color="auto" w:fill="auto"/>
            <w:vAlign w:val="center"/>
          </w:tcPr>
          <w:p w:rsidR="000663CC" w:rsidRPr="00F727DA" w:rsidRDefault="00F37EAE"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Acquis  e BE</w:t>
            </w:r>
          </w:p>
          <w:p w:rsidR="00F37EAE" w:rsidRPr="00F727DA" w:rsidRDefault="00F37EAE"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Numri CELEX:  32024L1640</w:t>
            </w:r>
          </w:p>
          <w:p w:rsidR="00DD1CF5" w:rsidRPr="00F727DA" w:rsidRDefault="00DD1CF5" w:rsidP="00A87413">
            <w:pPr>
              <w:pStyle w:val="NormalWeb"/>
              <w:spacing w:before="0" w:beforeAutospacing="0" w:after="0" w:afterAutospacing="0"/>
              <w:rPr>
                <w:sz w:val="18"/>
                <w:szCs w:val="18"/>
                <w:lang w:val="sq-AL" w:eastAsia="sq-AL"/>
              </w:rPr>
            </w:pPr>
            <w:r w:rsidRPr="00F727DA">
              <w:rPr>
                <w:rStyle w:val="Strong"/>
                <w:sz w:val="18"/>
                <w:szCs w:val="18"/>
              </w:rPr>
              <w:t>DIREKTIVA (BE) 2024/1640 E PARLAMENTIT EVROPIAN DHE E KËSHILLIT, datë 31 maj 2024,</w:t>
            </w:r>
          </w:p>
          <w:p w:rsidR="00DD1CF5" w:rsidRPr="00F727DA" w:rsidRDefault="00DD1CF5" w:rsidP="00A87413">
            <w:pPr>
              <w:pStyle w:val="NormalWeb"/>
              <w:spacing w:before="0" w:beforeAutospacing="0" w:after="0" w:afterAutospacing="0"/>
              <w:rPr>
                <w:sz w:val="18"/>
                <w:szCs w:val="18"/>
              </w:rPr>
            </w:pPr>
            <w:r w:rsidRPr="00F727DA">
              <w:rPr>
                <w:rStyle w:val="Strong"/>
                <w:sz w:val="18"/>
                <w:szCs w:val="18"/>
              </w:rPr>
              <w:t>“Mbi mekanizmat që duhet të vendosen nga Shtetet Anëtare për parandalimin e përdorimit të sistemit financiar për qëllime të pastrimit të parave ose financimit të terrorizmit, që ndryshon Direktivën (BE) 2019/1937 dhe që ndryshon dhe shfuqizon Direktivën (BE) 2015/849”</w:t>
            </w:r>
          </w:p>
          <w:p w:rsidR="00DD1CF5" w:rsidRPr="00F727DA" w:rsidRDefault="00DD1CF5" w:rsidP="00A87413">
            <w:pPr>
              <w:spacing w:after="0" w:line="240" w:lineRule="auto"/>
              <w:rPr>
                <w:rFonts w:ascii="Times New Roman" w:hAnsi="Times New Roman"/>
                <w:b/>
                <w:sz w:val="18"/>
                <w:szCs w:val="18"/>
              </w:rPr>
            </w:pPr>
          </w:p>
        </w:tc>
        <w:tc>
          <w:tcPr>
            <w:tcW w:w="9990" w:type="dxa"/>
            <w:gridSpan w:val="6"/>
            <w:shd w:val="clear" w:color="auto" w:fill="auto"/>
          </w:tcPr>
          <w:p w:rsidR="00DD1CF5" w:rsidRPr="00F727DA" w:rsidRDefault="00DD1CF5" w:rsidP="00A87413">
            <w:pPr>
              <w:spacing w:after="0"/>
              <w:jc w:val="center"/>
              <w:rPr>
                <w:rFonts w:ascii="Times New Roman Bold" w:hAnsi="Times New Roman Bold"/>
                <w:sz w:val="18"/>
                <w:szCs w:val="18"/>
              </w:rPr>
            </w:pPr>
            <w:r w:rsidRPr="00F727DA">
              <w:rPr>
                <w:rFonts w:ascii="Times New Roman Bold" w:hAnsi="Times New Roman Bold"/>
                <w:sz w:val="18"/>
                <w:szCs w:val="18"/>
              </w:rPr>
              <w:t>Legjislacioni Shqiptar</w:t>
            </w:r>
          </w:p>
          <w:p w:rsidR="003F06E3" w:rsidRPr="003F06E3" w:rsidRDefault="003F06E3" w:rsidP="003F06E3">
            <w:pPr>
              <w:keepNext/>
              <w:widowControl w:val="0"/>
              <w:numPr>
                <w:ilvl w:val="1"/>
                <w:numId w:val="3"/>
              </w:numPr>
              <w:suppressAutoHyphens w:val="0"/>
              <w:spacing w:after="0" w:line="240" w:lineRule="auto"/>
              <w:outlineLvl w:val="1"/>
              <w:rPr>
                <w:rFonts w:ascii="Times New Roman" w:eastAsia="Times New Roman" w:hAnsi="Times New Roman"/>
                <w:i/>
                <w:sz w:val="20"/>
                <w:szCs w:val="20"/>
                <w:lang w:val="sq-AL" w:eastAsia="en-US"/>
              </w:rPr>
            </w:pPr>
            <w:r w:rsidRPr="003F06E3">
              <w:rPr>
                <w:rFonts w:ascii="Times New Roman" w:eastAsia="Times New Roman" w:hAnsi="Times New Roman"/>
                <w:i/>
                <w:sz w:val="20"/>
                <w:szCs w:val="20"/>
                <w:lang w:val="sq-AL" w:eastAsia="en-US"/>
              </w:rPr>
              <w:t xml:space="preserve">Projektligji “Për parandalimin e pastrimit të parave dhe financimit të terrorizmit </w:t>
            </w:r>
          </w:p>
          <w:p w:rsidR="003F06E3" w:rsidRPr="003F06E3" w:rsidRDefault="003F06E3" w:rsidP="003F06E3">
            <w:pPr>
              <w:numPr>
                <w:ilvl w:val="1"/>
                <w:numId w:val="3"/>
              </w:numPr>
              <w:spacing w:line="252" w:lineRule="auto"/>
              <w:rPr>
                <w:i/>
                <w:sz w:val="20"/>
                <w:szCs w:val="20"/>
                <w:lang w:val="sq-AL" w:eastAsia="en-US"/>
              </w:rPr>
            </w:pPr>
            <w:r w:rsidRPr="003F06E3">
              <w:rPr>
                <w:i/>
                <w:sz w:val="20"/>
                <w:szCs w:val="20"/>
                <w:lang w:val="sq-AL" w:eastAsia="en-US"/>
              </w:rPr>
              <w:t xml:space="preserve">Projektligji “Për rregjistrin e pronarëve përfitues” </w:t>
            </w:r>
          </w:p>
          <w:p w:rsidR="003F06E3" w:rsidRPr="003F06E3" w:rsidRDefault="003F06E3" w:rsidP="003F06E3">
            <w:pPr>
              <w:numPr>
                <w:ilvl w:val="1"/>
                <w:numId w:val="3"/>
              </w:numPr>
              <w:spacing w:line="252" w:lineRule="auto"/>
              <w:rPr>
                <w:i/>
                <w:sz w:val="20"/>
                <w:szCs w:val="20"/>
                <w:lang w:val="sq-AL" w:eastAsia="en-US"/>
              </w:rPr>
            </w:pPr>
            <w:r w:rsidRPr="003F06E3">
              <w:rPr>
                <w:i/>
                <w:sz w:val="20"/>
                <w:szCs w:val="20"/>
                <w:lang w:val="sq-AL" w:eastAsia="en-US"/>
              </w:rPr>
              <w:t xml:space="preserve"> Projekligj “Per rregjistrin e centralziuar te llogarive bankare”</w:t>
            </w:r>
          </w:p>
          <w:p w:rsidR="00AA7D85" w:rsidRPr="00B8488E" w:rsidRDefault="00AA7D85" w:rsidP="00B8488E">
            <w:pPr>
              <w:spacing w:after="0"/>
              <w:ind w:left="444"/>
              <w:rPr>
                <w:rFonts w:ascii="Times New Roman" w:eastAsia="Times New Roman" w:hAnsi="Times New Roman"/>
                <w:i/>
                <w:sz w:val="18"/>
                <w:szCs w:val="18"/>
                <w:lang w:val="sq-AL" w:eastAsia="en-US"/>
              </w:rPr>
            </w:pPr>
          </w:p>
          <w:p w:rsidR="000663CC" w:rsidRPr="00F727DA" w:rsidRDefault="000663CC" w:rsidP="00A87413">
            <w:pPr>
              <w:tabs>
                <w:tab w:val="left" w:pos="1156"/>
              </w:tabs>
              <w:spacing w:after="0" w:line="240" w:lineRule="auto"/>
              <w:ind w:right="397"/>
              <w:jc w:val="center"/>
              <w:rPr>
                <w:rFonts w:ascii="Times New Roman" w:hAnsi="Times New Roman"/>
                <w:b/>
                <w:sz w:val="18"/>
                <w:szCs w:val="18"/>
              </w:rPr>
            </w:pPr>
          </w:p>
          <w:p w:rsidR="00AA7D85" w:rsidRPr="00F727DA" w:rsidRDefault="00AA7D85" w:rsidP="00A87413">
            <w:pPr>
              <w:spacing w:after="0"/>
              <w:jc w:val="both"/>
              <w:rPr>
                <w:rFonts w:ascii="Times New Roman" w:hAnsi="Times New Roman"/>
                <w:sz w:val="18"/>
                <w:szCs w:val="18"/>
              </w:rPr>
            </w:pPr>
            <w:r w:rsidRPr="00F727DA">
              <w:rPr>
                <w:rFonts w:ascii="Times New Roman" w:hAnsi="Times New Roman"/>
                <w:sz w:val="18"/>
                <w:szCs w:val="18"/>
              </w:rPr>
              <w:t>F - pajtueshmëri e plotë</w:t>
            </w:r>
          </w:p>
          <w:p w:rsidR="00AA7D85" w:rsidRPr="00F727DA" w:rsidRDefault="00AA7D85" w:rsidP="00A87413">
            <w:pPr>
              <w:spacing w:after="0"/>
              <w:jc w:val="both"/>
              <w:rPr>
                <w:rFonts w:ascii="Times New Roman" w:hAnsi="Times New Roman"/>
                <w:sz w:val="18"/>
                <w:szCs w:val="18"/>
              </w:rPr>
            </w:pPr>
            <w:r w:rsidRPr="00F727DA">
              <w:rPr>
                <w:rFonts w:ascii="Times New Roman" w:hAnsi="Times New Roman"/>
                <w:sz w:val="18"/>
                <w:szCs w:val="18"/>
              </w:rPr>
              <w:t>P - pajtueshmëri e pjesshme</w:t>
            </w:r>
          </w:p>
          <w:p w:rsidR="00AA7D85" w:rsidRPr="00F727DA" w:rsidRDefault="00AA7D85" w:rsidP="00A87413">
            <w:pPr>
              <w:spacing w:after="0"/>
              <w:jc w:val="both"/>
              <w:rPr>
                <w:rFonts w:ascii="Times New Roman" w:hAnsi="Times New Roman"/>
                <w:sz w:val="18"/>
                <w:szCs w:val="18"/>
              </w:rPr>
            </w:pPr>
            <w:r w:rsidRPr="00F727DA">
              <w:rPr>
                <w:rFonts w:ascii="Times New Roman" w:hAnsi="Times New Roman"/>
                <w:sz w:val="18"/>
                <w:szCs w:val="18"/>
              </w:rPr>
              <w:t>N – mosrespektim</w:t>
            </w:r>
          </w:p>
          <w:p w:rsidR="003154BF" w:rsidRPr="00F727DA" w:rsidRDefault="003154BF" w:rsidP="00A87413">
            <w:pPr>
              <w:spacing w:after="0"/>
              <w:jc w:val="both"/>
              <w:rPr>
                <w:rFonts w:ascii="Times New Roman" w:hAnsi="Times New Roman"/>
                <w:sz w:val="18"/>
                <w:szCs w:val="18"/>
              </w:rPr>
            </w:pPr>
            <w:r w:rsidRPr="00F727DA">
              <w:rPr>
                <w:rFonts w:ascii="Times New Roman" w:hAnsi="Times New Roman"/>
                <w:sz w:val="18"/>
                <w:szCs w:val="18"/>
              </w:rPr>
              <w:t>N/A – e pa aplikueshme</w:t>
            </w:r>
          </w:p>
          <w:p w:rsidR="00AA7D85" w:rsidRPr="00F727DA" w:rsidRDefault="00AA7D85" w:rsidP="00A87413">
            <w:pPr>
              <w:tabs>
                <w:tab w:val="left" w:pos="1156"/>
              </w:tabs>
              <w:spacing w:after="0" w:line="240" w:lineRule="auto"/>
              <w:ind w:right="397"/>
              <w:jc w:val="both"/>
              <w:rPr>
                <w:rFonts w:ascii="Times New Roman" w:hAnsi="Times New Roman"/>
                <w:b/>
                <w:sz w:val="18"/>
                <w:szCs w:val="18"/>
              </w:rPr>
            </w:pPr>
          </w:p>
          <w:p w:rsidR="00DD292B" w:rsidRPr="00F727DA" w:rsidRDefault="00DD292B" w:rsidP="00A87413">
            <w:pPr>
              <w:tabs>
                <w:tab w:val="left" w:pos="1156"/>
              </w:tabs>
              <w:spacing w:after="0" w:line="240" w:lineRule="auto"/>
              <w:ind w:right="397"/>
              <w:jc w:val="both"/>
              <w:rPr>
                <w:rFonts w:ascii="Times New Roman" w:hAnsi="Times New Roman"/>
                <w:b/>
                <w:sz w:val="18"/>
                <w:szCs w:val="18"/>
              </w:rPr>
            </w:pPr>
            <w:bookmarkStart w:id="0" w:name="_GoBack"/>
            <w:bookmarkEnd w:id="0"/>
          </w:p>
        </w:tc>
      </w:tr>
      <w:tr w:rsidR="000663CC" w:rsidRPr="00F727DA" w:rsidTr="00E24C86">
        <w:trPr>
          <w:trHeight w:val="385"/>
          <w:tblHeader/>
        </w:trPr>
        <w:tc>
          <w:tcPr>
            <w:tcW w:w="900"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1</w:t>
            </w:r>
          </w:p>
        </w:tc>
        <w:tc>
          <w:tcPr>
            <w:tcW w:w="3507"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2</w:t>
            </w:r>
          </w:p>
        </w:tc>
        <w:tc>
          <w:tcPr>
            <w:tcW w:w="1266" w:type="dxa"/>
            <w:gridSpan w:val="2"/>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3</w:t>
            </w:r>
          </w:p>
        </w:tc>
        <w:tc>
          <w:tcPr>
            <w:tcW w:w="1980"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4</w:t>
            </w:r>
          </w:p>
        </w:tc>
        <w:tc>
          <w:tcPr>
            <w:tcW w:w="2064"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5</w:t>
            </w:r>
          </w:p>
        </w:tc>
        <w:tc>
          <w:tcPr>
            <w:tcW w:w="1356"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6</w:t>
            </w:r>
          </w:p>
        </w:tc>
        <w:tc>
          <w:tcPr>
            <w:tcW w:w="3324" w:type="dxa"/>
            <w:shd w:val="clear" w:color="auto" w:fill="auto"/>
            <w:vAlign w:val="center"/>
          </w:tcPr>
          <w:p w:rsidR="000663CC" w:rsidRPr="00F727DA" w:rsidRDefault="000663CC" w:rsidP="00A87413">
            <w:pPr>
              <w:tabs>
                <w:tab w:val="left" w:pos="1156"/>
              </w:tabs>
              <w:spacing w:after="0" w:line="240" w:lineRule="auto"/>
              <w:ind w:right="397"/>
              <w:jc w:val="center"/>
              <w:rPr>
                <w:rFonts w:ascii="Times New Roman" w:hAnsi="Times New Roman"/>
                <w:b/>
                <w:sz w:val="18"/>
                <w:szCs w:val="18"/>
              </w:rPr>
            </w:pPr>
            <w:r w:rsidRPr="00F727DA">
              <w:rPr>
                <w:rFonts w:ascii="Times New Roman" w:hAnsi="Times New Roman"/>
                <w:b/>
                <w:sz w:val="18"/>
                <w:szCs w:val="18"/>
              </w:rPr>
              <w:t>7</w:t>
            </w:r>
          </w:p>
        </w:tc>
      </w:tr>
      <w:tr w:rsidR="000663CC" w:rsidRPr="00F727DA" w:rsidTr="00E24C86">
        <w:trPr>
          <w:trHeight w:val="628"/>
          <w:tblHeader/>
        </w:trPr>
        <w:tc>
          <w:tcPr>
            <w:tcW w:w="900"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Neni</w:t>
            </w:r>
          </w:p>
        </w:tc>
        <w:tc>
          <w:tcPr>
            <w:tcW w:w="3507"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Teksti</w:t>
            </w:r>
          </w:p>
        </w:tc>
        <w:tc>
          <w:tcPr>
            <w:tcW w:w="1266" w:type="dxa"/>
            <w:gridSpan w:val="2"/>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Referenca</w:t>
            </w:r>
          </w:p>
        </w:tc>
        <w:tc>
          <w:tcPr>
            <w:tcW w:w="1980"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Neni</w:t>
            </w:r>
          </w:p>
        </w:tc>
        <w:tc>
          <w:tcPr>
            <w:tcW w:w="2064"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P</w:t>
            </w:r>
            <w:r w:rsidRPr="00F727DA">
              <w:rPr>
                <w:rFonts w:ascii="Times New Roman" w:hAnsi="Times New Roman"/>
                <w:b/>
                <w:sz w:val="18"/>
                <w:szCs w:val="18"/>
                <w:lang w:val="en-US"/>
              </w:rPr>
              <w:t>ë</w:t>
            </w:r>
            <w:r w:rsidRPr="00F727DA">
              <w:rPr>
                <w:rFonts w:ascii="Times New Roman" w:hAnsi="Times New Roman"/>
                <w:b/>
                <w:sz w:val="18"/>
                <w:szCs w:val="18"/>
              </w:rPr>
              <w:t>rmbajtja</w:t>
            </w:r>
          </w:p>
        </w:tc>
        <w:tc>
          <w:tcPr>
            <w:tcW w:w="1356" w:type="dxa"/>
            <w:shd w:val="clear" w:color="auto" w:fill="auto"/>
            <w:vAlign w:val="center"/>
          </w:tcPr>
          <w:p w:rsidR="000663CC" w:rsidRPr="00F727DA" w:rsidRDefault="000663CC" w:rsidP="00A87413">
            <w:pPr>
              <w:spacing w:after="0" w:line="240" w:lineRule="auto"/>
              <w:jc w:val="center"/>
              <w:rPr>
                <w:rFonts w:ascii="Times New Roman" w:hAnsi="Times New Roman"/>
                <w:b/>
                <w:sz w:val="18"/>
                <w:szCs w:val="18"/>
              </w:rPr>
            </w:pPr>
            <w:r w:rsidRPr="00F727DA">
              <w:rPr>
                <w:rFonts w:ascii="Times New Roman" w:hAnsi="Times New Roman"/>
                <w:b/>
                <w:sz w:val="18"/>
                <w:szCs w:val="18"/>
              </w:rPr>
              <w:t>Konformiteti</w:t>
            </w:r>
          </w:p>
        </w:tc>
        <w:tc>
          <w:tcPr>
            <w:tcW w:w="3324" w:type="dxa"/>
            <w:shd w:val="clear" w:color="auto" w:fill="auto"/>
            <w:vAlign w:val="center"/>
          </w:tcPr>
          <w:p w:rsidR="000663CC" w:rsidRPr="00F727DA" w:rsidRDefault="000663CC" w:rsidP="00A87413">
            <w:pPr>
              <w:spacing w:after="0" w:line="240" w:lineRule="auto"/>
              <w:ind w:right="241"/>
              <w:jc w:val="center"/>
              <w:rPr>
                <w:rFonts w:ascii="Times New Roman" w:hAnsi="Times New Roman"/>
                <w:b/>
                <w:sz w:val="18"/>
                <w:szCs w:val="18"/>
              </w:rPr>
            </w:pPr>
            <w:r w:rsidRPr="00F727DA">
              <w:rPr>
                <w:rFonts w:ascii="Times New Roman" w:hAnsi="Times New Roman"/>
                <w:b/>
                <w:sz w:val="18"/>
                <w:szCs w:val="18"/>
              </w:rPr>
              <w:t>Shenime</w:t>
            </w:r>
          </w:p>
        </w:tc>
      </w:tr>
      <w:tr w:rsidR="00BF586F" w:rsidRPr="00F727DA" w:rsidTr="00E24C86">
        <w:trPr>
          <w:trHeight w:val="578"/>
        </w:trPr>
        <w:tc>
          <w:tcPr>
            <w:tcW w:w="14397" w:type="dxa"/>
            <w:gridSpan w:val="8"/>
            <w:shd w:val="clear" w:color="auto" w:fill="D9D9D9" w:themeFill="background1" w:themeFillShade="D9"/>
            <w:vAlign w:val="center"/>
          </w:tcPr>
          <w:p w:rsidR="00BF586F" w:rsidRPr="00F727DA" w:rsidRDefault="00BF586F"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Kapitulli 1</w:t>
            </w:r>
          </w:p>
          <w:p w:rsidR="00BF586F" w:rsidRPr="00F727DA" w:rsidRDefault="00BF586F"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Përgjithshme</w:t>
            </w:r>
          </w:p>
          <w:p w:rsidR="00BF586F" w:rsidRPr="00F727DA" w:rsidRDefault="00BF586F" w:rsidP="00A87413">
            <w:pPr>
              <w:snapToGrid w:val="0"/>
              <w:spacing w:after="0" w:line="240" w:lineRule="auto"/>
              <w:rPr>
                <w:rFonts w:ascii="Times New Roman" w:hAnsi="Times New Roman"/>
                <w:b/>
                <w:sz w:val="18"/>
                <w:szCs w:val="18"/>
              </w:rPr>
            </w:pPr>
          </w:p>
          <w:p w:rsidR="00BF586F" w:rsidRPr="00F727DA" w:rsidRDefault="00BF586F"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Seksioni 1</w:t>
            </w:r>
          </w:p>
          <w:p w:rsidR="00BF586F" w:rsidRPr="00F727DA" w:rsidRDefault="00BF586F"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Objekti, fusha e zbatimit dhe përkufizimet</w:t>
            </w:r>
          </w:p>
        </w:tc>
      </w:tr>
      <w:tr w:rsidR="00BF586F" w:rsidRPr="00F727DA" w:rsidTr="00E24C86">
        <w:trPr>
          <w:trHeight w:val="578"/>
        </w:trPr>
        <w:tc>
          <w:tcPr>
            <w:tcW w:w="14397" w:type="dxa"/>
            <w:gridSpan w:val="8"/>
            <w:shd w:val="clear" w:color="auto" w:fill="D9D9D9" w:themeFill="background1" w:themeFillShade="D9"/>
            <w:vAlign w:val="center"/>
          </w:tcPr>
          <w:p w:rsidR="00BF586F" w:rsidRPr="00F727DA" w:rsidRDefault="00BF586F"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w:t>
            </w:r>
          </w:p>
          <w:p w:rsidR="00BF586F" w:rsidRPr="00F727DA" w:rsidRDefault="00A60C2C"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Objekti</w:t>
            </w:r>
          </w:p>
        </w:tc>
      </w:tr>
      <w:tr w:rsidR="003A6B9A" w:rsidRPr="00F727DA" w:rsidTr="00E24C86">
        <w:trPr>
          <w:trHeight w:val="578"/>
        </w:trPr>
        <w:tc>
          <w:tcPr>
            <w:tcW w:w="900" w:type="dxa"/>
            <w:shd w:val="clear" w:color="auto" w:fill="auto"/>
            <w:vAlign w:val="center"/>
          </w:tcPr>
          <w:p w:rsidR="003A6B9A" w:rsidRPr="00F727DA" w:rsidRDefault="003A6B9A"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3A6B9A" w:rsidRPr="00F727DA" w:rsidRDefault="003A6B9A"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3A6B9A" w:rsidRPr="00F727DA" w:rsidRDefault="003A6B9A"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3A6B9A" w:rsidRPr="003A6B9A" w:rsidRDefault="003A6B9A" w:rsidP="00A87413">
            <w:pPr>
              <w:pStyle w:val="NeniNr"/>
              <w:jc w:val="left"/>
              <w:rPr>
                <w:rFonts w:ascii="Times New Roman" w:eastAsia="MS Mincho" w:hAnsi="Times New Roman"/>
                <w:sz w:val="18"/>
                <w:szCs w:val="18"/>
                <w:lang w:val="sq-AL"/>
              </w:rPr>
            </w:pPr>
            <w:r w:rsidRPr="003A6B9A">
              <w:rPr>
                <w:rFonts w:ascii="Times New Roman" w:eastAsia="MS Mincho" w:hAnsi="Times New Roman"/>
                <w:sz w:val="18"/>
                <w:szCs w:val="18"/>
                <w:lang w:val="sq-AL"/>
              </w:rPr>
              <w:t>Neni 1</w:t>
            </w:r>
          </w:p>
          <w:p w:rsidR="003A6B9A" w:rsidRPr="003A6B9A" w:rsidRDefault="003A6B9A" w:rsidP="00A87413">
            <w:pPr>
              <w:pStyle w:val="NeniNr"/>
              <w:jc w:val="left"/>
              <w:rPr>
                <w:rFonts w:ascii="Times New Roman" w:eastAsia="MS Mincho" w:hAnsi="Times New Roman"/>
                <w:sz w:val="18"/>
                <w:szCs w:val="18"/>
                <w:lang w:val="sq-AL"/>
              </w:rPr>
            </w:pPr>
            <w:r w:rsidRPr="003A6B9A">
              <w:rPr>
                <w:rFonts w:ascii="Times New Roman" w:eastAsia="MS Mincho" w:hAnsi="Times New Roman"/>
                <w:sz w:val="18"/>
                <w:szCs w:val="18"/>
                <w:lang w:val="sq-AL"/>
              </w:rPr>
              <w:t>Qëllimi</w:t>
            </w:r>
          </w:p>
        </w:tc>
        <w:tc>
          <w:tcPr>
            <w:tcW w:w="2064" w:type="dxa"/>
            <w:shd w:val="clear" w:color="auto" w:fill="auto"/>
            <w:vAlign w:val="center"/>
          </w:tcPr>
          <w:p w:rsidR="003A6B9A" w:rsidRPr="003D07C3" w:rsidRDefault="003A6B9A" w:rsidP="00A87413">
            <w:pPr>
              <w:suppressAutoHyphens w:val="0"/>
              <w:spacing w:after="0" w:line="276" w:lineRule="auto"/>
              <w:rPr>
                <w:rFonts w:ascii="Times New Roman" w:hAnsi="Times New Roman"/>
                <w:sz w:val="18"/>
                <w:szCs w:val="18"/>
                <w:lang w:val="sq-AL" w:eastAsia="en-US"/>
              </w:rPr>
            </w:pPr>
            <w:r w:rsidRPr="003A6B9A">
              <w:rPr>
                <w:rFonts w:ascii="Times New Roman" w:hAnsi="Times New Roman"/>
                <w:sz w:val="18"/>
                <w:szCs w:val="18"/>
                <w:lang w:val="sq-AL" w:eastAsia="en-US"/>
              </w:rPr>
              <w:t>Ky ligj ka për qëllim të parandalojë pastrimin e parave dhe të produkteve që burojnë nga veprat penale, si dhe parandalimin e financimit të terrorizmit.</w:t>
            </w:r>
          </w:p>
        </w:tc>
        <w:tc>
          <w:tcPr>
            <w:tcW w:w="1356" w:type="dxa"/>
            <w:shd w:val="clear" w:color="auto" w:fill="auto"/>
            <w:vAlign w:val="center"/>
          </w:tcPr>
          <w:p w:rsidR="003A6B9A" w:rsidRPr="00F727DA" w:rsidRDefault="003A6B9A"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3A6B9A" w:rsidRPr="00F727DA" w:rsidRDefault="005402A8" w:rsidP="00A87413">
            <w:pPr>
              <w:snapToGrid w:val="0"/>
              <w:spacing w:after="0" w:line="240" w:lineRule="auto"/>
              <w:rPr>
                <w:rFonts w:ascii="Times New Roman" w:hAnsi="Times New Roman"/>
                <w:sz w:val="18"/>
                <w:szCs w:val="18"/>
              </w:rPr>
            </w:pPr>
            <w:r>
              <w:rPr>
                <w:rFonts w:ascii="Times New Roman" w:hAnsi="Times New Roman"/>
                <w:sz w:val="18"/>
                <w:szCs w:val="18"/>
              </w:rPr>
              <w:t>Shtim neni AIF.</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përcakton rregullat për: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3D07C3" w:rsidRPr="003D07C3" w:rsidRDefault="003D07C3" w:rsidP="00A87413">
            <w:pPr>
              <w:pStyle w:val="NeniNr"/>
              <w:jc w:val="left"/>
              <w:rPr>
                <w:rFonts w:ascii="Times New Roman" w:eastAsia="MS Mincho" w:hAnsi="Times New Roman"/>
                <w:sz w:val="18"/>
                <w:szCs w:val="18"/>
                <w:lang w:val="sq-AL"/>
              </w:rPr>
            </w:pPr>
            <w:r w:rsidRPr="003D07C3">
              <w:rPr>
                <w:rFonts w:ascii="Times New Roman" w:eastAsia="MS Mincho" w:hAnsi="Times New Roman"/>
                <w:sz w:val="18"/>
                <w:szCs w:val="18"/>
                <w:lang w:val="sq-AL"/>
              </w:rPr>
              <w:t>Neni 2</w:t>
            </w:r>
          </w:p>
          <w:p w:rsidR="003D07C3" w:rsidRPr="003D07C3" w:rsidRDefault="003D07C3" w:rsidP="00A87413">
            <w:pPr>
              <w:pStyle w:val="NeniNr"/>
              <w:jc w:val="left"/>
              <w:rPr>
                <w:rFonts w:ascii="Times New Roman" w:eastAsia="MS Mincho" w:hAnsi="Times New Roman"/>
                <w:sz w:val="18"/>
                <w:szCs w:val="18"/>
                <w:lang w:val="sq-AL"/>
              </w:rPr>
            </w:pPr>
            <w:r w:rsidRPr="003D07C3">
              <w:rPr>
                <w:rFonts w:ascii="Times New Roman" w:eastAsia="MS Mincho" w:hAnsi="Times New Roman"/>
                <w:sz w:val="18"/>
                <w:szCs w:val="18"/>
                <w:lang w:val="sq-AL"/>
              </w:rPr>
              <w:t>Objekti</w:t>
            </w:r>
          </w:p>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3D07C3" w:rsidRDefault="003D07C3" w:rsidP="00A87413">
            <w:pPr>
              <w:suppressAutoHyphens w:val="0"/>
              <w:spacing w:after="0" w:line="276" w:lineRule="auto"/>
              <w:rPr>
                <w:rFonts w:ascii="Times New Roman" w:hAnsi="Times New Roman"/>
                <w:sz w:val="18"/>
                <w:szCs w:val="18"/>
                <w:lang w:val="sq-AL" w:eastAsia="en-US"/>
              </w:rPr>
            </w:pPr>
            <w:r w:rsidRPr="003D07C3">
              <w:rPr>
                <w:rFonts w:ascii="Times New Roman" w:hAnsi="Times New Roman"/>
                <w:sz w:val="18"/>
                <w:szCs w:val="18"/>
                <w:lang w:val="sq-AL" w:eastAsia="en-US"/>
              </w:rPr>
              <w:t>Ky ligj përcakton rregullat që kanë të bëjnë me: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e zbatueshme për sektorët e ekspozuar ndaj pastrimit të parave dhe financimit të terrorizmit, në nivel kombëtar;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48714F" w:rsidRDefault="0048714F" w:rsidP="00A87413">
            <w:pPr>
              <w:widowControl w:val="0"/>
              <w:numPr>
                <w:ilvl w:val="0"/>
                <w:numId w:val="4"/>
              </w:numPr>
              <w:tabs>
                <w:tab w:val="left" w:pos="247"/>
              </w:tabs>
              <w:spacing w:after="0" w:line="240" w:lineRule="auto"/>
              <w:ind w:left="0" w:hanging="23"/>
              <w:jc w:val="both"/>
              <w:rPr>
                <w:rFonts w:ascii="Times New Roman" w:hAnsi="Times New Roman"/>
                <w:sz w:val="18"/>
                <w:szCs w:val="18"/>
                <w:lang w:val="sq-AL"/>
              </w:rPr>
            </w:pPr>
            <w:r w:rsidRPr="0048714F">
              <w:rPr>
                <w:rFonts w:ascii="Times New Roman" w:hAnsi="Times New Roman"/>
                <w:sz w:val="18"/>
                <w:szCs w:val="18"/>
                <w:lang w:val="sq-AL"/>
              </w:rPr>
              <w:t>masat që zbatohen, në nivel kombëtar, ndaj sektorëve të ekspozuar ndaj pastrimit të parave dhe financimit të terrorizmit;</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në lidhje me regjistrimin, identifikimin dhe kontrollet e drejtuesve të lartë dhe pronarëve përfitues të subjekteve të detyruara;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b) kërkesat lidhur me regjistrimin, identifikimin dhe verifikimin e përshtatshmërisë së drejtuesve të lartë dhe të pronarëve përfitues të subjekteve të detyruara;</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identifikimin e rreziqeve të pastrimit të parave dhe financimit të terrorizmit në nivel BE-je dhe të shteteve anëtare;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identifikimin dhe vlerësimin e rreziqeve të pastrimit të parave dhe financimit të terrorizmit, në nivel kombëtar, duke marrë në konsideratë vlerësimet përkatëse në nivel të Bashkimit Evropian, si dhe standardet dhe vlerësimet ndërkombëtare.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w:t>
            </w:r>
            <w:r w:rsidR="0048714F">
              <w:t xml:space="preserve"> </w:t>
            </w:r>
            <w:r w:rsidR="0048714F" w:rsidRPr="0048714F">
              <w:rPr>
                <w:rFonts w:ascii="Times New Roman" w:hAnsi="Times New Roman"/>
                <w:sz w:val="18"/>
                <w:szCs w:val="18"/>
              </w:rPr>
              <w:t xml:space="preserve">I përshtatur për të pasqyruar statusin e vendit si joanëtar i Bashkimit Evropian </w:t>
            </w:r>
            <w:r w:rsidRPr="00F727DA">
              <w:rPr>
                <w:rFonts w:ascii="Times New Roman" w:hAnsi="Times New Roman"/>
                <w:sz w:val="18"/>
                <w:szCs w:val="18"/>
              </w:rPr>
              <w:t>)</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është transpozuar në mënyrë të përshtatur për të reflektuar statusin e Shqipërisë si vend jo-anëtar i BE-së. Vlerësimet në nivel BE janë marrë në konsideratë si referencë, në përputhje me standardet ndërkombëtare dhe praktikat më të mira.</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1(d) </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krijimin e regjistrave të pronësisë përfituese dhe llogarive bankare dhe aksesin në to, si dhe aksesin në informacionin e pasurive të paluajtshme;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 aksesin në regjistrat e pronarëve përfitues dhe të llogarive bankare, si dhe aksesin në informacionin mbi pasuritë e paluajtshme;</w:t>
            </w:r>
          </w:p>
        </w:tc>
        <w:tc>
          <w:tcPr>
            <w:tcW w:w="1356" w:type="dxa"/>
            <w:shd w:val="clear" w:color="auto" w:fill="auto"/>
            <w:vAlign w:val="center"/>
          </w:tcPr>
          <w:p w:rsidR="005B3659" w:rsidRPr="00F727DA" w:rsidRDefault="0048714F"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1(e)</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përgjegjësitë dhe detyrat e Njësive të Inteligjencës Financiare (NjIF);</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e) përgjegjësitë, funksionet dhe detyrat e Agjencisë të Inteligjencës Fianciare;</w:t>
            </w:r>
          </w:p>
        </w:tc>
        <w:tc>
          <w:tcPr>
            <w:tcW w:w="1356" w:type="dxa"/>
            <w:shd w:val="clear" w:color="auto" w:fill="auto"/>
            <w:vAlign w:val="center"/>
          </w:tcPr>
          <w:p w:rsidR="005B3659" w:rsidRPr="00F727DA" w:rsidRDefault="0048714F"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1(f)</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përgjegjësitë dhe detyrat e organeve të përfshira në mbikëqyrjen e subjekteve të detyruara;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f) përgjegjësitë, funksionet dhe detyrat e autoriteteve përgjegjëse për mbikëqyrjen e subjekteve të detyruara;</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48714F"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953"/>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1(g)</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bashkëpunimin ndërmjet autoriteteve kompetente dhe bashkëpunimin me autoritetet e mbuluara nga akte të tjera ligjore të BE-së.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g) bashkëpunimin ndërmjet autoriteteve kompetente, si dhe bashkëpunimin me autoritetet homologe të shteteve të tjera, përfshirë autoritetet e Bashkimit Evropian, në përputhje me marrëveshjet ndërkombëtare dhe aktet ligjore në fuqi. </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w:t>
            </w:r>
            <w:r w:rsidR="0048714F" w:rsidRPr="0048714F">
              <w:rPr>
                <w:rFonts w:ascii="Times New Roman" w:hAnsi="Times New Roman"/>
                <w:sz w:val="18"/>
                <w:szCs w:val="18"/>
              </w:rPr>
              <w:t xml:space="preserve">I përshtatur për të pasqyruar statusin e vendit si joanëtar i Bashkimit Evropian </w:t>
            </w:r>
            <w:r w:rsidRPr="00F727DA">
              <w:rPr>
                <w:rFonts w:ascii="Times New Roman" w:hAnsi="Times New Roman"/>
                <w:sz w:val="18"/>
                <w:szCs w:val="18"/>
              </w:rPr>
              <w:t>)</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është transpozuar në mënyrë të përshtatur për të reflektuar statusin e Shqipërisë si vend jo-anëtar i BE-së. Referencat ndaj akteve ligjore të BE-së janë zëvendësuar me bashkëpunim me autoritetet homologe, përfshirë autoritetet e BE-së, në përputhje me marrëveshjet ndërkombëtare dhe legjislacionin kombëtar në fuqi.</w:t>
            </w:r>
          </w:p>
        </w:tc>
      </w:tr>
      <w:tr w:rsidR="00A60C2C" w:rsidRPr="00F727DA" w:rsidTr="00E24C86">
        <w:trPr>
          <w:trHeight w:val="578"/>
        </w:trPr>
        <w:tc>
          <w:tcPr>
            <w:tcW w:w="14397" w:type="dxa"/>
            <w:gridSpan w:val="8"/>
            <w:shd w:val="clear" w:color="auto" w:fill="D9D9D9" w:themeFill="background1" w:themeFillShade="D9"/>
            <w:vAlign w:val="center"/>
          </w:tcPr>
          <w:p w:rsidR="00A60C2C" w:rsidRPr="00F727DA" w:rsidRDefault="00A60C2C"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2</w:t>
            </w:r>
          </w:p>
          <w:p w:rsidR="00A60C2C" w:rsidRPr="00F727DA" w:rsidRDefault="00A60C2C" w:rsidP="00A87413">
            <w:pPr>
              <w:snapToGrid w:val="0"/>
              <w:spacing w:after="0" w:line="240" w:lineRule="auto"/>
              <w:rPr>
                <w:rFonts w:ascii="Times New Roman" w:hAnsi="Times New Roman"/>
                <w:color w:val="C00000"/>
                <w:sz w:val="18"/>
                <w:szCs w:val="18"/>
              </w:rPr>
            </w:pPr>
            <w:r w:rsidRPr="00F727DA">
              <w:rPr>
                <w:rFonts w:ascii="Times New Roman" w:hAnsi="Times New Roman"/>
                <w:b/>
                <w:sz w:val="18"/>
                <w:szCs w:val="18"/>
              </w:rPr>
              <w:t>Përkufzimet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kësaj direktive, zbatohen përkufizimet e përcaktuara në nenin 2, paragrafi 1 të Rregullores (BE) nr. 2024/1624.</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Zbatohen gjithashtu përkufizimet e mëposhtme: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D922E4">
              <w:rPr>
                <w:rFonts w:ascii="Times New Roman" w:hAnsi="Times New Roman"/>
                <w:sz w:val="18"/>
                <w:szCs w:val="18"/>
              </w:rPr>
              <w:t>3</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Përkufizime</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Për qëllimet e këtij ligji, termat e përdorur kanë kuptimin e përcaktuar në këtë nen, të hartuar në përputhje me aktet e Bashkimit Evropian në fushën e parandalimit të pastrimit të parave dhe financimit të terrorizmit, përfshirë Rregulloren (BE) 2024/1624, të </w:t>
            </w:r>
            <w:r w:rsidRPr="00F727DA">
              <w:rPr>
                <w:rFonts w:ascii="Times New Roman" w:hAnsi="Times New Roman"/>
                <w:sz w:val="18"/>
                <w:szCs w:val="18"/>
              </w:rPr>
              <w:lastRenderedPageBreak/>
              <w:t>përshtatura në përputhje me rendin juridik të Republikës së Shqipërisë.</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Në kuptim të këtij ligji, zbatohen gjithashtu përkufizimet e mëposhtme: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3B54BD" w:rsidRPr="003B54BD" w:rsidRDefault="003B54BD" w:rsidP="00A87413">
            <w:pPr>
              <w:snapToGrid w:val="0"/>
              <w:spacing w:after="0" w:line="240" w:lineRule="auto"/>
              <w:rPr>
                <w:rFonts w:ascii="Times New Roman" w:hAnsi="Times New Roman"/>
                <w:sz w:val="18"/>
                <w:szCs w:val="18"/>
                <w:lang w:val="en-US"/>
              </w:rPr>
            </w:pPr>
            <w:r w:rsidRPr="003B54BD">
              <w:rPr>
                <w:rFonts w:ascii="Times New Roman" w:hAnsi="Times New Roman"/>
                <w:bCs/>
                <w:sz w:val="18"/>
                <w:szCs w:val="18"/>
                <w:lang w:val="en-US"/>
              </w:rPr>
              <w:t>Neni 2 është transpozuar përmes një grupi funksional dhe koherent përkufizimesh. Terminologjia specifike e BE-së është përshtatur për të pasqyruar statusin e Shqipërisë si vend joanëtar i BE-së, ndërkohë që të gjitha konceptet përkatëse të Paketës së BE-së për Parandalimin e Pastrimit të Parave (EU AML Package) janë inkorporuar në thelb në legjislacionin kombëtar për AML/CFT.</w:t>
            </w:r>
          </w:p>
          <w:p w:rsidR="003B54BD" w:rsidRDefault="003B54BD" w:rsidP="00A87413">
            <w:pPr>
              <w:snapToGrid w:val="0"/>
              <w:spacing w:after="0" w:line="240" w:lineRule="auto"/>
              <w:rPr>
                <w:rFonts w:ascii="Times New Roman" w:hAnsi="Times New Roman"/>
                <w:bCs/>
                <w:sz w:val="18"/>
                <w:szCs w:val="18"/>
                <w:lang w:val="en-US"/>
              </w:rPr>
            </w:pPr>
          </w:p>
          <w:p w:rsidR="003B54BD" w:rsidRPr="003B54BD" w:rsidRDefault="003B54BD" w:rsidP="00A87413">
            <w:pPr>
              <w:snapToGrid w:val="0"/>
              <w:spacing w:after="0" w:line="240" w:lineRule="auto"/>
              <w:rPr>
                <w:rFonts w:ascii="Times New Roman" w:hAnsi="Times New Roman"/>
                <w:sz w:val="18"/>
                <w:szCs w:val="18"/>
                <w:lang w:val="en-US"/>
              </w:rPr>
            </w:pPr>
            <w:r w:rsidRPr="003B54BD">
              <w:rPr>
                <w:rFonts w:ascii="Times New Roman" w:hAnsi="Times New Roman"/>
                <w:bCs/>
                <w:sz w:val="18"/>
                <w:szCs w:val="18"/>
                <w:lang w:val="en-US"/>
              </w:rPr>
              <w:lastRenderedPageBreak/>
              <w:t>Ky nen është plotësisht i harmonizuar. Përkufizimet përkatëse të Rregullores (BE) 2024/1624 janë inkorporuar në thelb në legjislacionin kombëtar për AML/CFT. Nuk bëhet referencë e drejtpërdrejtë ndaj Rregullores si burim me zbatim të drejtpërdrejtë, në përputhje me statusin e Shqipërisë si vend joanëtar i BE-së, duke garantuar njëkohësisht harmonizim të plotë thelbësor me Paketën AML të BE-së.</w:t>
            </w:r>
          </w:p>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 financiar” është një mbikëqyrës përgjegjës për institucionet e kreditit dhe institucionet financiare;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“mbikëyrës financiar” është autoriteti publik përgjegjës për mbikëqyrjen e institucioneve të kreditit dhe institucioneve financiare,  në përputhje me këtë ligj dhe legjislacionin përkatës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3B54BD" w:rsidP="00A87413">
            <w:pPr>
              <w:snapToGrid w:val="0"/>
              <w:spacing w:after="0" w:line="240" w:lineRule="auto"/>
              <w:rPr>
                <w:rFonts w:ascii="Times New Roman" w:hAnsi="Times New Roman"/>
                <w:sz w:val="18"/>
                <w:szCs w:val="18"/>
              </w:rPr>
            </w:pPr>
            <w:r w:rsidRPr="003B54BD">
              <w:rPr>
                <w:rFonts w:ascii="Times New Roman" w:hAnsi="Times New Roman"/>
                <w:sz w:val="18"/>
                <w:szCs w:val="18"/>
              </w:rPr>
              <w:t>Përkufizimi është transpozuar duke ndjekur një qasje funksionale dhe sqaron marrëdhënien ndërmjet ligjit për AML/CFT dhe legjislacionit sektorial për mbikëqyrjen financiare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 jofinanciar" është një mbikëqyrës përgjegjës për sektorin jofinanciar;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“mbikëyrës jofinanciar” është autoriteti publik përgjegjës për mbikëyrjen e subjekteve të sektorit jofinanciar, në përputhje me këtë ligj dhe legjislacionin përkatës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3B54BD" w:rsidP="00A87413">
            <w:pPr>
              <w:snapToGrid w:val="0"/>
              <w:spacing w:after="0" w:line="240" w:lineRule="auto"/>
              <w:rPr>
                <w:rFonts w:ascii="Times New Roman" w:hAnsi="Times New Roman"/>
                <w:sz w:val="18"/>
                <w:szCs w:val="18"/>
              </w:rPr>
            </w:pPr>
            <w:r w:rsidRPr="003B54BD">
              <w:rPr>
                <w:rFonts w:ascii="Times New Roman" w:hAnsi="Times New Roman"/>
                <w:sz w:val="18"/>
                <w:szCs w:val="18"/>
              </w:rPr>
              <w:t>Përkufizimi sqaron ndërveprimin ndërmjet ligjit për AML/CFT dhe legjislacionit sektorial, pa kufizuar fushën e mbikëqyrjes.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"sektori jofinanciar" janë subjektet e detyruara të renditura në nenin 3, paragrafi 3 të Rregullores (BE) 2024/1624;</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5864F9" w:rsidRDefault="003B54BD" w:rsidP="00A87413">
            <w:pPr>
              <w:widowControl w:val="0"/>
              <w:spacing w:after="0" w:line="240" w:lineRule="auto"/>
              <w:rPr>
                <w:rFonts w:ascii="Times New Roman" w:hAnsi="Times New Roman"/>
                <w:sz w:val="18"/>
                <w:szCs w:val="18"/>
                <w:lang w:val="sq-AL"/>
              </w:rPr>
            </w:pPr>
            <w:r w:rsidRPr="003B54BD">
              <w:rPr>
                <w:rFonts w:ascii="Times New Roman" w:hAnsi="Times New Roman"/>
                <w:sz w:val="18"/>
                <w:szCs w:val="18"/>
                <w:lang w:val="sq-AL"/>
              </w:rPr>
              <w:t>“sektor jo financiar” janë subjektet e detyruara që ushtrojnë veprimtari në sektorin jo financiar, sipas këtij ligji dhe legjislacionit përkatës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864F9" w:rsidP="00A87413">
            <w:pPr>
              <w:snapToGrid w:val="0"/>
              <w:spacing w:after="0" w:line="240" w:lineRule="auto"/>
              <w:rPr>
                <w:rFonts w:ascii="Times New Roman" w:hAnsi="Times New Roman"/>
                <w:sz w:val="18"/>
                <w:szCs w:val="18"/>
              </w:rPr>
            </w:pPr>
            <w:r w:rsidRPr="005864F9">
              <w:rPr>
                <w:rFonts w:ascii="Times New Roman" w:hAnsi="Times New Roman"/>
                <w:sz w:val="18"/>
                <w:szCs w:val="18"/>
              </w:rPr>
              <w:t xml:space="preserve">Përkufizimi është transpozuar duke iu referuar subjekteve të detyruara të sektorit jofinanciar, sipas përcaktimit në legjislacionin kombëtar për AML/CFT, duke siguruar harmonizim thelbësor me Rregulloren (BE) 2024/1624, ndërkohë që </w:t>
            </w:r>
            <w:r w:rsidRPr="005864F9">
              <w:rPr>
                <w:rFonts w:ascii="Times New Roman" w:hAnsi="Times New Roman"/>
                <w:sz w:val="18"/>
                <w:szCs w:val="18"/>
              </w:rPr>
              <w:lastRenderedPageBreak/>
              <w:t>pasqyron statusin e Shqipërisë si vend joanëtar i BE-së</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 i detyruar” është personi fizik ose juridik i renditur në nenin 3 të Rregullores (BE) 2024/1624, i cili nuk përjashtohet në përputhje me nenin 4, 5, 6 ose 7 të kësaj rregulloreje;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 </w:t>
            </w:r>
          </w:p>
        </w:tc>
        <w:tc>
          <w:tcPr>
            <w:tcW w:w="2064" w:type="dxa"/>
            <w:shd w:val="clear" w:color="auto" w:fill="auto"/>
            <w:vAlign w:val="center"/>
          </w:tcPr>
          <w:p w:rsidR="005B3659" w:rsidRPr="005864F9" w:rsidRDefault="005864F9" w:rsidP="00A87413">
            <w:pPr>
              <w:widowControl w:val="0"/>
              <w:spacing w:after="0" w:line="240" w:lineRule="auto"/>
              <w:rPr>
                <w:rFonts w:ascii="Times New Roman" w:hAnsi="Times New Roman"/>
                <w:sz w:val="18"/>
                <w:szCs w:val="18"/>
                <w:lang w:val="sq-AL"/>
              </w:rPr>
            </w:pPr>
            <w:r w:rsidRPr="005864F9">
              <w:rPr>
                <w:rFonts w:ascii="Times New Roman" w:hAnsi="Times New Roman"/>
                <w:sz w:val="18"/>
                <w:szCs w:val="18"/>
                <w:lang w:val="sq-AL"/>
              </w:rPr>
              <w:t>“subjekt i detyruar” është çdo person fizik ose juridik që ushtron veprimtari të përcaktuar në këtë ligj dhe në Rregulloren (BE) 2024/1624 dhe i nënshtrohet detyrimeve për parandalimin e pastrimit të parave dhe financimit të terrorizmit, përveç rasteve të përjashtuara shprehimisht sipas këtij ligji;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864F9" w:rsidP="00A87413">
            <w:pPr>
              <w:snapToGrid w:val="0"/>
              <w:spacing w:after="0" w:line="240" w:lineRule="auto"/>
              <w:rPr>
                <w:rFonts w:ascii="Times New Roman" w:hAnsi="Times New Roman"/>
                <w:sz w:val="18"/>
                <w:szCs w:val="18"/>
              </w:rPr>
            </w:pPr>
            <w:r w:rsidRPr="005864F9">
              <w:rPr>
                <w:rFonts w:ascii="Times New Roman" w:hAnsi="Times New Roman"/>
                <w:sz w:val="18"/>
                <w:szCs w:val="18"/>
              </w:rPr>
              <w:t>Përkufizimi i subjektit të detyruar është transpozuar në thelb duke iu referuar subjekteve të përfshira dhe përjashtimeve të parashikuara në legjislacionin kombëtar për AML/CFT, duke garantuar harmonizim të plotë me Rregulloren (BE) 2024/1624, ndërkohë që pasqyron statusin e Shqipërisë si vend joanëtar i BE-së.</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anëtar i origjinës" është shteti anëtar ku ndodhet selia e regjistruar e subjektit të detyruar ose, nëse subjekti i detyruar nuk ka seli të regjistruar, shteti anëtar në të cilin ndodhet selia e tij qendrore;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“shteti i origjinës” është shteti në të cilin ndodhet selia e regjistruar e subjektit të detyruar ose, në rast se subjekti i detyruar nuk ka seli të regjistruar, shteti në të cilin ndodhet selia qendrore e tij.</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864F9" w:rsidP="00A87413">
            <w:pPr>
              <w:snapToGrid w:val="0"/>
              <w:spacing w:after="0" w:line="240" w:lineRule="auto"/>
              <w:rPr>
                <w:rFonts w:ascii="Times New Roman" w:hAnsi="Times New Roman"/>
                <w:sz w:val="18"/>
                <w:szCs w:val="18"/>
              </w:rPr>
            </w:pPr>
            <w:r w:rsidRPr="005864F9">
              <w:rPr>
                <w:rFonts w:ascii="Times New Roman" w:hAnsi="Times New Roman"/>
                <w:sz w:val="18"/>
                <w:szCs w:val="18"/>
              </w:rPr>
              <w:t>Përkufizimi është transpozuar në thelb. Referenca ndaj ‘Shtetit Anëtar’ është përshtatur për të pasqyruar statusin e Shqipërisë si vend joanëtar i BE-së, duke ruajtur njëkohësisht fushën materiale të konceptit.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anëtar pritës" është një shtet anëtar, i ndryshëm nga shteti anëtar i origjinës, ku subjekti i detyruar operon një njësi, si p.sh. një filial ose një degë, ose ku subjekti i detyruar operon në bazë të lirisë për të ofruar shërbime përmes një infrastrukture;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“shteti pritës” është shteti, i ndryshëm nga shteti i origjinës, në territorin e të cilit subjekti i detyruar ushtron veprimtari përmes një njësie, përfshirë një degë ose filial, ose nëpërmjet ofrimit të shërbimeve pa vendosje fizike, sipas </w:t>
            </w:r>
            <w:r w:rsidRPr="00F727DA">
              <w:rPr>
                <w:rFonts w:ascii="Times New Roman" w:hAnsi="Times New Roman"/>
                <w:sz w:val="18"/>
                <w:szCs w:val="18"/>
              </w:rPr>
              <w:lastRenderedPageBreak/>
              <w:t>legjislacionit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C07773" w:rsidP="00A87413">
            <w:pPr>
              <w:snapToGrid w:val="0"/>
              <w:spacing w:after="0" w:line="240" w:lineRule="auto"/>
              <w:rPr>
                <w:rFonts w:ascii="Times New Roman" w:hAnsi="Times New Roman"/>
                <w:i/>
                <w:color w:val="1F4E79" w:themeColor="accent1" w:themeShade="80"/>
                <w:sz w:val="18"/>
                <w:szCs w:val="18"/>
              </w:rPr>
            </w:pPr>
            <w:r w:rsidRPr="00C07773">
              <w:rPr>
                <w:rFonts w:ascii="Times New Roman" w:hAnsi="Times New Roman"/>
                <w:sz w:val="18"/>
                <w:szCs w:val="18"/>
              </w:rPr>
              <w:t>Përkufizimi është transpozuar në thelb. Referencat ndaj ‘Shtetit Anëtar’ dhe koncepteve të tregut të brendshëm të BE-së janë përshtatur për të pasqyruar statusin e Shqipërisë si vend joanëtar i BE-së, duke ruajtur njëkohësisht fushën materiale të dispozitës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doganore” janë autoritetet doganore siç përcaktohet në nenin 5, paragrafi 1 të Rregullores (BE) nr. 952/2013 të Parlamentit Evropian dhe të Këshillit (34)</w:t>
            </w:r>
            <w:r w:rsidRPr="00F727DA">
              <w:rPr>
                <w:rStyle w:val="FootnoteReference"/>
                <w:rFonts w:ascii="Times New Roman" w:hAnsi="Times New Roman"/>
                <w:sz w:val="18"/>
                <w:szCs w:val="18"/>
                <w:lang w:eastAsia="sq-AL" w:bidi="sq-AL"/>
              </w:rPr>
              <w:footnoteReference w:id="1"/>
            </w:r>
            <w:r w:rsidRPr="00F727DA">
              <w:rPr>
                <w:rFonts w:ascii="Times New Roman" w:hAnsi="Times New Roman"/>
                <w:sz w:val="18"/>
                <w:szCs w:val="18"/>
                <w:lang w:eastAsia="sq-AL" w:bidi="sq-AL"/>
              </w:rPr>
              <w:t xml:space="preserve"> dhe autoritetet kompetente siç përcaktohet në nenin 2, paragrafi 1, germa “g” të Rregullores (BE) 2018/1672 të Parlamentit Evropian dhe të Këshillit (35)</w:t>
            </w:r>
            <w:r w:rsidRPr="00F727DA">
              <w:rPr>
                <w:rStyle w:val="FootnoteReference"/>
                <w:rFonts w:ascii="Times New Roman" w:hAnsi="Times New Roman"/>
                <w:sz w:val="18"/>
                <w:szCs w:val="18"/>
                <w:lang w:eastAsia="sq-AL" w:bidi="sq-AL"/>
              </w:rPr>
              <w:footnoteReference w:id="2"/>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“autoritetet doganore” janë autoritetet publike përgjegjëse për administrimin dhe kontrollin doganor, si dhe autoritetet kompetente për kontrollin e lëvizjes ndërkufitare të mjeteve monetare dhe vlerave të tjera, në përputhje me këtë ligj dhe legjislacionin përkatës në fuqi per doganat.</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C07773" w:rsidP="00A87413">
            <w:pPr>
              <w:snapToGrid w:val="0"/>
              <w:spacing w:after="0" w:line="240" w:lineRule="auto"/>
              <w:rPr>
                <w:rFonts w:ascii="Times New Roman" w:hAnsi="Times New Roman"/>
                <w:color w:val="C00000"/>
                <w:sz w:val="18"/>
                <w:szCs w:val="18"/>
              </w:rPr>
            </w:pPr>
            <w:r w:rsidRPr="00C07773">
              <w:rPr>
                <w:rFonts w:ascii="Times New Roman" w:hAnsi="Times New Roman"/>
                <w:color w:val="000000" w:themeColor="text1"/>
                <w:sz w:val="18"/>
                <w:szCs w:val="18"/>
              </w:rPr>
              <w:t>Përkufizimi është transpozuar në thelb duke përfshirë si autoritetet doganore ashtu edhe autoritetet kompetente për kontrollin e parasë në kufi, ndërkohë që referencat specifike të BE-së janë përshtatur për të pasqyruar statusin e Shqipërisë si vend joanëtar i BE-së.</w:t>
            </w:r>
          </w:p>
          <w:p w:rsidR="005B3659" w:rsidRPr="00C07773" w:rsidRDefault="005B3659" w:rsidP="00A87413">
            <w:pPr>
              <w:snapToGrid w:val="0"/>
              <w:spacing w:after="0" w:line="240" w:lineRule="auto"/>
              <w:rPr>
                <w:rFonts w:ascii="Times New Roman" w:hAnsi="Times New Roman"/>
                <w:sz w:val="18"/>
                <w:szCs w:val="18"/>
              </w:rPr>
            </w:pPr>
            <w:r w:rsidRPr="00C07773">
              <w:rPr>
                <w:rFonts w:ascii="Times New Roman" w:hAnsi="Times New Roman"/>
                <w:sz w:val="18"/>
                <w:szCs w:val="18"/>
              </w:rPr>
              <w:t>Gjithashtu nje dispozite lidhese do te shtohet ne Kodin Doganor per zbatimin e kesaj pike/ kjo pike do diskutohet me ekspertet dhe te vleresohet prej tyre nese duhet te shtohet ky nen ne Kodin Doganor</w:t>
            </w:r>
          </w:p>
          <w:p w:rsidR="005B3659" w:rsidRPr="00C07773" w:rsidRDefault="005B3659" w:rsidP="00A87413">
            <w:pPr>
              <w:snapToGrid w:val="0"/>
              <w:spacing w:after="0" w:line="240" w:lineRule="auto"/>
              <w:rPr>
                <w:rFonts w:ascii="Times New Roman" w:hAnsi="Times New Roman"/>
                <w:sz w:val="18"/>
                <w:szCs w:val="18"/>
              </w:rPr>
            </w:pPr>
          </w:p>
          <w:p w:rsidR="005B3659" w:rsidRPr="000E57C4" w:rsidRDefault="005B3659" w:rsidP="00A87413">
            <w:pPr>
              <w:snapToGrid w:val="0"/>
              <w:spacing w:after="0" w:line="240" w:lineRule="auto"/>
              <w:rPr>
                <w:rFonts w:ascii="Times New Roman" w:hAnsi="Times New Roman"/>
                <w:i/>
                <w:sz w:val="18"/>
                <w:szCs w:val="18"/>
              </w:rPr>
            </w:pPr>
            <w:r w:rsidRPr="00C07773">
              <w:rPr>
                <w:rFonts w:ascii="Times New Roman" w:hAnsi="Times New Roman"/>
                <w:i/>
                <w:sz w:val="18"/>
                <w:szCs w:val="18"/>
              </w:rPr>
              <w:t>Autoritete doganore” janë autoritetet publike përgjegjëse për kontrollin doganor dhe për kontrollin e parasë fizike që hyn ose del nga territori i Republikës së Shqipërisë, të caktuara si autoritete kompetente për zbatimin e dispozitave për kontrollin e parasë fizike, në përputhje me Kodin Doganor të Republikës së Shqipërisë dhe këtë ligj, përfshirë administratën doganore.</w:t>
            </w:r>
          </w:p>
          <w:p w:rsidR="005B3659" w:rsidRPr="00F727DA" w:rsidRDefault="005B3659" w:rsidP="00A87413">
            <w:pPr>
              <w:snapToGrid w:val="0"/>
              <w:spacing w:after="0" w:line="240" w:lineRule="auto"/>
              <w:rPr>
                <w:rFonts w:ascii="Times New Roman" w:hAnsi="Times New Roman"/>
                <w:color w:val="2E74B5" w:themeColor="accent1" w:themeShade="BF"/>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(8)</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“kolegj mbikëqyrës për luftën kundër pastrimit të parave dhe financimit të terrorizmit” është një strukturë e përhershme për bashkëpunimin dhe shkëmbimin e informacionit për qëllime të mbikëqyrjes së një grupi ose të një subjekti që operon në një shtet anëtar pritës ose në një vend të tretë;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“kolegj mbikëqyrës PPP/FT” është një strukturë e përhershme bashkëpunimi dhe shkëmbimi informacioni ndërmjet autoriteteve kompetente, e krijuar për </w:t>
            </w:r>
            <w:r w:rsidRPr="00F727DA">
              <w:rPr>
                <w:rFonts w:ascii="Times New Roman" w:hAnsi="Times New Roman"/>
                <w:sz w:val="18"/>
                <w:szCs w:val="18"/>
              </w:rPr>
              <w:lastRenderedPageBreak/>
              <w:t>qëllime të mbikëqyrjes së një grupi ose subjekti që ushtron veprimtari në një shtet tjetër ose në Republikën e Shqipërisë, në përputhje me këtë ligj dhe marrëveshjet ndërkombëtare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Eshte shtuar perkufizimi ne nenin </w:t>
            </w:r>
            <w:r w:rsidR="00C07773">
              <w:rPr>
                <w:rFonts w:ascii="Times New Roman" w:hAnsi="Times New Roman"/>
                <w:sz w:val="18"/>
                <w:szCs w:val="18"/>
              </w:rPr>
              <w:t>3</w:t>
            </w:r>
            <w:r w:rsidRPr="00F727DA">
              <w:rPr>
                <w:rFonts w:ascii="Times New Roman" w:hAnsi="Times New Roman"/>
                <w:sz w:val="18"/>
                <w:szCs w:val="18"/>
              </w:rPr>
              <w:t xml:space="preserve"> per te siguruar perputhshmerine e plote me kete nen te direktives.</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 </w:t>
            </w:r>
          </w:p>
          <w:p w:rsidR="005B3659" w:rsidRPr="00F727DA" w:rsidRDefault="00C07773" w:rsidP="00A87413">
            <w:pPr>
              <w:snapToGrid w:val="0"/>
              <w:spacing w:after="0" w:line="240" w:lineRule="auto"/>
              <w:rPr>
                <w:rFonts w:ascii="Times New Roman" w:hAnsi="Times New Roman"/>
                <w:sz w:val="18"/>
                <w:szCs w:val="18"/>
              </w:rPr>
            </w:pPr>
            <w:r w:rsidRPr="00C07773">
              <w:rPr>
                <w:rFonts w:ascii="Times New Roman" w:hAnsi="Times New Roman"/>
                <w:sz w:val="18"/>
                <w:szCs w:val="18"/>
              </w:rPr>
              <w:t xml:space="preserve">Përkufizimi është transpozuar në thelb. Referencat ndaj koncepteve specifike të BE-së janë përshtatur për të pasqyruar </w:t>
            </w:r>
            <w:r w:rsidRPr="00C07773">
              <w:rPr>
                <w:rFonts w:ascii="Times New Roman" w:hAnsi="Times New Roman"/>
                <w:sz w:val="18"/>
                <w:szCs w:val="18"/>
              </w:rPr>
              <w:lastRenderedPageBreak/>
              <w:t>statusin e Shqipërisë si vend joanëtar i BE-së, duke ruajtur njëkohësisht shtrirjen e plotë të mekanizmave të bashkëpunimit mbikëqyrës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(9)</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“projektmasë kombëtare” është teksti i një akti, cilado qoftë forma e tij, i cili, pasi të hyjë në fuqi, do të ketë efekt juridik, dhe që është në një fazë të hartimit në të cilën ende mund të bëhen ndryshime thelbësore;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“Projektmasë kombëtare” është teksti i një akti, pavarësisht formës së tij, i cili ndodhet në fazë përgatitore dhe që, pas miratimit, prodhon efekte juridike, ndërkohë që në këtë fazë janë ende të mundshme ndryshime thelbësore në përmbajtjen e tij.</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Përkufizimi i “projektmasës kombëtare” është përfshirë në nenin e përkufizimeve të ligjit AML si term procedural, në përputhje me Direktivën (BE) 2024/1640, pa krijuar detyrime shtesë për subjektet ose autoritetet.</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C30CC0" w:rsidP="00A87413">
            <w:pPr>
              <w:snapToGrid w:val="0"/>
              <w:spacing w:after="0" w:line="240" w:lineRule="auto"/>
              <w:rPr>
                <w:rFonts w:ascii="Times New Roman" w:hAnsi="Times New Roman"/>
                <w:sz w:val="18"/>
                <w:szCs w:val="18"/>
              </w:rPr>
            </w:pPr>
            <w:r w:rsidRPr="00C30CC0">
              <w:rPr>
                <w:rFonts w:ascii="Times New Roman" w:hAnsi="Times New Roman"/>
                <w:sz w:val="18"/>
                <w:szCs w:val="18"/>
              </w:rPr>
              <w:t>Përkufizimi është transpozuar duke përdorur terminologjinë standarde të legjislacionit shqiptar mbi aktet normative, duke pasqyruar plotësisht përmbajtjen thelbësore të përkufizimit të BE-së</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“llogari titujsh” janë llogaritë e titujve siç përcaktohet në nenin 2, paragrafi 1, pika 28 të Rregullores BE nr. 909/2014 të Parlamentit Evropian dhe të Këshillit (36)</w:t>
            </w:r>
            <w:r w:rsidRPr="00F727DA">
              <w:rPr>
                <w:rStyle w:val="FootnoteReference"/>
                <w:rFonts w:ascii="Times New Roman" w:hAnsi="Times New Roman"/>
                <w:sz w:val="18"/>
                <w:szCs w:val="18"/>
                <w:lang w:eastAsia="sq-AL" w:bidi="sq-AL"/>
              </w:rPr>
              <w:footnoteReference w:id="3"/>
            </w:r>
            <w:r w:rsidRPr="00F727DA">
              <w:rPr>
                <w:rFonts w:ascii="Times New Roman" w:hAnsi="Times New Roman"/>
                <w:sz w:val="18"/>
                <w:szCs w:val="18"/>
                <w:lang w:eastAsia="sq-AL" w:bidi="sq-AL"/>
              </w:rPr>
              <w: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“llogari e titujve” është një llogari e hapur në emër të një personi, në të cilën regjistrohen titujt ose instrumentet financiare që i përkasin atij personi, sipas legjislacionit në fuqi që rregullon </w:t>
            </w:r>
            <w:r w:rsidRPr="00F727DA">
              <w:rPr>
                <w:sz w:val="18"/>
                <w:szCs w:val="18"/>
              </w:rPr>
              <w:t xml:space="preserve"> </w:t>
            </w:r>
            <w:r w:rsidRPr="00F727DA">
              <w:rPr>
                <w:rFonts w:ascii="Times New Roman" w:hAnsi="Times New Roman"/>
                <w:sz w:val="18"/>
                <w:szCs w:val="18"/>
              </w:rPr>
              <w:t>tregjet e kapitaleve.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C30CC0" w:rsidP="00A87413">
            <w:pPr>
              <w:snapToGrid w:val="0"/>
              <w:spacing w:after="0" w:line="240" w:lineRule="auto"/>
              <w:rPr>
                <w:rFonts w:ascii="Times New Roman" w:hAnsi="Times New Roman"/>
                <w:sz w:val="18"/>
                <w:szCs w:val="18"/>
              </w:rPr>
            </w:pPr>
            <w:r w:rsidRPr="00C30CC0">
              <w:rPr>
                <w:rFonts w:ascii="Times New Roman" w:hAnsi="Times New Roman"/>
                <w:sz w:val="18"/>
                <w:szCs w:val="18"/>
              </w:rPr>
              <w:t xml:space="preserve">Përkufizimi i ‘llogarisë së </w:t>
            </w:r>
            <w:r>
              <w:rPr>
                <w:rFonts w:ascii="Times New Roman" w:hAnsi="Times New Roman"/>
                <w:sz w:val="18"/>
                <w:szCs w:val="18"/>
              </w:rPr>
              <w:t>titujv</w:t>
            </w:r>
            <w:r w:rsidR="007022FB">
              <w:rPr>
                <w:rFonts w:ascii="Times New Roman" w:hAnsi="Times New Roman"/>
                <w:sz w:val="18"/>
                <w:szCs w:val="18"/>
              </w:rPr>
              <w:t>e</w:t>
            </w:r>
            <w:r w:rsidRPr="00C30CC0">
              <w:rPr>
                <w:rFonts w:ascii="Times New Roman" w:hAnsi="Times New Roman"/>
                <w:sz w:val="18"/>
                <w:szCs w:val="18"/>
              </w:rPr>
              <w:t>’ është transpozuar në thelb duke përdorur terminologji të barasvlershme të së drejtës kombëtare, në përputhje me legjislacionin që rregullon letrat me vlerë dhe instrumentet financiare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(11)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“tituj” janë instrumente financiare siç përcaktohet në nenin 4, paragrafi 1, pika 15 të Direktivës 2014/65/BE të Parlamentit </w:t>
            </w:r>
            <w:r w:rsidRPr="00F727DA">
              <w:rPr>
                <w:rFonts w:ascii="Times New Roman" w:hAnsi="Times New Roman"/>
                <w:sz w:val="18"/>
                <w:szCs w:val="18"/>
                <w:lang w:eastAsia="sq-AL" w:bidi="sq-AL"/>
              </w:rPr>
              <w:lastRenderedPageBreak/>
              <w:t>Evropian dhe të Këshillit (37)</w:t>
            </w:r>
            <w:r w:rsidRPr="00F727DA">
              <w:rPr>
                <w:rStyle w:val="FootnoteReference"/>
                <w:rFonts w:ascii="Times New Roman" w:hAnsi="Times New Roman"/>
                <w:sz w:val="18"/>
                <w:szCs w:val="18"/>
                <w:lang w:eastAsia="sq-AL" w:bidi="sq-AL"/>
              </w:rPr>
              <w:footnoteReference w:id="4"/>
            </w:r>
            <w:r w:rsidRPr="00F727DA">
              <w:rPr>
                <w:rFonts w:ascii="Times New Roman" w:hAnsi="Times New Roman"/>
                <w:sz w:val="18"/>
                <w:szCs w:val="18"/>
                <w:lang w:eastAsia="sq-AL" w:bidi="sq-AL"/>
              </w:rPr>
              <w: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“tituj” janë instrumentet financiare, sipas përcaktimit të legjislacionit në fuqi që </w:t>
            </w:r>
            <w:r w:rsidRPr="00F727DA">
              <w:rPr>
                <w:rFonts w:ascii="Times New Roman" w:hAnsi="Times New Roman"/>
                <w:sz w:val="18"/>
                <w:szCs w:val="18"/>
              </w:rPr>
              <w:lastRenderedPageBreak/>
              <w:t>rregullon tregjet e kapitaleve dhe instrumentet financiare.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7022FB" w:rsidRPr="007022FB" w:rsidRDefault="007022FB" w:rsidP="00A87413">
            <w:pPr>
              <w:snapToGrid w:val="0"/>
              <w:spacing w:after="0" w:line="240" w:lineRule="auto"/>
              <w:rPr>
                <w:rFonts w:ascii="Times New Roman" w:hAnsi="Times New Roman"/>
                <w:sz w:val="18"/>
                <w:szCs w:val="18"/>
              </w:rPr>
            </w:pPr>
            <w:r w:rsidRPr="007022FB">
              <w:rPr>
                <w:rFonts w:ascii="Times New Roman" w:hAnsi="Times New Roman"/>
                <w:sz w:val="18"/>
                <w:szCs w:val="18"/>
              </w:rPr>
              <w:t>“Përkufizimi i ‘</w:t>
            </w:r>
            <w:r>
              <w:rPr>
                <w:rFonts w:ascii="Times New Roman" w:hAnsi="Times New Roman"/>
                <w:sz w:val="18"/>
                <w:szCs w:val="18"/>
              </w:rPr>
              <w:t>titujve</w:t>
            </w:r>
            <w:r w:rsidRPr="007022FB">
              <w:rPr>
                <w:rFonts w:ascii="Times New Roman" w:hAnsi="Times New Roman"/>
                <w:sz w:val="18"/>
                <w:szCs w:val="18"/>
              </w:rPr>
              <w:t xml:space="preserve">’ është transpozuar në thelb duke iu referuar përkufizimit kombëtar të instrumenteve financiare, duke siguruar përputhje me MiFID II, </w:t>
            </w:r>
            <w:r w:rsidRPr="007022FB">
              <w:rPr>
                <w:rFonts w:ascii="Times New Roman" w:hAnsi="Times New Roman"/>
                <w:sz w:val="18"/>
                <w:szCs w:val="18"/>
              </w:rPr>
              <w:lastRenderedPageBreak/>
              <w:t>ndërkohë që pasqyron statusin e Shqipërisë si vend joanëtar i BE-së</w:t>
            </w:r>
            <w:r>
              <w:rPr>
                <w:rFonts w:ascii="Times New Roman" w:hAnsi="Times New Roman"/>
                <w:sz w:val="18"/>
                <w:szCs w:val="18"/>
              </w:rPr>
              <w:t>.</w:t>
            </w:r>
          </w:p>
        </w:tc>
      </w:tr>
      <w:tr w:rsidR="00777B42" w:rsidRPr="00F727DA" w:rsidTr="00E24C86">
        <w:trPr>
          <w:trHeight w:val="578"/>
        </w:trPr>
        <w:tc>
          <w:tcPr>
            <w:tcW w:w="900" w:type="dxa"/>
            <w:shd w:val="clear" w:color="auto" w:fill="auto"/>
            <w:vAlign w:val="center"/>
          </w:tcPr>
          <w:p w:rsidR="00777B42" w:rsidRPr="00F727DA" w:rsidRDefault="00777B42"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777B42" w:rsidRPr="00F727DA" w:rsidRDefault="00777B42"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777B42" w:rsidRPr="00F727DA" w:rsidRDefault="00777B42"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777B42" w:rsidRPr="00F727DA" w:rsidRDefault="00777B42"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777B42" w:rsidRPr="00777B42" w:rsidRDefault="00777B42" w:rsidP="00A87413">
            <w:pPr>
              <w:widowControl w:val="0"/>
              <w:spacing w:after="0" w:line="240" w:lineRule="auto"/>
              <w:rPr>
                <w:rFonts w:ascii="Times New Roman" w:hAnsi="Times New Roman"/>
                <w:sz w:val="18"/>
                <w:szCs w:val="18"/>
                <w:lang w:val="sq-AL"/>
              </w:rPr>
            </w:pPr>
            <w:r w:rsidRPr="00777B42">
              <w:rPr>
                <w:rFonts w:ascii="Times New Roman" w:hAnsi="Times New Roman"/>
                <w:sz w:val="18"/>
                <w:szCs w:val="18"/>
                <w:lang w:val="sq-AL"/>
              </w:rPr>
              <w:t xml:space="preserve">1. “Autoritet përgjegjës” është Agjencia e Inteligjencës Financiare (AIF), e cila i raporton drejtpërdrejt Ministrit të Financave dhe shërben si Njësi e Inteligjencës Financiare të Shqipërisë. </w:t>
            </w:r>
          </w:p>
          <w:p w:rsidR="00777B42" w:rsidRPr="005402A8" w:rsidRDefault="00777B42" w:rsidP="00A87413">
            <w:pPr>
              <w:widowControl w:val="0"/>
              <w:spacing w:after="0" w:line="240" w:lineRule="auto"/>
              <w:rPr>
                <w:rFonts w:ascii="Times New Roman" w:hAnsi="Times New Roman"/>
                <w:sz w:val="18"/>
                <w:szCs w:val="18"/>
                <w:lang w:val="sq-AL"/>
              </w:rPr>
            </w:pPr>
          </w:p>
        </w:tc>
        <w:tc>
          <w:tcPr>
            <w:tcW w:w="1356" w:type="dxa"/>
            <w:shd w:val="clear" w:color="auto" w:fill="auto"/>
            <w:vAlign w:val="center"/>
          </w:tcPr>
          <w:p w:rsidR="00777B42" w:rsidRPr="00F727DA" w:rsidRDefault="00777B42"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777B42" w:rsidRDefault="00777B42" w:rsidP="00A87413">
            <w:pPr>
              <w:snapToGrid w:val="0"/>
              <w:spacing w:after="0" w:line="240" w:lineRule="auto"/>
              <w:rPr>
                <w:rFonts w:ascii="Times New Roman" w:hAnsi="Times New Roman"/>
                <w:sz w:val="18"/>
                <w:szCs w:val="18"/>
              </w:rPr>
            </w:pPr>
            <w:r w:rsidRPr="00777B42">
              <w:rPr>
                <w:rFonts w:ascii="Times New Roman" w:hAnsi="Times New Roman"/>
                <w:sz w:val="18"/>
                <w:szCs w:val="18"/>
              </w:rPr>
              <w:t>Shtim perkufizimi  AIF</w:t>
            </w:r>
          </w:p>
        </w:tc>
      </w:tr>
      <w:tr w:rsidR="00777B42" w:rsidRPr="00F727DA" w:rsidTr="00E24C86">
        <w:trPr>
          <w:trHeight w:val="578"/>
        </w:trPr>
        <w:tc>
          <w:tcPr>
            <w:tcW w:w="900" w:type="dxa"/>
            <w:shd w:val="clear" w:color="auto" w:fill="auto"/>
            <w:vAlign w:val="center"/>
          </w:tcPr>
          <w:p w:rsidR="00777B42" w:rsidRPr="00F727DA" w:rsidRDefault="00777B42"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777B42" w:rsidRPr="00F727DA" w:rsidRDefault="00777B42"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777B42" w:rsidRPr="00F727DA" w:rsidRDefault="00777B42"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777B42" w:rsidRPr="00F727DA" w:rsidRDefault="00777B42"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777B42" w:rsidRPr="00777B42" w:rsidRDefault="00777B42" w:rsidP="00A87413">
            <w:pPr>
              <w:widowControl w:val="0"/>
              <w:spacing w:after="0" w:line="240" w:lineRule="auto"/>
              <w:rPr>
                <w:rFonts w:ascii="Times New Roman" w:hAnsi="Times New Roman"/>
                <w:sz w:val="18"/>
                <w:szCs w:val="18"/>
                <w:lang w:val="sq-AL"/>
              </w:rPr>
            </w:pPr>
            <w:r w:rsidRPr="00777B42">
              <w:rPr>
                <w:rFonts w:ascii="Times New Roman" w:hAnsi="Times New Roman"/>
                <w:sz w:val="18"/>
                <w:szCs w:val="18"/>
                <w:lang w:val="sq-AL"/>
              </w:rPr>
              <w:t>2. “Autoritet kompetente” janë autoritetet e përcaktuara në Rregulloren (BE) 1624/2024;</w:t>
            </w:r>
          </w:p>
        </w:tc>
        <w:tc>
          <w:tcPr>
            <w:tcW w:w="1356" w:type="dxa"/>
            <w:shd w:val="clear" w:color="auto" w:fill="auto"/>
            <w:vAlign w:val="center"/>
          </w:tcPr>
          <w:p w:rsidR="00777B42" w:rsidRPr="00F727DA" w:rsidRDefault="00777B42"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777B42" w:rsidRDefault="00777B42" w:rsidP="00A87413">
            <w:pPr>
              <w:snapToGrid w:val="0"/>
              <w:spacing w:after="0" w:line="240" w:lineRule="auto"/>
              <w:rPr>
                <w:rFonts w:ascii="Times New Roman" w:hAnsi="Times New Roman"/>
                <w:sz w:val="18"/>
                <w:szCs w:val="18"/>
              </w:rPr>
            </w:pPr>
            <w:r w:rsidRPr="00777B42">
              <w:rPr>
                <w:rFonts w:ascii="Times New Roman" w:hAnsi="Times New Roman"/>
                <w:sz w:val="18"/>
                <w:szCs w:val="18"/>
              </w:rPr>
              <w:t>Shtim  perkufizimi  AIF</w:t>
            </w:r>
          </w:p>
        </w:tc>
      </w:tr>
      <w:tr w:rsidR="005402A8" w:rsidRPr="00F727DA" w:rsidTr="00E24C86">
        <w:trPr>
          <w:trHeight w:val="578"/>
        </w:trPr>
        <w:tc>
          <w:tcPr>
            <w:tcW w:w="900" w:type="dxa"/>
            <w:shd w:val="clear" w:color="auto" w:fill="auto"/>
            <w:vAlign w:val="center"/>
          </w:tcPr>
          <w:p w:rsidR="005402A8" w:rsidRPr="00F727DA" w:rsidRDefault="005402A8"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402A8" w:rsidRPr="00F727DA" w:rsidRDefault="005402A8"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402A8" w:rsidRPr="00F727DA" w:rsidRDefault="005402A8"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402A8" w:rsidRPr="00F727DA" w:rsidRDefault="005402A8"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402A8" w:rsidRPr="005402A8" w:rsidRDefault="005402A8" w:rsidP="00A87413">
            <w:pPr>
              <w:widowControl w:val="0"/>
              <w:spacing w:after="0" w:line="240" w:lineRule="auto"/>
              <w:rPr>
                <w:rFonts w:ascii="Times New Roman" w:hAnsi="Times New Roman"/>
                <w:sz w:val="18"/>
                <w:szCs w:val="18"/>
                <w:lang w:val="sq-AL"/>
              </w:rPr>
            </w:pPr>
            <w:r w:rsidRPr="005402A8">
              <w:rPr>
                <w:rFonts w:ascii="Times New Roman" w:hAnsi="Times New Roman"/>
                <w:sz w:val="18"/>
                <w:szCs w:val="18"/>
                <w:lang w:val="sq-AL"/>
              </w:rPr>
              <w:t>9. “Shtet anëtar” është çdo shtet që sipas legjislacionit të Bashkimit Evropian në fuqi, ka statusin e shtetit anëtar të Bashkimit Evropian.</w:t>
            </w:r>
          </w:p>
        </w:tc>
        <w:tc>
          <w:tcPr>
            <w:tcW w:w="1356" w:type="dxa"/>
            <w:shd w:val="clear" w:color="auto" w:fill="auto"/>
            <w:vAlign w:val="center"/>
          </w:tcPr>
          <w:p w:rsidR="005402A8" w:rsidRPr="00F727DA" w:rsidRDefault="005402A8"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5402A8" w:rsidRPr="007022FB" w:rsidRDefault="00777B42" w:rsidP="00A87413">
            <w:pPr>
              <w:snapToGrid w:val="0"/>
              <w:spacing w:after="0" w:line="240" w:lineRule="auto"/>
              <w:rPr>
                <w:rFonts w:ascii="Times New Roman" w:hAnsi="Times New Roman"/>
                <w:sz w:val="18"/>
                <w:szCs w:val="18"/>
              </w:rPr>
            </w:pPr>
            <w:r>
              <w:rPr>
                <w:rFonts w:ascii="Times New Roman" w:hAnsi="Times New Roman"/>
                <w:sz w:val="18"/>
                <w:szCs w:val="18"/>
              </w:rPr>
              <w:t>Shtim perkufizimi  AIF</w:t>
            </w:r>
          </w:p>
        </w:tc>
      </w:tr>
      <w:tr w:rsidR="00DC4BB0" w:rsidRPr="00F727DA" w:rsidTr="00E24C86">
        <w:trPr>
          <w:trHeight w:val="578"/>
        </w:trPr>
        <w:tc>
          <w:tcPr>
            <w:tcW w:w="900" w:type="dxa"/>
            <w:shd w:val="clear" w:color="auto" w:fill="auto"/>
            <w:vAlign w:val="center"/>
          </w:tcPr>
          <w:p w:rsidR="00DC4BB0" w:rsidRPr="00F727DA" w:rsidRDefault="00DC4BB0"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DC4BB0" w:rsidRPr="00F727DA" w:rsidRDefault="00DC4BB0"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DC4BB0" w:rsidRPr="00F727DA" w:rsidRDefault="00DC4BB0"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C4BB0" w:rsidRPr="00F727DA" w:rsidRDefault="00DC4BB0"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DC4BB0" w:rsidRPr="005402A8" w:rsidRDefault="00DC4BB0" w:rsidP="00A87413">
            <w:pPr>
              <w:widowControl w:val="0"/>
              <w:spacing w:after="0" w:line="240" w:lineRule="auto"/>
              <w:rPr>
                <w:rFonts w:ascii="Times New Roman" w:hAnsi="Times New Roman"/>
                <w:sz w:val="18"/>
                <w:szCs w:val="18"/>
                <w:lang w:val="sq-AL" w:bidi="sq-AL"/>
              </w:rPr>
            </w:pPr>
            <w:r w:rsidRPr="00DC4BB0">
              <w:rPr>
                <w:rFonts w:ascii="Times New Roman" w:hAnsi="Times New Roman"/>
                <w:sz w:val="18"/>
                <w:szCs w:val="18"/>
                <w:lang w:val="sq-AL" w:bidi="sq-AL"/>
              </w:rPr>
              <w:t xml:space="preserve">15. “Vende të treta” në kuptim të këtij ligji është çdo shtet ose juridiksion që nuk është shtet anëtar i Bashkimit Evropian, përfshirë territore ose juridiksione që, sipas legjislacionit të Bashkimit Evropian, konsiderohen jashtë </w:t>
            </w:r>
            <w:r w:rsidRPr="00DC4BB0">
              <w:rPr>
                <w:rFonts w:ascii="Times New Roman" w:hAnsi="Times New Roman"/>
                <w:sz w:val="18"/>
                <w:szCs w:val="18"/>
                <w:lang w:val="sq-AL" w:bidi="sq-AL"/>
              </w:rPr>
              <w:lastRenderedPageBreak/>
              <w:t>territorit të tij.</w:t>
            </w:r>
          </w:p>
        </w:tc>
        <w:tc>
          <w:tcPr>
            <w:tcW w:w="1356" w:type="dxa"/>
            <w:shd w:val="clear" w:color="auto" w:fill="auto"/>
            <w:vAlign w:val="center"/>
          </w:tcPr>
          <w:p w:rsidR="00DC4BB0" w:rsidRPr="00F727DA" w:rsidRDefault="00DC4BB0"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DC4BB0" w:rsidRDefault="00DC4BB0" w:rsidP="00A87413">
            <w:pPr>
              <w:snapToGrid w:val="0"/>
              <w:spacing w:after="0" w:line="240" w:lineRule="auto"/>
              <w:rPr>
                <w:rFonts w:ascii="Times New Roman" w:hAnsi="Times New Roman"/>
                <w:sz w:val="18"/>
                <w:szCs w:val="18"/>
              </w:rPr>
            </w:pPr>
            <w:r w:rsidRPr="00DC4BB0">
              <w:rPr>
                <w:rFonts w:ascii="Times New Roman" w:hAnsi="Times New Roman"/>
                <w:sz w:val="18"/>
                <w:szCs w:val="18"/>
              </w:rPr>
              <w:t>Shtim perkufizimi  AIF</w:t>
            </w:r>
          </w:p>
        </w:tc>
      </w:tr>
      <w:tr w:rsidR="00B11DB5" w:rsidRPr="00F727DA" w:rsidTr="00E24C86">
        <w:trPr>
          <w:trHeight w:val="578"/>
        </w:trPr>
        <w:tc>
          <w:tcPr>
            <w:tcW w:w="14397" w:type="dxa"/>
            <w:gridSpan w:val="8"/>
            <w:shd w:val="clear" w:color="auto" w:fill="D9D9D9" w:themeFill="background1" w:themeFillShade="D9"/>
            <w:vAlign w:val="center"/>
          </w:tcPr>
          <w:p w:rsidR="00B11DB5" w:rsidRPr="00F727DA" w:rsidRDefault="00B11DB5" w:rsidP="00A87413">
            <w:pPr>
              <w:snapToGrid w:val="0"/>
              <w:spacing w:after="0" w:line="276" w:lineRule="auto"/>
              <w:rPr>
                <w:rFonts w:ascii="Times New Roman" w:hAnsi="Times New Roman"/>
                <w:b/>
                <w:color w:val="000000" w:themeColor="text1"/>
                <w:sz w:val="18"/>
                <w:szCs w:val="18"/>
              </w:rPr>
            </w:pPr>
            <w:r w:rsidRPr="00F727DA">
              <w:rPr>
                <w:rFonts w:ascii="Times New Roman" w:hAnsi="Times New Roman"/>
                <w:b/>
                <w:color w:val="000000" w:themeColor="text1"/>
                <w:sz w:val="18"/>
                <w:szCs w:val="18"/>
              </w:rPr>
              <w:t>Seksioni 2</w:t>
            </w:r>
          </w:p>
          <w:p w:rsidR="000B6142" w:rsidRPr="00F727DA" w:rsidRDefault="00B11DB5" w:rsidP="00A87413">
            <w:pPr>
              <w:pStyle w:val="NormalWeb"/>
              <w:spacing w:before="0" w:beforeAutospacing="0" w:after="0" w:afterAutospacing="0" w:line="276" w:lineRule="auto"/>
              <w:rPr>
                <w:b/>
                <w:sz w:val="18"/>
                <w:szCs w:val="18"/>
              </w:rPr>
            </w:pPr>
            <w:r w:rsidRPr="00F727DA">
              <w:rPr>
                <w:rStyle w:val="Strong"/>
                <w:sz w:val="18"/>
                <w:szCs w:val="18"/>
              </w:rPr>
              <w:t>Masat kombëtare në sektorët e ekspozuar ndaj pastrimit të parave dhe financimit të terrorizmit</w:t>
            </w:r>
          </w:p>
        </w:tc>
      </w:tr>
      <w:tr w:rsidR="000B6142" w:rsidRPr="00F727DA" w:rsidTr="00E24C86">
        <w:trPr>
          <w:trHeight w:val="578"/>
        </w:trPr>
        <w:tc>
          <w:tcPr>
            <w:tcW w:w="14397" w:type="dxa"/>
            <w:gridSpan w:val="8"/>
            <w:shd w:val="clear" w:color="auto" w:fill="D9D9D9" w:themeFill="background1" w:themeFillShade="D9"/>
            <w:vAlign w:val="center"/>
          </w:tcPr>
          <w:p w:rsidR="000B6142" w:rsidRPr="00F727DA" w:rsidRDefault="000B6142" w:rsidP="00A87413">
            <w:pPr>
              <w:snapToGrid w:val="0"/>
              <w:spacing w:after="0" w:line="240" w:lineRule="auto"/>
              <w:rPr>
                <w:rFonts w:ascii="Times New Roman" w:hAnsi="Times New Roman"/>
                <w:b/>
                <w:color w:val="000000" w:themeColor="text1"/>
                <w:sz w:val="18"/>
                <w:szCs w:val="18"/>
              </w:rPr>
            </w:pPr>
            <w:r w:rsidRPr="00F727DA">
              <w:rPr>
                <w:rFonts w:ascii="Times New Roman" w:hAnsi="Times New Roman"/>
                <w:b/>
                <w:color w:val="000000" w:themeColor="text1"/>
                <w:sz w:val="18"/>
                <w:szCs w:val="18"/>
              </w:rPr>
              <w:t>Neni 3</w:t>
            </w:r>
          </w:p>
          <w:p w:rsidR="000B6142" w:rsidRPr="00F727DA" w:rsidRDefault="000B6142" w:rsidP="00A87413">
            <w:pPr>
              <w:snapToGrid w:val="0"/>
              <w:spacing w:after="0" w:line="276" w:lineRule="auto"/>
              <w:rPr>
                <w:rFonts w:ascii="Times New Roman" w:hAnsi="Times New Roman"/>
                <w:b/>
                <w:color w:val="000000" w:themeColor="text1"/>
                <w:sz w:val="18"/>
                <w:szCs w:val="18"/>
              </w:rPr>
            </w:pPr>
            <w:r w:rsidRPr="00F727DA">
              <w:rPr>
                <w:rStyle w:val="Strong"/>
                <w:rFonts w:ascii="Times New Roman" w:hAnsi="Times New Roman"/>
                <w:sz w:val="18"/>
                <w:szCs w:val="18"/>
              </w:rPr>
              <w:t>Identifikimi i sektorëve të ekspozuar në nivel kombëtar</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shtet anëtar identifikon se krahas subjekteve të detyruara, edhe subjekte në sektorë të tjerë janë të ekspozuara ndaj rreziqeve të pastrimit të parave dhe financimit të terrorizmit, ai mund të vendosë të zbatojë plotësisht ose pjesërisht Rregulloren (BE) 2024/1624 për këto subjekte shtesë.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B32CB5">
              <w:rPr>
                <w:rFonts w:ascii="Times New Roman" w:hAnsi="Times New Roman"/>
                <w:sz w:val="18"/>
                <w:szCs w:val="18"/>
              </w:rPr>
              <w:t>4</w:t>
            </w:r>
            <w:r w:rsidRPr="00F727DA">
              <w:rPr>
                <w:rFonts w:ascii="Times New Roman" w:hAnsi="Times New Roman"/>
                <w:sz w:val="18"/>
                <w:szCs w:val="18"/>
              </w:rPr>
              <w:t xml:space="preserve"> </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Zgjerimi i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1. Kur autoritetet kompetente identifikojnë, në bazë të vlerësimit kombëtar të rrezikut, analizave sektoriale ose informacioneve të tjera të disponueshme, se përveç subjekteve të detyruara edhe subjekte të tjera ose sektorë të tjerë janë të ekspozuar ndaj rreziqeve të pastrimit të parave dhe financimit të terrorizmit, me vendim të Këshillit të Ministrave mund të vendoset zbatimi i të gjitha ose i një pjese të masave të kombetare te parashikuara në këtë ligj edhe ndaj këtyre subjekteve ose sektorëve shtesë, në përputhje me një qasje të bazuar në rrezik.</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Vendimi sipas pikës 1 të këtij neni përcakton, </w:t>
            </w:r>
            <w:r w:rsidRPr="00F727DA">
              <w:rPr>
                <w:rFonts w:ascii="Times New Roman" w:hAnsi="Times New Roman"/>
                <w:sz w:val="18"/>
                <w:szCs w:val="18"/>
              </w:rPr>
              <w:lastRenderedPageBreak/>
              <w:t>ndër të tjera:</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kategoritë e personave ose subjekteve të përfshira;</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detyrimet që zbatohen, sipas një qasjeje të bazuar në rrezik;</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c) autoritetin mbikëqyrës kompetent.</w:t>
            </w:r>
          </w:p>
        </w:tc>
        <w:tc>
          <w:tcPr>
            <w:tcW w:w="1356" w:type="dxa"/>
            <w:shd w:val="clear" w:color="auto" w:fill="auto"/>
            <w:vAlign w:val="center"/>
          </w:tcPr>
          <w:p w:rsidR="005B3659" w:rsidRPr="001E4E4E" w:rsidRDefault="005B3659" w:rsidP="00A87413">
            <w:pPr>
              <w:widowControl w:val="0"/>
              <w:snapToGrid w:val="0"/>
              <w:spacing w:after="0" w:line="240" w:lineRule="auto"/>
              <w:jc w:val="center"/>
              <w:rPr>
                <w:rFonts w:ascii="Times New Roman" w:hAnsi="Times New Roman"/>
                <w:sz w:val="18"/>
                <w:szCs w:val="18"/>
              </w:rPr>
            </w:pPr>
            <w:r w:rsidRPr="001E4E4E">
              <w:rPr>
                <w:rFonts w:ascii="Times New Roman" w:hAnsi="Times New Roman"/>
                <w:sz w:val="18"/>
                <w:szCs w:val="18"/>
              </w:rPr>
              <w:lastRenderedPageBreak/>
              <w:t>F</w:t>
            </w:r>
          </w:p>
        </w:tc>
        <w:tc>
          <w:tcPr>
            <w:tcW w:w="3324" w:type="dxa"/>
            <w:shd w:val="clear" w:color="auto" w:fill="auto"/>
            <w:vAlign w:val="center"/>
          </w:tcPr>
          <w:p w:rsidR="005B3659" w:rsidRPr="001E4E4E" w:rsidRDefault="005B3659" w:rsidP="00A87413">
            <w:pPr>
              <w:snapToGrid w:val="0"/>
              <w:spacing w:after="0" w:line="240" w:lineRule="auto"/>
              <w:rPr>
                <w:rFonts w:ascii="Times New Roman" w:hAnsi="Times New Roman"/>
                <w:color w:val="000000" w:themeColor="text1"/>
                <w:sz w:val="18"/>
                <w:szCs w:val="18"/>
              </w:rPr>
            </w:pPr>
            <w:r w:rsidRPr="001E4E4E">
              <w:rPr>
                <w:rFonts w:ascii="Times New Roman" w:hAnsi="Times New Roman"/>
                <w:color w:val="000000" w:themeColor="text1"/>
                <w:sz w:val="18"/>
                <w:szCs w:val="18"/>
              </w:rPr>
              <w:t>Ligji AML shqiptar transpozon nenin 3(1) të Direktivës (BE) 2024/1640 duke parashikuar kompetencën për zgjerimin e fushës së zbatimit të detyrimeve AML/CFT mbi bazë rreziku, pa krijuar zgjerim automatik dhe duke respektuar parimin e proporcionalitetit.</w:t>
            </w:r>
          </w:p>
          <w:p w:rsidR="005B3659" w:rsidRPr="001E4E4E" w:rsidRDefault="005B3659" w:rsidP="00A87413">
            <w:pPr>
              <w:snapToGrid w:val="0"/>
              <w:spacing w:after="0" w:line="240" w:lineRule="auto"/>
              <w:rPr>
                <w:rFonts w:ascii="Times New Roman" w:hAnsi="Times New Roman"/>
                <w:color w:val="000000" w:themeColor="text1"/>
                <w:sz w:val="18"/>
                <w:szCs w:val="18"/>
              </w:rPr>
            </w:pPr>
          </w:p>
          <w:p w:rsidR="005B3659" w:rsidRPr="001E4E4E" w:rsidRDefault="005B3659" w:rsidP="00A87413">
            <w:pPr>
              <w:snapToGrid w:val="0"/>
              <w:spacing w:after="0" w:line="240" w:lineRule="auto"/>
              <w:rPr>
                <w:rFonts w:ascii="Times New Roman" w:hAnsi="Times New Roman"/>
                <w:color w:val="000000" w:themeColor="text1"/>
                <w:sz w:val="18"/>
                <w:szCs w:val="18"/>
              </w:rPr>
            </w:pPr>
            <w:r w:rsidRPr="001E4E4E">
              <w:rPr>
                <w:rFonts w:ascii="Times New Roman" w:hAnsi="Times New Roman"/>
                <w:color w:val="000000" w:themeColor="text1"/>
                <w:sz w:val="18"/>
                <w:szCs w:val="18"/>
              </w:rPr>
              <w:t>Kjo dispozite të që i jep autoriteteve kompetente të drejtën të shtrijnë, plotësisht ose pjesërisht, zbatimin e masave AML/CFT edhe ndaj subjekteve në sektorë të tjerë, kur nga vlerësimet e riskut rezulton ekspozim i lartë ndaj rreziqeve të pastrimit të parave ose financimit të terrorizmit.</w:t>
            </w:r>
          </w:p>
          <w:p w:rsidR="005B3659" w:rsidRPr="001E4E4E" w:rsidRDefault="005B3659" w:rsidP="00A87413">
            <w:pPr>
              <w:snapToGrid w:val="0"/>
              <w:spacing w:after="0" w:line="240" w:lineRule="auto"/>
              <w:rPr>
                <w:rFonts w:ascii="Times New Roman" w:hAnsi="Times New Roman"/>
                <w:color w:val="1F4E79" w:themeColor="accent1" w:themeShade="80"/>
                <w:sz w:val="18"/>
                <w:szCs w:val="18"/>
              </w:rPr>
            </w:pPr>
          </w:p>
          <w:p w:rsidR="005B3659" w:rsidRPr="001E4E4E" w:rsidRDefault="00B32CB5" w:rsidP="00A87413">
            <w:pPr>
              <w:snapToGrid w:val="0"/>
              <w:spacing w:after="0" w:line="240" w:lineRule="auto"/>
              <w:rPr>
                <w:rFonts w:ascii="Times New Roman" w:hAnsi="Times New Roman"/>
                <w:color w:val="1F4E79" w:themeColor="accent1" w:themeShade="80"/>
                <w:sz w:val="18"/>
                <w:szCs w:val="18"/>
              </w:rPr>
            </w:pPr>
            <w:r w:rsidRPr="001E4E4E">
              <w:rPr>
                <w:rFonts w:ascii="Times New Roman" w:hAnsi="Times New Roman"/>
                <w:sz w:val="18"/>
                <w:szCs w:val="18"/>
              </w:rPr>
              <w:t>Dispozita lejon, me vendim të Këshillit të Ministrave, shtrirjen e detyrimeve për AML/CFT ndaj sektorëve shtesë, bazuar në vlerësimin kombëtar të rrezikut dhe analizat sektoriale, në përputhje me qasjen e bazuar në rrezik</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paragrafit 1, shtetet anëtare njoftojnë Komisionin për qëllimin e tyre për të zbatuar plotësisht ose pjesërisht Rregulloren (BE) 2024/1624 për subjektet e sektorëve të tjerë. Ky njoftim shoqërohet nga: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04F3A">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1. Për qëllimet e zbatimit të </w:t>
            </w:r>
            <w:r w:rsidRPr="00504F3A">
              <w:rPr>
                <w:rFonts w:ascii="Times New Roman" w:hAnsi="Times New Roman"/>
                <w:sz w:val="18"/>
                <w:szCs w:val="18"/>
              </w:rPr>
              <w:t xml:space="preserve">nenit </w:t>
            </w:r>
            <w:r w:rsidR="00504F3A" w:rsidRPr="00504F3A">
              <w:rPr>
                <w:rFonts w:ascii="Times New Roman" w:hAnsi="Times New Roman"/>
                <w:sz w:val="18"/>
                <w:szCs w:val="18"/>
              </w:rPr>
              <w:t>4</w:t>
            </w:r>
            <w:r w:rsidRPr="00504F3A">
              <w:rPr>
                <w:rFonts w:ascii="Times New Roman" w:hAnsi="Times New Roman"/>
                <w:sz w:val="18"/>
                <w:szCs w:val="18"/>
              </w:rPr>
              <w:t xml:space="preserve"> të këtij ligji </w:t>
            </w:r>
            <w:r w:rsidRPr="00F727DA">
              <w:rPr>
                <w:rFonts w:ascii="Times New Roman" w:hAnsi="Times New Roman"/>
                <w:sz w:val="18"/>
                <w:szCs w:val="18"/>
              </w:rPr>
              <w:t>para miratimit të vendimit të Këshillit të Ministrave për zgjerimin e fushës së zbatimit ndaj subjekteve ose sektorëve të tjerë, përgatitet një dokumentim i posaçëm, i cili përfshin:</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justifikimin e rreziqeve të pastrimit të parave dhe financimit të terrorizmit që mbështesin zgjerimin e fushës së zbatimit;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vlerësimin e ndikimit që zbatimi i masave do të ketë mbi ushtrimin e veprimtarisë ekonomike dhe ofrimin e shërbimeve;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c) masat dhe detyrimet e këtij ligji që do të zbatohen ndaj subjekteve ose sektorëve të </w:t>
            </w:r>
            <w:r w:rsidRPr="00F727DA">
              <w:rPr>
                <w:rFonts w:ascii="Times New Roman" w:hAnsi="Times New Roman"/>
                <w:sz w:val="18"/>
                <w:szCs w:val="18"/>
              </w:rPr>
              <w:lastRenderedPageBreak/>
              <w:t xml:space="preserve">përfshirë. </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Për qëllimet e këtij neni, masat kombëtare janë masat e parashikuara në këtë ligj, të cilat zbatohen ndaj subjekteve ose sektorëve shtesë me akt nënligjor.</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3. Dokumentimi sipas pikës 1 të këtij neni shërben si bazë për vendimmarrjen e Këshillit të Ministrave dhe i vihet në dispozicion autoriteteve kompetente, në përputhje me parimet e transparencës dhe bashkëpunimit institucional.</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Miratimi i masave kombëtare që zgjeron fushën e zbatimit sipas këtij neni shtyhet për një periudhë prej 6 muajsh, duke filluar nga data e përfundimit të procedurës paraprake të dokumentimit dhe vlerësimit mbi të cilën mbështetet vendimmarrja.</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Shtyrja e miratimit e parashikuar në paragrafin e parë të kësaj pike nuk zbatohet në rastet kur masa synon adresimin e </w:t>
            </w:r>
            <w:r w:rsidRPr="00F727DA">
              <w:rPr>
                <w:rFonts w:ascii="Times New Roman" w:hAnsi="Times New Roman"/>
                <w:sz w:val="18"/>
                <w:szCs w:val="18"/>
              </w:rPr>
              <w:lastRenderedPageBreak/>
              <w:t>një rreziku serioz dhe të menjëhershëm të pastrimit të parave ose financimit të terrorizmit; në këto raste, miratimi i masave kombëtare shoqërohet nga një justifikim i posaçëm, i cili shpjegon arsyet për moszbatimin e shtyrjes së miratimit.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5. Përpara përfundimit të periudhës së parashikuar në pikën 4 të këtij neni, masat kombëtare që parashikohen të miratohen i nënshtrohen një shqyrtimi të posaçëm nga autoritetet kompetente, të koordinuara nga Agjencia e Inteligjences Financiare në bashkëpunim me autoritetet mbikëqyrëse përkatëse, me qëllim vlerësimin nëse: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masat e propozuara janë të përshtatshme dhe të mjaftueshme për adresimin e rreziqeve të identifikuara të pastrimit të parave dhe financimit të terrorizmit;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masat e propozuara janë proporcionale dhe nuk krijojnë kufizime të </w:t>
            </w:r>
            <w:r w:rsidRPr="00F727DA">
              <w:rPr>
                <w:rFonts w:ascii="Times New Roman" w:hAnsi="Times New Roman"/>
                <w:sz w:val="18"/>
                <w:szCs w:val="18"/>
              </w:rPr>
              <w:lastRenderedPageBreak/>
              <w:t>panevojshme ose joproporcionale në ushtrimin e veprimtarisë ekonomike ose ofrimin e shërbimeve.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Shqyrtimi përmbyllet me një vlerësim të argumentuar, i cili i paraqitet Këshillit të Ministrave dhe merret në konsideratë përpara miratimit të masave kombëtare.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Këshilli i Ministrave shqyrton raportin dhe jep qëndrimin përkatës, i cili merret në konsideratë në procesin e miratimit të masave kombëtare.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7. Në rast se, pas </w:t>
            </w:r>
            <w:r w:rsidRPr="00F727DA">
              <w:rPr>
                <w:rFonts w:ascii="Times New Roman" w:hAnsi="Times New Roman"/>
                <w:sz w:val="18"/>
                <w:szCs w:val="18"/>
              </w:rPr>
              <w:lastRenderedPageBreak/>
              <w:t>shqyrtimit të posaçëm të parashikuar në pikën 5 të këtij neni, konstatohet se miratimi i masave kombëtare nuk është i përshtatshëm në këtë fazë ose se kërkohet ndërmarrja e veprimeve të tjera paraprake ose të koordinuara, Këshilli i Ministrave nuk procedon me miratimin e masave kombëtare të parashikuara sipas këtij neni.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Përjashtimisht, mosprocedimi me miratimin e masave kombëtare i parashikuar në paragrafin e parë të kësaj pike nuk zbatohet në rastet kur masat kombëtare synojnë adresimin e një rreziku serioz dhe të menjëhershëm të pastrimit të parave ose financimit të terrorizmit.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8. Në rastet kur, përpara hyrjes në fuqi të këtij ligji, janë zbatuar dispozita kombëtare për parandalimin e pastrimit të parave dhe financimit të terrorizmit edhe ndaj sektorëve ose subjekteve të tjera përveç subjekteve </w:t>
            </w:r>
            <w:r w:rsidRPr="00F727DA">
              <w:rPr>
                <w:rFonts w:ascii="Times New Roman" w:hAnsi="Times New Roman"/>
                <w:sz w:val="18"/>
                <w:szCs w:val="18"/>
              </w:rPr>
              <w:lastRenderedPageBreak/>
              <w:t>të detyruara, Këshilli i Ministrave mund të vendosë vijimin e zbatimit të të gjitha ose të një pjese të masave të parashikuara në këtë ligj ndaj këtyre sektorëve ose subjekteve.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Vendimi sipas paragrafit të parë të kësaj pike bazohet në një vlerësim të përditësuar të rrezikut, i cili justifikon ekspozimin e sektorëve ose subjekteve përkatëse ndaj rreziqeve të pastrimit të parave dhe financimit të terrorizmit.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Masat e zbatuara sipas kësaj pike i nënshtrohen shqyrtimit institucional të parashikuar në pikat 5–7 të këtij neni.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9. Sektorët ose subjektet ndaj të cilëve zbatohen masat e zgjeruara sipas këtij neni bëhen publike përmes aktit përkatës nënligjor dhe publikohen në Fletoren Zyrtare.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Default="005764F9" w:rsidP="00A87413">
            <w:pPr>
              <w:snapToGrid w:val="0"/>
              <w:spacing w:after="0" w:line="240" w:lineRule="auto"/>
              <w:rPr>
                <w:rFonts w:ascii="Times New Roman" w:hAnsi="Times New Roman"/>
                <w:sz w:val="18"/>
                <w:szCs w:val="18"/>
              </w:rPr>
            </w:pPr>
            <w:r w:rsidRPr="005764F9">
              <w:rPr>
                <w:rFonts w:ascii="Times New Roman" w:hAnsi="Times New Roman"/>
                <w:sz w:val="18"/>
                <w:szCs w:val="18"/>
              </w:rPr>
              <w:t>Neni 3(2) është transpozuar përmes një procedure kombëtare që garanton arsyetimin, vlerësimin e ndikimit, transparencën dhe dokumentimin në rast të shtrirjes së detyrimeve për AML/CFT ndaj sektorëve shtesë, e përshtatur në përputhje me statusin e Shqipërisë si vend joanëtar i BE-së</w:t>
            </w:r>
            <w:r>
              <w:rPr>
                <w:rFonts w:ascii="Times New Roman" w:hAnsi="Times New Roman"/>
                <w:sz w:val="18"/>
                <w:szCs w:val="18"/>
              </w:rPr>
              <w:t>.</w:t>
            </w:r>
          </w:p>
          <w:p w:rsidR="005764F9" w:rsidRPr="00F727DA" w:rsidRDefault="005764F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AML/CFT shqiptar është hartuar në mënyrë future-proof: ai replikon tashmë garancitë procedurale të nenit 3 të Direktivës (BE) 2024/1640, ndërsa pas anëtarësimit do të kërkojë vetëm përshtatje terminologjike për njoftimin formal të Komisionit dhe AMLA-s.</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Dispozitat e nenit 3(2)–(4) të Direktivës (BE) 2024/1640 janë transpozuar në ligjin AML/CFT shqiptar në mënyrë funksionale, përmes procedurave të brendshme që sigurojnë justifikim mbi bazë rreziku, vlerësim ndikimi dhe një periudhë reflektimi përpara miratimit të masave, duke ruajtur garancitë thelbësore të Direktivës. </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i/>
                <w:sz w:val="18"/>
                <w:szCs w:val="18"/>
              </w:rPr>
              <w:t xml:space="preserve">Ligji AML përmban një klauzolë tranzitore që siguron zbatimin automatik të acquis </w:t>
            </w:r>
            <w:r w:rsidRPr="00F727DA">
              <w:rPr>
                <w:rFonts w:ascii="Times New Roman" w:hAnsi="Times New Roman"/>
                <w:i/>
                <w:sz w:val="18"/>
                <w:szCs w:val="18"/>
              </w:rPr>
              <w:lastRenderedPageBreak/>
              <w:t>AML/CFT në ditën e anëtarësimit të Shqipërisë në Bashkimin Evropian, duke shmangur nevojën për ndryshime të menjëhershme legjislative</w:t>
            </w:r>
            <w:r w:rsidRPr="00F727DA">
              <w:rPr>
                <w:rFonts w:ascii="Times New Roman" w:hAnsi="Times New Roman"/>
                <w:sz w:val="18"/>
                <w:szCs w:val="18"/>
              </w:rPr>
              <w:t>.</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KLAUZOLË TRANZITORE – ANËTARËSIMI NË BE</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Neni …</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Zbatimi pas anëtarësimit të Republikës së Shqipërisë në Bashkimin Evropian</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Me anëtarësimin e Republikës së Shqipërisë në Bashkimin Evropian, dispozitat e këtij ligji interpretohen dhe zbatohen në përputhje me aktet detyruese të së drejtës së Bashkimit Evropian në fushën e parandalimit të pastrimit të parave dhe financimit të terrorizmit, përfshirë Direktivën (BE) 2024/1640 dhe rregulloret përkatëse të Bashkimit Evropian.</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Në veçanti, procedurat e parashikuara në këtë ligj që lidhen me:</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a) zgjerimin e fushës së zbatimit të detyrimeve AML/CFT;</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b) njoftimin dhe transparencën e masave kombëtare;</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c) periudhat e reflektimit ose shtyrjes së miratimit të masave;</w:t>
            </w:r>
          </w:p>
          <w:p w:rsidR="005B3659" w:rsidRPr="00F727DA" w:rsidRDefault="005B3659" w:rsidP="00A87413">
            <w:pPr>
              <w:snapToGrid w:val="0"/>
              <w:spacing w:after="0" w:line="240" w:lineRule="auto"/>
              <w:rPr>
                <w:rFonts w:ascii="Times New Roman" w:hAnsi="Times New Roman"/>
                <w:i/>
                <w:sz w:val="18"/>
                <w:szCs w:val="18"/>
              </w:rPr>
            </w:pPr>
            <w:r w:rsidRPr="00F727DA">
              <w:rPr>
                <w:rFonts w:ascii="Times New Roman" w:hAnsi="Times New Roman"/>
                <w:i/>
                <w:sz w:val="18"/>
                <w:szCs w:val="18"/>
              </w:rPr>
              <w:t>zbatohen, pas anëtarësimit, në përputhje me procedurat dhe afatet e përcaktuara nga e drejta e Bashkimit Evropian, pa qenë e nevojshme ndërhyrje e menjëhershme legjislative.</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i/>
                <w:sz w:val="18"/>
                <w:szCs w:val="18"/>
              </w:rPr>
              <w:t>Autoritetet kompetente marrin masat e nevojshme administrative dhe rregullatore për të siguruar zbatimin efektiv të këtij neni.</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justifikim i rreziqeve të pastrimit të parave dhe financimit të terrorizmit që mbështet këtë synim;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justifikimin e rreziqeve të pastrimit të parave dhe financimit të terrorizmit që mbështesin zgjerimin e fushës së zbatimit;</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i ndikimit që do të ketë ky zbatim në ofrimin e shërbimeve brenda tregut të brendshëm;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vlerësimin e ndikimit që zbatimi i masave do të ketë mbi ushtrimin e veprimtarisë ekonomike dhe ofrimin e shërbimeve;</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Rregullores (BE) 2024/1624 që shteti anëtar synon të zbatojë për këto subjekte;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masat dhe detyrimet e këtij ligji që do të zbatohen ndaj subjekteve ose sektorëve të përfshirë.</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3(2)(d)</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teksti i projektmasave kombëtare, si dhe çdo përditësim i tyre kur shteti anëtar ka ndryshuar ndjeshëm fushën e zbatimit, përmbajtjen ose zbatimin e këtyre masave të njoftuara.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rsidR="005B3659" w:rsidRPr="00F727DA" w:rsidRDefault="005B3659"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5764F9" w:rsidP="00A87413">
            <w:pPr>
              <w:snapToGrid w:val="0"/>
              <w:spacing w:after="0" w:line="240" w:lineRule="auto"/>
              <w:rPr>
                <w:rFonts w:ascii="Times New Roman" w:hAnsi="Times New Roman"/>
                <w:sz w:val="18"/>
                <w:szCs w:val="18"/>
              </w:rPr>
            </w:pPr>
            <w:r w:rsidRPr="005764F9">
              <w:rPr>
                <w:rFonts w:ascii="Times New Roman" w:hAnsi="Times New Roman"/>
                <w:sz w:val="18"/>
                <w:szCs w:val="18"/>
              </w:rPr>
              <w:t>N/A. Pika (d) ka të bëjë me transmetimin e projekt-masave kombëtare dhe përditësimeve të tyre pranë Komisionit Evropian përpara miratimit. Meqenëse Shqipëria nuk është shtet anëtar i BE-së, nuk ekziston një procedurë njoftimi ndaj Komisionit. Elementet përgatitore (arsyetimi mbi bazën e rrezikut, vlerësimi i ndikimit dhe përcaktimi i fushës së masave) trajtohen brenda procesit kombëtar të vendimmarrjes përpara miratimit të akteve nënligjore.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shtyjnë miratimin e masave kombëtare për 6 muaj nga data e njoftimit të përmendur në paragrafin 2.</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Shtyrja e përmendur në nënparagrafin e parë të këtij paragrafi nuk zbatohet në rastet kur masa kombëtare synon të adresojë një kërcënim serioz dhe ekzistues të pastrimit të parave ose financimit të terrorizmit. Në këtë rast, njoftimi i përmendur në paragrafin 2 shoqërohet me një justifikim se përse shteti anëtar nuk do ta shtyjë miratimin e tij.</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764F9">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Miratimi i masave kombëtare që zgjeron fushën e zbatimit sipas këtij neni shtyhet për një periudhë prej 6 muajsh, duke filluar nga data e përfundimit të procedurës paraprake të dokumentimit dhe vlerësimit mbi të cilën mbështetet vendimmarrja.</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Shtyrja e miratimit e parashikuar në paragrafin e parë të kësaj pike nuk zbatohet në rastet kur masa synon adresimin e një rreziku serioz dhe të menjëhershëm të pastrimit të parave ose financimit të terrorizmit; në këto raste, miratimi i masave kombëtare shoqërohet nga një justifikim i posaçëm, i cili shpjegon arsyet për moszbatimin e shtyrjes së miratimit.</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Pika 4 eshte shtuar ne </w:t>
            </w:r>
            <w:r w:rsidRPr="005764F9">
              <w:rPr>
                <w:rFonts w:ascii="Times New Roman" w:hAnsi="Times New Roman"/>
                <w:sz w:val="18"/>
                <w:szCs w:val="18"/>
              </w:rPr>
              <w:t xml:space="preserve">nenin </w:t>
            </w:r>
            <w:r w:rsidR="005764F9">
              <w:rPr>
                <w:rFonts w:ascii="Times New Roman" w:hAnsi="Times New Roman"/>
                <w:sz w:val="18"/>
                <w:szCs w:val="18"/>
              </w:rPr>
              <w:t>5</w:t>
            </w:r>
            <w:r w:rsidRPr="00F727DA">
              <w:rPr>
                <w:rFonts w:ascii="Times New Roman" w:hAnsi="Times New Roman"/>
                <w:sz w:val="18"/>
                <w:szCs w:val="18"/>
              </w:rPr>
              <w:t xml:space="preserve"> “Procedura për zgjerimin e fushës së zbatimit” me qellim transpozimin e plote te pikes 3(3) te direktives si dhe reflektimin e statusti te Shqiperise si vend ende jo anetar.</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8C5838" w:rsidP="00A87413">
            <w:pPr>
              <w:snapToGrid w:val="0"/>
              <w:spacing w:after="0" w:line="240" w:lineRule="auto"/>
              <w:rPr>
                <w:rFonts w:ascii="Times New Roman" w:hAnsi="Times New Roman"/>
                <w:sz w:val="18"/>
                <w:szCs w:val="18"/>
              </w:rPr>
            </w:pPr>
            <w:r w:rsidRPr="008C5838">
              <w:rPr>
                <w:rFonts w:ascii="Times New Roman" w:hAnsi="Times New Roman"/>
                <w:sz w:val="18"/>
                <w:szCs w:val="18"/>
              </w:rPr>
              <w:t xml:space="preserve">Neni 3(3) është transpozuar si dispozitë e veçantë, duke parashikuar shtyrjen e miratimit të masave kombëtare për një periudhë prej gjashtë muajsh, me një përjashtim të përcaktuar qartë dhe të </w:t>
            </w:r>
            <w:r w:rsidRPr="008C5838">
              <w:rPr>
                <w:rFonts w:ascii="Times New Roman" w:hAnsi="Times New Roman"/>
                <w:sz w:val="18"/>
                <w:szCs w:val="18"/>
              </w:rPr>
              <w:lastRenderedPageBreak/>
              <w:t>arsyetuar për rastet e kërcënimeve serioze dhe të menjëhershme për pastrim parash apo financim të terrorizmit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Para përfundimit të periudhës së përmendur në paragrafin 3, Komisioni, pasi është konsultuar me Autoritetin për Luftën Kundër Pastrimit të Parave dhe Financimit të Terrorizmit, të ngritur në bazë të Rregullores (BE) 2024/1620 (AMLA), nxjerr një opinion të detajuar që ka të bëjë me faktin nëse masa e parashikuar: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5. Përpara përfundimit të periudhës së parashikuar në pikën 4 të këtij neni, masat kombëtare që parashikohen të miratohen i nënshtrohen një shqyrtimi të posaçëm nga autoritetet kompetente, të koordinuara nga Agjencia e Inteligjences Financiare në bashkëpunim me autoritetet mbikëqyrëse përkatëse, me qëllim vlerësimin nëse: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 masat e propozuara janë të përshtatshme dhe të mjaftueshme për adresimin e rreziqeve të identifikuara të pastrimit </w:t>
            </w:r>
            <w:r w:rsidRPr="00F727DA">
              <w:rPr>
                <w:rFonts w:ascii="Times New Roman" w:hAnsi="Times New Roman"/>
                <w:sz w:val="18"/>
                <w:szCs w:val="18"/>
              </w:rPr>
              <w:lastRenderedPageBreak/>
              <w:t>të parave dhe financimit të terrorizmit;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masat e propozuara janë proporcionale dhe nuk krijojnë kufizime të panevojshme ose joproporcionale në ushtrimin e veprimtarisë ekonomike ose ofrimin e shërbimeve.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Shqyrtimi përmbyllet me një vlerësim të argumentuar, i cili i paraqitet Këshillit të Ministrave dhe merret në konsideratë përpara miratimit të masave kombëtare.</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Pika 5 eshte shtuar ne </w:t>
            </w:r>
            <w:r w:rsidRPr="008C5838">
              <w:rPr>
                <w:rFonts w:ascii="Times New Roman" w:hAnsi="Times New Roman"/>
                <w:sz w:val="18"/>
                <w:szCs w:val="18"/>
              </w:rPr>
              <w:t xml:space="preserve">nenin </w:t>
            </w:r>
            <w:r w:rsidR="008C5838">
              <w:rPr>
                <w:rFonts w:ascii="Times New Roman" w:hAnsi="Times New Roman"/>
                <w:sz w:val="18"/>
                <w:szCs w:val="18"/>
              </w:rPr>
              <w:t>5</w:t>
            </w:r>
            <w:r w:rsidRPr="00F727DA">
              <w:rPr>
                <w:rFonts w:ascii="Times New Roman" w:hAnsi="Times New Roman"/>
                <w:sz w:val="18"/>
                <w:szCs w:val="18"/>
              </w:rPr>
              <w:t xml:space="preserve"> “Procedura për zgjerimin e fushës së zbatimit” me qellim transpozimin e plote te pikes 3(3) te direktives si dhe reflektimin e statusti te Shqiperise si vend ende jo anetar.</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8C5838" w:rsidP="00A87413">
            <w:pPr>
              <w:snapToGrid w:val="0"/>
              <w:spacing w:after="0" w:line="240" w:lineRule="auto"/>
              <w:rPr>
                <w:rFonts w:ascii="Times New Roman" w:hAnsi="Times New Roman"/>
                <w:sz w:val="18"/>
                <w:szCs w:val="18"/>
              </w:rPr>
            </w:pPr>
            <w:r w:rsidRPr="008C5838">
              <w:rPr>
                <w:rFonts w:ascii="Times New Roman" w:hAnsi="Times New Roman"/>
                <w:sz w:val="18"/>
                <w:szCs w:val="18"/>
              </w:rPr>
              <w:t>Neni 3(4) është transpozuar përmes vendosjes së një rishikimi institucional në nivel kombëtar, të koordinuar nga FIU/AIF, i cili vlerëson përshtatshmërinë dhe proporcionalitetin e masave të parashikuara përpara miratimit të tyre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(4)(a)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e përshtatshme për të adresuar rreziqet e identifikuara, veçanërisht për sa i përket faktit nëse rreziqet e identifikuara nga shteti anëtar kanë të bëjnë me tregun e brendshëm;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masat e propozuara janë të përshtatshme dhe të mjaftueshme për adresimin e rreziqeve të identifikuara të pastrimit të parave dhe financimit të terrorizmit;</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mund të krijojë pengesa për lëvizjen e lirë të shërbimeve ose të kapitalit ose për lirinë e vendosjes së ofruesve të shërbimeve në tregun e brendshëm, të cilat janë joproporcionale me rreziqet e pastrimit të parave dhe të financimit të terrorizmit që masa synon të zbusë.</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Opinioni i detajuar i përmendur në nënparagrafin e parë cilëson gjithashtu nëse Komisioni synon të propozojë masa në nivel BE-je.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masat e propozuara janë proporcionale dhe nuk krijojnë kufizime të panevojshme ose joproporcionale në ushtrimin e veprimtarisë ekonomike ose ofrimin e shërbimeve.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Shqyrtimi përmbyllet me një vlerësim të argumentuar, i cili i </w:t>
            </w:r>
            <w:r w:rsidRPr="00F727DA">
              <w:rPr>
                <w:rFonts w:ascii="Times New Roman" w:hAnsi="Times New Roman"/>
                <w:sz w:val="18"/>
                <w:szCs w:val="18"/>
              </w:rPr>
              <w:lastRenderedPageBreak/>
              <w:t>paraqitet Këshillit të Ministrave dhe merret në konsideratë përpara miratimit të masave kombëtare.</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Komisioni nuk e konsideron të përshtatshme të propozojë masa në nivel BE-je, shteti anëtar në fjalë, brenda 2 muajve nga marrja e opinionit të detajuar të përmendur në paragrafin 4, i raporton Komisionit për masën që propozon lidhur me të. Komisioni komenton masën e propozuar nga shteti anëtar.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Këshilli i Ministrave shqyrton raportin dhe jep qëndrimin përkatës, i cili merret në konsideratë në procesin e miratimit të masave kombëtare.</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8C5838" w:rsidP="00A87413">
            <w:pPr>
              <w:snapToGrid w:val="0"/>
              <w:spacing w:after="0" w:line="240" w:lineRule="auto"/>
              <w:rPr>
                <w:rFonts w:ascii="Times New Roman" w:hAnsi="Times New Roman"/>
                <w:sz w:val="18"/>
                <w:szCs w:val="18"/>
              </w:rPr>
            </w:pPr>
            <w:r w:rsidRPr="008C5838">
              <w:rPr>
                <w:rFonts w:ascii="Times New Roman" w:hAnsi="Times New Roman"/>
                <w:sz w:val="18"/>
                <w:szCs w:val="18"/>
              </w:rPr>
              <w:t>Neni 3(5) është transpozuar përmes një mekanizmi kombëtar ndjekjeje, i cili kërkon hartimin e një raporti të arsyetuar dhe dhënien e feedback-ut brenda një afati dy-mujor pas përfundimit të rishikimit institucional.</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Komisioni cilëson qëllimin e tij për të propozuar masa në nivel BE-je në përputhje me paragrafin 4, nënparagrafi i dytë, shteti anëtar në fjalë nuk i miraton masat kombëtare të përmendura në paragrafin 2, germa "d," me përjashtim të rasteve kur këto masa kombëtare synojnë të adresojnë një kërcënim serioz dhe ekzistues të pastrimit të parave ose financimit të terrorizmit.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7. Në rast se, pas shqyrtimit të posaçëm të parashikuar në pikën 5 të këtij neni, konstatohet se miratimi i masave kombëtare nuk është i përshtatshëm në këtë fazë ose se kërkohet ndërmarrja e veprimeve </w:t>
            </w:r>
            <w:r w:rsidRPr="00F727DA">
              <w:rPr>
                <w:rFonts w:ascii="Times New Roman" w:hAnsi="Times New Roman"/>
                <w:sz w:val="18"/>
                <w:szCs w:val="18"/>
              </w:rPr>
              <w:lastRenderedPageBreak/>
              <w:t>të tjera paraprake ose të koordinuara, Këshilli i Ministrave nuk procedon me miratimin e masave kombëtare të parashikuara sipas këtij neni.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Përjashtimisht, mosprocedimi me miratimin e masave kombëtare i parashikuar në paragrafin e parë të kësaj pike nuk zbatohet në rastet kur masat kombëtare synojnë adresimin e një rreziku serioz dhe të menjëhershëm të pastrimit të parave ose financimit të terrorizmit.</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8C5838" w:rsidP="00A87413">
            <w:pPr>
              <w:snapToGrid w:val="0"/>
              <w:spacing w:after="0" w:line="240" w:lineRule="auto"/>
              <w:rPr>
                <w:rFonts w:ascii="Times New Roman" w:hAnsi="Times New Roman"/>
                <w:sz w:val="18"/>
                <w:szCs w:val="18"/>
              </w:rPr>
            </w:pPr>
            <w:r w:rsidRPr="008C5838">
              <w:rPr>
                <w:rFonts w:ascii="Times New Roman" w:hAnsi="Times New Roman"/>
                <w:sz w:val="18"/>
                <w:szCs w:val="18"/>
              </w:rPr>
              <w:t>Neni 3(6) është transpozuar duke parashikuar që Këshilli i Ministrave të mos vijojë me miratimin e masave kombëtare në rastet kur kërkohet veprim i mëtejshëm i koordinuar, me një përjashtim për situatat që paraqesin kërcënime serioze dhe të menjëhershme për pastrimin e parave apo financimin e terrorizmit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më 9 korrik 2024, shtetet anëtare i kanë zbatuar tashmë dispozitat kombëtare që transpozojnë Direktivën (BE) 2015/849 në sektorë të tjerë përveç subjekteve të detyruara, ato mund të zbatojnë plotësisht ose pjesërisht Rregulloren (BE) 2024/1624 për këta sektorë.</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Deri më 10 janar 2028, shtetet anëtare njoftojnë Komisionin për sektorët e identifikuar në nivel kombëtar në përputhje me nënparagrafin e parë të këtij paragrafi, për të cilët zbatohen kërkesat e Rregullores (BE) 2024/1624, shoqëruar me një justifikim të ekspozimit të këtyre sektorëve ndaj rreziqeve të pastrimit të parave dhe financimit të terrorizmit. Brenda 6 muajve nga ky njoftim, Komisioni, pasi të jetë </w:t>
            </w:r>
            <w:r w:rsidRPr="00F727DA">
              <w:rPr>
                <w:rFonts w:ascii="Times New Roman" w:hAnsi="Times New Roman"/>
                <w:sz w:val="18"/>
                <w:szCs w:val="18"/>
                <w:lang w:eastAsia="sq-AL" w:bidi="sq-AL"/>
              </w:rPr>
              <w:lastRenderedPageBreak/>
              <w:t>konsultuar me AMLA-n, do të nxjerrë një opinion të detajuar në përputhje me paragrafin 4. Kur Komisioni e konsideron të papërshtatshme të propozojë masa në nivel BE-je, zbatohet paragrafi 5.</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subjekteve.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Vendimi sipas paragrafit të parë të kësaj pike bazohet në një vlerësim të përditësuar të rrezikut, i cili justifikon ekspozimin e sektorëve ose subjekteve përkatëse ndaj rreziqeve të pastrimit të parave dhe financimit të terrorizmit.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Masat e zbatuara sipas kësaj pike i nënshtrohen shqyrtimit institucional të parashikuar në pikat 5–7 të këtij neni.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8C5838" w:rsidP="00A87413">
            <w:pPr>
              <w:snapToGrid w:val="0"/>
              <w:spacing w:after="0" w:line="240" w:lineRule="auto"/>
              <w:rPr>
                <w:rFonts w:ascii="Times New Roman" w:hAnsi="Times New Roman"/>
                <w:sz w:val="18"/>
                <w:szCs w:val="18"/>
              </w:rPr>
            </w:pPr>
            <w:r w:rsidRPr="008C5838">
              <w:rPr>
                <w:rFonts w:ascii="Times New Roman" w:hAnsi="Times New Roman"/>
                <w:sz w:val="18"/>
                <w:szCs w:val="18"/>
              </w:rPr>
              <w:t>Neni 3(7) është transpozuar duke garantuar vazhdimësinë e masave ekzistuese kombëtare për AML/CFT të zbatuara ndaj sektorëve shtesë, në varësi të një rivlerësimi të bazuar në rrezik dhe të mekanizmit kombëtar të rishikimit institucional, të përshtatur në përputhje me statusin e Shqipërisë si vend joanëtar i BE-së.</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dhe çdo vit pas kësaj, Komisioni publikon një listë të konsoliduar të sektorëve për të cilët shtetet anëtare kanë vendosur të zbatojnë plotësisht ose pjesërisht Rregulloren (BE) 2024/1624 në Gazetën Zyrtare të Bashkimit Evropian.</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E23A58">
              <w:rPr>
                <w:rFonts w:ascii="Times New Roman" w:hAnsi="Times New Roman"/>
                <w:sz w:val="18"/>
                <w:szCs w:val="18"/>
              </w:rPr>
              <w:t>5</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9. Sektorët ose subjektet ndaj të cilëve zbatohen masat e zgjeruara sipas këtij neni bëhen publike përmes aktit përkatës nënligjor dhe publikohen në Fletoren Zyrtare.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85364" w:rsidP="00A87413">
            <w:pPr>
              <w:snapToGrid w:val="0"/>
              <w:spacing w:after="0" w:line="240" w:lineRule="auto"/>
              <w:rPr>
                <w:rFonts w:ascii="Times New Roman" w:hAnsi="Times New Roman"/>
                <w:sz w:val="18"/>
                <w:szCs w:val="18"/>
              </w:rPr>
            </w:pPr>
            <w:r w:rsidRPr="00585364">
              <w:rPr>
                <w:rFonts w:ascii="Times New Roman" w:hAnsi="Times New Roman"/>
                <w:sz w:val="18"/>
                <w:szCs w:val="18"/>
              </w:rPr>
              <w:t>Neni 3(7) është transpozuar duke garantuar vazhdimësinë e masave ekzistuese kombëtare për AML/CFT të zbatuara ndaj sektorëve shtesë, në varësi të një rivlerësimi të bazuar në rrezik dhe të mekanizmit kombëtar të rishikimit institucional, të përshtatur në përputhje me statusin e Shqipërisë si vend joanëtar i BE-së</w:t>
            </w:r>
          </w:p>
        </w:tc>
      </w:tr>
      <w:tr w:rsidR="000B6142" w:rsidRPr="00F727DA" w:rsidTr="00E24C86">
        <w:trPr>
          <w:trHeight w:val="578"/>
        </w:trPr>
        <w:tc>
          <w:tcPr>
            <w:tcW w:w="14397" w:type="dxa"/>
            <w:gridSpan w:val="8"/>
            <w:shd w:val="clear" w:color="auto" w:fill="D9D9D9" w:themeFill="background1" w:themeFillShade="D9"/>
            <w:vAlign w:val="center"/>
          </w:tcPr>
          <w:p w:rsidR="000B6142" w:rsidRPr="00F727DA" w:rsidRDefault="001149A8"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4</w:t>
            </w:r>
          </w:p>
          <w:p w:rsidR="001149A8" w:rsidRPr="00F727DA" w:rsidRDefault="001149A8" w:rsidP="00A87413">
            <w:pPr>
              <w:snapToGrid w:val="0"/>
              <w:spacing w:after="0" w:line="240" w:lineRule="auto"/>
              <w:rPr>
                <w:rFonts w:ascii="Times New Roman" w:hAnsi="Times New Roman"/>
                <w:color w:val="C00000"/>
                <w:sz w:val="18"/>
                <w:szCs w:val="18"/>
              </w:rPr>
            </w:pPr>
            <w:r w:rsidRPr="00F727DA">
              <w:rPr>
                <w:rStyle w:val="Strong"/>
                <w:rFonts w:ascii="Times New Roman" w:hAnsi="Times New Roman"/>
                <w:sz w:val="18"/>
                <w:szCs w:val="18"/>
              </w:rPr>
              <w:t>Kërkesat në lidhje me ofrues të caktuar të shërbimeve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pikat e këmbimit valutor dhe të arkëtimit të çeqeve, si dhe ofruesit e shërbimeve për trustet ose shoqëritë, të jenë të licencuara ose të regjistruara.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85364">
              <w:rPr>
                <w:rFonts w:ascii="Times New Roman" w:hAnsi="Times New Roman"/>
                <w:sz w:val="18"/>
                <w:szCs w:val="18"/>
              </w:rPr>
              <w:t>6</w:t>
            </w:r>
          </w:p>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Kërkesa lidhur me disa ofrues shërbimesh</w:t>
            </w: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1. Zyrat e këmbimit valutor, si dhe institucionet e kreditit që ushtrojnë veprimtari të arkëtimit të çeqeve, i nënshtrohen licencimit dhe mbikëqyrjes nga Banka e Shqipërisë, në përputhje me kuadrin ligjor në fuqi.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Ofrimi i shërbimeve </w:t>
            </w:r>
            <w:r w:rsidRPr="00F727DA">
              <w:rPr>
                <w:rFonts w:ascii="Times New Roman" w:hAnsi="Times New Roman"/>
                <w:sz w:val="18"/>
                <w:szCs w:val="18"/>
              </w:rPr>
              <w:lastRenderedPageBreak/>
              <w:t>për themelimin, administrimin ose ndryshimin e shoqërive tregtare kryhet nga profesionistë ose subjekte të rregulluara dhe të regjistruara apo të licencuara sipas legjislacionit në fuqi, të cilat janë të identifikueshme nga autoritetet mbikëqyrëse kompetente.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3F1740" w:rsidRPr="003F1740" w:rsidRDefault="003F1740" w:rsidP="00A87413">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Zyrat e këmbimit valutor licencohen dhe mbikëqyren nga Banka e Shqipërisë. Shërbimet e arkëtimit të çeqeve ofrohen nga institucionet e kreditit, të cilat, sipas kuadrit ligjor shqiptar, korrespondojnë me bankat e licencuara dhe të mbikëqyrura nga Banka e Shqipërisë.</w:t>
            </w:r>
          </w:p>
          <w:p w:rsidR="003F1740" w:rsidRPr="003F1740" w:rsidRDefault="003F1740" w:rsidP="00A87413">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 xml:space="preserve">Trustet nuk njihen si institut juridik në të drejtën shqiptare; për rrjedhojë, neni 4(1) është transpozuar në lidhje me shërbimet që lidhen me shoqëritë, në masën që këto </w:t>
            </w:r>
            <w:r w:rsidRPr="003F1740">
              <w:rPr>
                <w:rFonts w:ascii="Times New Roman" w:hAnsi="Times New Roman"/>
                <w:bCs/>
                <w:sz w:val="18"/>
                <w:szCs w:val="18"/>
                <w:lang w:val="en-US"/>
              </w:rPr>
              <w:lastRenderedPageBreak/>
              <w:t>shërbime ekzistojnë sipas legjislacionit kombëtar dhe ofrohen nga profesionistë të rregulluar dhe të regjistruar.</w:t>
            </w:r>
          </w:p>
          <w:p w:rsidR="003F1740" w:rsidRPr="003F1740" w:rsidRDefault="003F1740" w:rsidP="00A87413">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Në Shqipëri, shërbimet që lidhen me shoqëritë ofrohen nga profesionistë të rregulluar, si noterë, avokatë dhe kontabilistë, të cilët janë të licencuar ose të regjistruar sipas legjislacionit kombëtar dhe tashmë i nënshtrohen detyrimeve për AML/CFT</w:t>
            </w:r>
          </w:p>
          <w:p w:rsidR="005B3659" w:rsidRPr="003F1740"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të gjithë ofruesit e shërbimeve të lojërave të fatit të jenë të rregulluar.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3. </w:t>
            </w:r>
            <w:r w:rsidRPr="00F727DA">
              <w:rPr>
                <w:sz w:val="18"/>
                <w:szCs w:val="18"/>
              </w:rPr>
              <w:t xml:space="preserve">  </w:t>
            </w:r>
            <w:r w:rsidRPr="00F727DA">
              <w:rPr>
                <w:rFonts w:ascii="Times New Roman" w:hAnsi="Times New Roman"/>
                <w:sz w:val="18"/>
                <w:szCs w:val="18"/>
              </w:rPr>
              <w:t>Ofruesit e shërbimeve të lojërave të fatit i nënshtrohen rregullimit sipas legjislacionit në fuqi për lojërat e fatit.</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C74DF1" w:rsidP="00A87413">
            <w:pPr>
              <w:snapToGrid w:val="0"/>
              <w:spacing w:after="0" w:line="240" w:lineRule="auto"/>
              <w:rPr>
                <w:rFonts w:ascii="Times New Roman" w:hAnsi="Times New Roman"/>
                <w:sz w:val="18"/>
                <w:szCs w:val="18"/>
              </w:rPr>
            </w:pPr>
            <w:r w:rsidRPr="00C74DF1">
              <w:rPr>
                <w:rFonts w:ascii="Times New Roman" w:hAnsi="Times New Roman"/>
                <w:sz w:val="18"/>
                <w:szCs w:val="18"/>
              </w:rPr>
              <w:t>Ofruesit e shërbimeve të lojërave të fatit i nënshtrohen regjimit të licencimit, mbikëqyrjes dhe kontrollit sipas kuadrit ligjor kombëtar që rregullon lojërat e fatit, ligji nr. 155/2015, i ndryshuar.</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e detyruara të ndryshme nga ato të përmendura në paragrafët 1 dhe 2, t'u nënshtrohen kërkesave minimale të regjistrimit të cilat u mundësojnë mbikëqyrësve t'i identifikojnë ato.</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Nënparagrafi i parë nuk zbatohet kur subjektet e detyruara të ndryshme nga ato të përmendura në paragrafin 1 dhe 2 u nënshtrohen kërkesave për licencim ose regjistrim në bazë të akteve të tjera ligjore të BE-së, ose rregullave kombëtare që rregullojnë aksesin në profesion ose që e kushtëzojnë këtë të fundit në bazë të kërkesave për licencim ose regjistrim të cilat u mundësojnë mbikëqyrësve t'i identifikojnë.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C74DF1">
              <w:rPr>
                <w:rFonts w:ascii="Times New Roman" w:hAnsi="Times New Roman"/>
                <w:sz w:val="18"/>
                <w:szCs w:val="18"/>
              </w:rPr>
              <w:t>7</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Regjistrimi minimal i subjekteve të detyruara</w:t>
            </w:r>
          </w:p>
          <w:p w:rsidR="005B3659" w:rsidRPr="00F727DA" w:rsidRDefault="005B3659" w:rsidP="00A87413">
            <w:pPr>
              <w:widowControl w:val="0"/>
              <w:snapToGrid w:val="0"/>
              <w:spacing w:after="0" w:line="240" w:lineRule="auto"/>
              <w:rPr>
                <w:rFonts w:ascii="Times New Roman" w:hAnsi="Times New Roman"/>
                <w:b/>
                <w:sz w:val="18"/>
                <w:szCs w:val="18"/>
              </w:rPr>
            </w:pPr>
          </w:p>
        </w:tc>
        <w:tc>
          <w:tcPr>
            <w:tcW w:w="2064" w:type="dxa"/>
            <w:shd w:val="clear" w:color="auto" w:fill="auto"/>
            <w:vAlign w:val="center"/>
          </w:tcPr>
          <w:p w:rsidR="00C74DF1" w:rsidRPr="00C74DF1" w:rsidRDefault="005B3659"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rPr>
              <w:t xml:space="preserve">1. </w:t>
            </w:r>
            <w:r w:rsidR="00C74DF1" w:rsidRPr="00C74DF1">
              <w:rPr>
                <w:rFonts w:ascii="Times New Roman" w:eastAsiaTheme="minorHAnsi" w:hAnsi="Times New Roman"/>
                <w:sz w:val="24"/>
                <w:szCs w:val="24"/>
                <w:lang w:val="sq-AL" w:eastAsia="en-US"/>
              </w:rPr>
              <w:t xml:space="preserve"> </w:t>
            </w:r>
            <w:r w:rsidR="00C74DF1" w:rsidRPr="00C74DF1">
              <w:rPr>
                <w:rFonts w:ascii="Times New Roman" w:hAnsi="Times New Roman"/>
                <w:sz w:val="18"/>
                <w:szCs w:val="18"/>
                <w:lang w:val="sq-AL"/>
              </w:rPr>
              <w:t>Subjektet e detyruara, të ndryshme nga ato të parashikuara në nenin 6 të këtij ligji, i nënshtrohen kërkesave minimale të regjistrimit, të cilat u mundësojnë autoriteteve mbikëqyrëse kompetente identifikimin e tyre.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Kërkesat minimale të regjistrimit sipas pikës 1 të këtij neni nuk zbatohen për subjektet e detyruara që:</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 janë të licencuara ose të regjistruara në bazë të legjislacionit tjetër në </w:t>
            </w:r>
            <w:r w:rsidRPr="00F727DA">
              <w:rPr>
                <w:rFonts w:ascii="Times New Roman" w:hAnsi="Times New Roman"/>
                <w:sz w:val="18"/>
                <w:szCs w:val="18"/>
              </w:rPr>
              <w:lastRenderedPageBreak/>
              <w:t>fuqi; ose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i nënshtrohen rregullave që kushtëzojnë aksesin në profesion ose ushtrimin e veprimtarisë me licencim ose regjistrim, të cilat u mundësojnë autoriteteve mbikëqyrëse kompetente identifikimin e tyre.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3. Modalitetet e regjistrimit minimal, të dhënat që regjistrohen dhe autoriteti përgjegjës përcaktohen me akt nënligjor.</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4(3) i Direktivës (BE) 2024/1640 është transpozuar në ligjin AML shqiptar përmes një regjimi regjistrimi minimal për subjektet e detyruara që nuk janë subjekt licencimi ose regjistrimi sipas legjislacionit tjetër, duke garantuar identifikueshmërinë e plotë të tyre nga autoritetet mbikëqyrëse.</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Regjistrimi minimal zbatohet për subjektet e detyruara që nuk janë të licencuara ose të regjistruara, si psh konsulentë apo ofrues shërbimesh që kryejnë aktivitete të lidhura me AML pa një kuadër mbikëqyrës sektorial.</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jc w:val="both"/>
              <w:rPr>
                <w:rFonts w:ascii="Times New Roman" w:hAnsi="Times New Roman"/>
                <w:sz w:val="18"/>
                <w:szCs w:val="18"/>
              </w:rPr>
            </w:pPr>
            <w:r w:rsidRPr="00F727DA">
              <w:rPr>
                <w:rFonts w:ascii="Times New Roman" w:hAnsi="Times New Roman"/>
                <w:sz w:val="18"/>
                <w:szCs w:val="18"/>
              </w:rPr>
              <w:t xml:space="preserve">Psh një person fizik që ofron shërbime konsulence financiare ose biznesi, ndihmon klientë në: strukturimin e transaksioneve,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lastRenderedPageBreak/>
              <w:t>përgatitjen e dokumentacionit, por: nuk është kontabilist i certifikuar, nuk është avokat, nuk është noter.</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Nëse aktiviteti e bën subjekt të detyruar AML:</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do t’i kërkohet regjistrim minimal.</w:t>
            </w:r>
          </w:p>
          <w:p w:rsidR="005B3659" w:rsidRPr="00F727DA" w:rsidRDefault="005B3659" w:rsidP="00A87413">
            <w:pPr>
              <w:snapToGrid w:val="0"/>
              <w:spacing w:after="0" w:line="240" w:lineRule="auto"/>
              <w:jc w:val="both"/>
              <w:rPr>
                <w:rFonts w:ascii="Times New Roman" w:hAnsi="Times New Roman"/>
                <w:sz w:val="18"/>
                <w:szCs w:val="18"/>
              </w:rPr>
            </w:pPr>
            <w:r w:rsidRPr="00F727DA">
              <w:rPr>
                <w:rFonts w:ascii="Times New Roman" w:hAnsi="Times New Roman"/>
                <w:sz w:val="18"/>
                <w:szCs w:val="18"/>
              </w:rPr>
              <w:t xml:space="preserve">Shembulli tjeter - Shoqëri konsulence që: ofron shërbime: regjistrimi në QKB,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përgatitje dokumentacioni për shoqëri,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administrim formal dokumentesh, por: nuk ka licencë sektoriale, nuk është subjekt i rregulluar profesionalisht.</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Nëse përfshihet si subjekt i detyruar nevojitet te realizohet regjistrim minimal.</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 keto kategori nuk perfshihen: Noterët – të licencuar dhe të regjistruar;  Avokatët – të rregulluar profesionalisht; Kontabilistët / ekspertët kontabël – të certifikuar; Bankat;  Institucionet financiare jo-bankare – të licencuara; Zyrat e këmbimit valutor – të licencuara nga BSH; Ofruesit e lojërave të fatit – të rregulluara me ligj.</w:t>
            </w:r>
          </w:p>
          <w:p w:rsidR="005B3659" w:rsidRPr="00F727DA" w:rsidRDefault="005B3659" w:rsidP="00A87413">
            <w:pPr>
              <w:snapToGrid w:val="0"/>
              <w:spacing w:after="0" w:line="240" w:lineRule="auto"/>
              <w:rPr>
                <w:rFonts w:ascii="Times New Roman" w:hAnsi="Times New Roman"/>
                <w:sz w:val="18"/>
                <w:szCs w:val="18"/>
              </w:rPr>
            </w:pPr>
          </w:p>
          <w:p w:rsidR="00A66AFA" w:rsidRPr="00A66AFA" w:rsidRDefault="00A66AFA" w:rsidP="00A87413">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t>Parashikohen kërkesa minimale regjistrimi për subjektet e detyruara që nuk i nënshtrohen licencimit ose regjistrimit sipas legjislacionit tjetër kombëtar, duke garantuar identifikimin e tyre nga autoritetet kompetente mbikëqyrëse.</w:t>
            </w:r>
          </w:p>
          <w:p w:rsidR="00A66AFA" w:rsidRPr="00A66AFA" w:rsidRDefault="00A66AFA" w:rsidP="00A87413">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t>Gjithashtu, kjo dispozitë siguron që të gjitha subjektet e detyruara të jenë, të paktën, të identifikueshme nga autoritetet mbikëqyrëse për AML/CFT, edhe në rastet kur ato nuk i nënshtrohen licencimit ose regjistrimit profesional sipas legjislacionit tjetër.</w:t>
            </w:r>
          </w:p>
          <w:p w:rsidR="005B3659" w:rsidRPr="00A66AFA" w:rsidRDefault="00A66AFA" w:rsidP="00A87413">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lastRenderedPageBreak/>
              <w:t>Legjislacioni dytësor do të përcaktojë procedurën praktike të regjistrimit, të dhënat minimale që duhet të deklarohen dhe autoritetin kompetent, duke garantuar identifikim dhe mbikëqyrje efektive të subjekteve të detyruara.</w:t>
            </w:r>
          </w:p>
        </w:tc>
      </w:tr>
      <w:tr w:rsidR="001149A8" w:rsidRPr="00F727DA" w:rsidTr="00E24C86">
        <w:trPr>
          <w:trHeight w:val="578"/>
        </w:trPr>
        <w:tc>
          <w:tcPr>
            <w:tcW w:w="14397" w:type="dxa"/>
            <w:gridSpan w:val="8"/>
            <w:shd w:val="clear" w:color="auto" w:fill="D9D9D9" w:themeFill="background1" w:themeFillShade="D9"/>
            <w:vAlign w:val="center"/>
          </w:tcPr>
          <w:p w:rsidR="006A2822" w:rsidRPr="00F727DA" w:rsidRDefault="006A2822"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5</w:t>
            </w:r>
          </w:p>
          <w:p w:rsidR="006A2822" w:rsidRPr="00F727DA" w:rsidRDefault="006A2822"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Kërkesat në lidhje me dhënien e të drejtës së qëndrimit kundrejt investimeve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legjislacioni i brendshëm i të cilave mundëson garantimin e të drejtave të qëndrimit në këmbim të çfarëdolloj investimi, siç janë transferimet e kapitalit, blerja ose dhënia me qira e pronave, investimet në obligacione qeveritare, investimet në shoqëri tregtare, dhurimi ose financimi i një veprimtarie që kontribuon në të mirën publike dhe kontributet në buxhetin e shtetit, zbatojnë të paktën masat e mëposhtme për të zbutur rreziqet që lidhen me pastrimin e parave, veprat penale bazë të lidhura me të ose financimin e terrorizmit: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CE4E0F">
              <w:rPr>
                <w:rFonts w:ascii="Times New Roman" w:hAnsi="Times New Roman"/>
                <w:sz w:val="18"/>
                <w:szCs w:val="18"/>
              </w:rPr>
              <w:t>8</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Masat për parandalimin e pastrimit të parave dhe financimit të terrorizmit në rastin e dhënies së lejes së qëndrimit në lidhje me investimin</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rPr>
                <w:rFonts w:ascii="Times New Roman" w:hAnsi="Times New Roman"/>
                <w:sz w:val="18"/>
                <w:szCs w:val="18"/>
              </w:rPr>
            </w:pPr>
            <w:r w:rsidRPr="00F727DA">
              <w:rPr>
                <w:rFonts w:ascii="Times New Roman" w:hAnsi="Times New Roman"/>
                <w:sz w:val="18"/>
                <w:szCs w:val="18"/>
              </w:rPr>
              <w:t xml:space="preserve">1. 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përgjegjës për dhënien e lejes së qëndrimit, në bashkëpunim me Agjencinë e Inteligjencës Financiare, vendos dhe zbaton masa të posaçme për parandalimin dhe zbutjen e rreziqeve të pastrimit të parave, </w:t>
            </w:r>
            <w:r w:rsidRPr="00F727DA">
              <w:rPr>
                <w:rFonts w:ascii="Times New Roman" w:hAnsi="Times New Roman"/>
                <w:sz w:val="18"/>
                <w:szCs w:val="18"/>
              </w:rPr>
              <w:lastRenderedPageBreak/>
              <w:t>veprave penale bazë të lidhura me to, financimit të terrorizmit dhe financimit të përhapjes së armëve të shkatërrimit në masë, në përputhje me këtë ligj dhe me një qasje të bazuar në rrezik.</w:t>
            </w:r>
          </w:p>
          <w:p w:rsidR="005B3659" w:rsidRPr="00F727DA" w:rsidRDefault="005B3659" w:rsidP="00A87413">
            <w:pPr>
              <w:widowControl w:val="0"/>
              <w:spacing w:after="0"/>
              <w:rPr>
                <w:rFonts w:ascii="Times New Roman" w:hAnsi="Times New Roman"/>
                <w:sz w:val="18"/>
                <w:szCs w:val="18"/>
              </w:rPr>
            </w:pPr>
            <w:r w:rsidRPr="00F727DA">
              <w:rPr>
                <w:rFonts w:ascii="Times New Roman" w:hAnsi="Times New Roman"/>
                <w:sz w:val="18"/>
                <w:szCs w:val="18"/>
              </w:rPr>
              <w:t>Në përpmbushje të paragrafit të mësipërm masat përfshijnë të paktën:</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CE4E0F" w:rsidRDefault="005B3659" w:rsidP="00A87413">
            <w:pPr>
              <w:snapToGrid w:val="0"/>
              <w:spacing w:after="0" w:line="240" w:lineRule="auto"/>
              <w:rPr>
                <w:rFonts w:ascii="Times New Roman" w:hAnsi="Times New Roman"/>
                <w:sz w:val="18"/>
                <w:szCs w:val="18"/>
              </w:rPr>
            </w:pPr>
          </w:p>
          <w:p w:rsidR="00CE4E0F" w:rsidRPr="00CE4E0F" w:rsidRDefault="00CE4E0F" w:rsidP="00A87413">
            <w:pPr>
              <w:snapToGrid w:val="0"/>
              <w:spacing w:after="0" w:line="240" w:lineRule="auto"/>
              <w:rPr>
                <w:rFonts w:ascii="Times New Roman" w:hAnsi="Times New Roman"/>
                <w:sz w:val="18"/>
                <w:szCs w:val="18"/>
                <w:lang w:val="en-US"/>
              </w:rPr>
            </w:pPr>
            <w:r w:rsidRPr="00CE4E0F">
              <w:rPr>
                <w:rFonts w:ascii="Times New Roman" w:hAnsi="Times New Roman"/>
                <w:bCs/>
                <w:sz w:val="18"/>
                <w:szCs w:val="18"/>
                <w:lang w:val="en-US"/>
              </w:rPr>
              <w:t>“Shqipëria nuk zbaton një skemë të veçantë të ashtuquajtur ‘vizë e artë’. Megjithatë, sipas ligjit nr. 79/2021 ‘Për të Huajt’, lejet e qëndrimit afatgjatë mund t’u jepen shtetasve të huaj mbi bazën e aktivitetit ekonomik ose investimit. Për rrjedhojë, legjislacioni për AML/CFT parashikon masa mbrojtëse të kushtëzuara, të zbatueshme ndaj çdo të drejte qëndrimi të lidhur me investimin, pa rregulluar procedurat e migracionit, të cilat vijojnë të rregullohen nga ligji ‘Për të Huajt’.</w:t>
            </w:r>
          </w:p>
          <w:p w:rsidR="00CE4E0F" w:rsidRDefault="00CE4E0F" w:rsidP="00A87413">
            <w:pPr>
              <w:snapToGrid w:val="0"/>
              <w:spacing w:after="0" w:line="240" w:lineRule="auto"/>
              <w:rPr>
                <w:rFonts w:ascii="Times New Roman" w:hAnsi="Times New Roman"/>
                <w:bCs/>
                <w:sz w:val="18"/>
                <w:szCs w:val="18"/>
                <w:lang w:val="en-US"/>
              </w:rPr>
            </w:pPr>
          </w:p>
          <w:p w:rsidR="00CE4E0F" w:rsidRPr="00CE4E0F" w:rsidRDefault="00CE4E0F" w:rsidP="00A87413">
            <w:pPr>
              <w:snapToGrid w:val="0"/>
              <w:spacing w:after="0" w:line="240" w:lineRule="auto"/>
              <w:rPr>
                <w:rFonts w:ascii="Times New Roman" w:hAnsi="Times New Roman"/>
                <w:sz w:val="18"/>
                <w:szCs w:val="18"/>
                <w:lang w:val="en-US"/>
              </w:rPr>
            </w:pPr>
            <w:r w:rsidRPr="00CE4E0F">
              <w:rPr>
                <w:rFonts w:ascii="Times New Roman" w:hAnsi="Times New Roman"/>
                <w:bCs/>
                <w:sz w:val="18"/>
                <w:szCs w:val="18"/>
                <w:lang w:val="en-US"/>
              </w:rPr>
              <w:t>Autoritetet kompetente përfshijnë autoritetin përgjegjës për dhënien e lejeve të qëndrimit, të mbështetur nga Njësia e Inteligjencës Financiare (AIF) si autoriteti qendror për AML/CFT, si dhe autoritete të tjera përkatëse të përfshira në procesin e verifikimit, në përputhje me legjislacionin kombëtar.”</w:t>
            </w:r>
          </w:p>
          <w:p w:rsidR="005B3659" w:rsidRPr="00CE4E0F"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proces të menaxhimit të rrezikut, duke përfshirë identifikimin, klasifikimin dhe zbutjen e rreziqeve nën koordinimin e një autoriteti të caktuar;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një proces të menaxhimit të rrezikut, që përfshin identifikimin, klasifikimin dhe zbutjen e rreziqeve të pastrimit të parave, veprave penale bazë të lidhura me to, financimit të terrorizmit dhe financimit të armëve të dëmtimit në masë, i cili koordinohet nga një autoritet kompetent i caktuar.</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D82FC7" w:rsidP="00A87413">
            <w:pPr>
              <w:snapToGrid w:val="0"/>
              <w:spacing w:after="0" w:line="240" w:lineRule="auto"/>
              <w:rPr>
                <w:rFonts w:ascii="Times New Roman" w:hAnsi="Times New Roman"/>
                <w:sz w:val="18"/>
                <w:szCs w:val="18"/>
              </w:rPr>
            </w:pPr>
            <w:r w:rsidRPr="00D82FC7">
              <w:rPr>
                <w:rFonts w:ascii="Times New Roman" w:hAnsi="Times New Roman"/>
                <w:sz w:val="18"/>
                <w:szCs w:val="18"/>
              </w:rPr>
              <w:t>Dispozita parashikon një proces të koordinuar të menaxhimit të rrezikut, që përfshin identifikimin, klasifikimin dhe zbutjen e rreziqeve të pastrimit të parave dhe financimit të terrorizmit (ML/TF)</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 që parashikojnë zbutjen e rreziqeve të pastrimit të parave, të veprave penale bazë të lidhura me të ose të financimit të terrorizmit që lidhen me aplikuesit për garantimin e të drejtave të qëndrimit në këmbim të investimeve, duke përfshirë: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masa që synojnë zbutjen e rreziqeve të pastrimit të parave, veprave penale bazë të lidhura me to, financimit të terrorizmit dhe financimit të armëve të dëmtimit në masë, të lidhura me aplikantët për dhënien e lejes së </w:t>
            </w:r>
            <w:r w:rsidRPr="00F727DA">
              <w:rPr>
                <w:rFonts w:ascii="Times New Roman" w:hAnsi="Times New Roman"/>
                <w:sz w:val="18"/>
                <w:szCs w:val="18"/>
              </w:rPr>
              <w:lastRenderedPageBreak/>
              <w:t>qëndrimit në lidhje me investimin, përfshirë, ndër të tjera:</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D82FC7" w:rsidP="00A87413">
            <w:pPr>
              <w:snapToGrid w:val="0"/>
              <w:spacing w:after="0" w:line="240" w:lineRule="auto"/>
              <w:rPr>
                <w:rFonts w:ascii="Times New Roman" w:hAnsi="Times New Roman"/>
                <w:sz w:val="18"/>
                <w:szCs w:val="18"/>
              </w:rPr>
            </w:pPr>
            <w:r w:rsidRPr="00D82FC7">
              <w:rPr>
                <w:rFonts w:ascii="Times New Roman" w:hAnsi="Times New Roman"/>
                <w:sz w:val="18"/>
                <w:szCs w:val="18"/>
              </w:rPr>
              <w:t>Parashikohen masa për zbutjen e rreziqeve të pastrimit të parave dhe financimit të terrorizmit (ML/TF) që lidhen me aplikantët për leje qëndrimi të bazuara në investim</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kontrollet e profilit të aplikuesit nga autoriteti i caktuar, duke përfshirë marrjen e informacionit mbi burimin e fondeve dhe burimin e pasurisë së aplikuesit;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 verifikimin e profilit të aplikantit nga autoriteti kompetent i caktuar, përfshirë mbledhjen dhe vlerësimin e informacionit mbi burimin e fondeve dhe burimin e pasurisë së aplikantit;</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D82FC7" w:rsidP="00A87413">
            <w:pPr>
              <w:snapToGrid w:val="0"/>
              <w:spacing w:after="0" w:line="240" w:lineRule="auto"/>
              <w:rPr>
                <w:rFonts w:ascii="Times New Roman" w:hAnsi="Times New Roman"/>
                <w:sz w:val="18"/>
                <w:szCs w:val="18"/>
              </w:rPr>
            </w:pPr>
            <w:r w:rsidRPr="00D82FC7">
              <w:rPr>
                <w:rFonts w:ascii="Times New Roman" w:hAnsi="Times New Roman"/>
                <w:sz w:val="18"/>
                <w:szCs w:val="18"/>
              </w:rPr>
              <w:t>Kjo dispozitë kërkon verifikimin e informacionit të aplikantëve nëpërmjet krahasimit me të dhënat e organeve të zbatimit të ligjit dhe autoriteteve të tjera kompetente, në përputhje me garancitë procedurale penale, me qëllim identifikimin e rreziqeve të lidhura me veprimtari kriminale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verifikimin e informacionit për aplikuesit duke e ballafaquar me informacionin e zotëruar nga autoritetet kompetente siç përmendet në nenin 2, paragrafi 1, pika 44, germa "a" dhe "c" të Rregullores (BE) 2024/1624, në përputhje me legjislacionin e brendshëm procedural penal në fuqi, si dhe me listat e individëve dhe subjekteve që u nënshtrohen masave kufizuese të BE-së;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D82FC7" w:rsidP="00A87413">
            <w:pPr>
              <w:snapToGrid w:val="0"/>
              <w:spacing w:after="0" w:line="240" w:lineRule="auto"/>
              <w:rPr>
                <w:rFonts w:ascii="Times New Roman" w:hAnsi="Times New Roman"/>
                <w:sz w:val="18"/>
                <w:szCs w:val="18"/>
              </w:rPr>
            </w:pPr>
            <w:r w:rsidRPr="00D82FC7">
              <w:rPr>
                <w:rFonts w:ascii="Times New Roman" w:hAnsi="Times New Roman"/>
                <w:sz w:val="18"/>
                <w:szCs w:val="18"/>
              </w:rPr>
              <w:t>Kjo dispozitë kërkon verifikimin e informacionit të aplikantëve nëpërmjet krahasimit me të dhënat e organeve të zbatimit të ligjit dhe autoriteteve të tjera kompetente, në përputhje me garancitë procedurale penale, me qëllim identifikimin e rreziqeve të lidhura me veprimtari kriminale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5(1)(b)(iii)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shqyrtimet periodike të aplikuesve me nivel të mesëm dhe të lartë rreziku.</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iii. rishikime periodike të aplikantëve të vlerësuar me rrezik mesatar ose të lartë.</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D82FC7" w:rsidP="00A87413">
            <w:pPr>
              <w:snapToGrid w:val="0"/>
              <w:spacing w:after="0" w:line="240" w:lineRule="auto"/>
              <w:rPr>
                <w:rFonts w:ascii="Times New Roman" w:hAnsi="Times New Roman"/>
                <w:sz w:val="18"/>
                <w:szCs w:val="18"/>
              </w:rPr>
            </w:pPr>
            <w:r w:rsidRPr="00D82FC7">
              <w:rPr>
                <w:rFonts w:ascii="Times New Roman" w:hAnsi="Times New Roman"/>
                <w:sz w:val="18"/>
                <w:szCs w:val="18"/>
              </w:rPr>
              <w:t>Dispozita parashikon rishikime periodike për aplikantët e vlerësuar si paraqitës të rrezikut mesatar ose të lartë për pastrim parash apo financim të terrorizmit, në përputhje me qasjen e bazuar në rrezik</w:t>
            </w:r>
            <w:r>
              <w:rPr>
                <w:rFonts w:ascii="Times New Roman" w:hAnsi="Times New Roman"/>
                <w:sz w:val="18"/>
                <w:szCs w:val="18"/>
              </w:rPr>
              <w: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monitorimin e zbatimit të procesit të menaxhimit të rrezikut </w:t>
            </w:r>
            <w:r w:rsidRPr="00F727DA">
              <w:rPr>
                <w:rFonts w:ascii="Times New Roman" w:hAnsi="Times New Roman"/>
                <w:sz w:val="18"/>
                <w:szCs w:val="18"/>
                <w:lang w:eastAsia="sq-AL" w:bidi="sq-AL"/>
              </w:rPr>
              <w:lastRenderedPageBreak/>
              <w:t>të përmendur në paragrafin 1, germa "a", duke përfshirë vlerësimin e tij të përvitshëm.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Zbatimi i procesit të menaxhimit të rrezikut të </w:t>
            </w:r>
            <w:r w:rsidRPr="00F727DA">
              <w:rPr>
                <w:rFonts w:ascii="Times New Roman" w:hAnsi="Times New Roman"/>
                <w:sz w:val="18"/>
                <w:szCs w:val="18"/>
              </w:rPr>
              <w:lastRenderedPageBreak/>
              <w:t>parashikuar në pikën 1, shkronja “a” e këtij neni i nënshtrohet monitorimit të vazhdueshëm dhe vlerësohet të paktën një herë në vit.</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F31C09" w:rsidP="00A87413">
            <w:pPr>
              <w:snapToGrid w:val="0"/>
              <w:spacing w:after="0" w:line="240" w:lineRule="auto"/>
              <w:rPr>
                <w:rFonts w:ascii="Times New Roman" w:hAnsi="Times New Roman"/>
                <w:sz w:val="18"/>
                <w:szCs w:val="18"/>
              </w:rPr>
            </w:pPr>
            <w:r w:rsidRPr="00F31C09">
              <w:rPr>
                <w:rFonts w:ascii="Times New Roman" w:hAnsi="Times New Roman"/>
                <w:sz w:val="18"/>
                <w:szCs w:val="18"/>
              </w:rPr>
              <w:t xml:space="preserve">Dispozita garanton monitorimin e vazhdueshëm të procesit të menaxhimit të </w:t>
            </w:r>
            <w:r w:rsidRPr="00F31C09">
              <w:rPr>
                <w:rFonts w:ascii="Times New Roman" w:hAnsi="Times New Roman"/>
                <w:sz w:val="18"/>
                <w:szCs w:val="18"/>
              </w:rPr>
              <w:lastRenderedPageBreak/>
              <w:t>rrezikut, duke përfshirë një vlerësim vjetor të zbatimit të tij.</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miratojnë dhe zbatojnë masat e përmendura në paragrafin 1 të këtij neni në një mënyrë konsistente me rreziqet e identifikuara në vlerësimin e rrezikut të kryer në përputhje me nenin 8.</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3. Masat e parashikuara në pikën 1 të këtij neni miratohen dhe zbatohen në përputhje me rreziqet e identifikuara në kuadër të vlerësimit kombëtar të rrezikut.</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FB48A2" w:rsidP="00A87413">
            <w:pPr>
              <w:snapToGrid w:val="0"/>
              <w:spacing w:after="0" w:line="240" w:lineRule="auto"/>
              <w:rPr>
                <w:rFonts w:ascii="Times New Roman" w:hAnsi="Times New Roman"/>
                <w:sz w:val="18"/>
                <w:szCs w:val="18"/>
              </w:rPr>
            </w:pPr>
            <w:r w:rsidRPr="00FB48A2">
              <w:rPr>
                <w:rFonts w:ascii="Times New Roman" w:hAnsi="Times New Roman"/>
                <w:sz w:val="18"/>
                <w:szCs w:val="18"/>
              </w:rPr>
              <w:t>Dispozita lidh shprehimisht miratimin dhe zbatimin e masave të referuara në nenin 5(1) të Direktivës (BE) 2024/1640 me rreziqet e identifikuara përmes vlerësimit kombëtar të rrezikut të kryer sipas nenit 8 të kësaj direktive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publikojnë një raport vjetor për rreziqet e pastrimit të parave, veprave penale bazë të lidhura me të ose financimit të terrorizmit që lidhen me garantimin e të drejtave të qëndrimit në këmbim të investimeve. </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raporte bëhen publike dhe përfshijnë informacion lidhur 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Autoritetet kompetente publikojnë çdo vit një raport mbi rreziqet e pastrimit të parave, veprave penale bazë të lidhura me to , financimit të terrorizmit dhe financimit të armëve të dëmtimit në masë, që lidhen me dhënien e lejes së qëndrimit në lidhje me investimin. Raporti bëhet publik dhe përmban, ndër të tjera, të dhëna lidhur me: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FB48A2" w:rsidP="00A87413">
            <w:pPr>
              <w:snapToGrid w:val="0"/>
              <w:spacing w:after="0" w:line="240" w:lineRule="auto"/>
              <w:rPr>
                <w:rFonts w:ascii="Times New Roman" w:hAnsi="Times New Roman"/>
                <w:sz w:val="18"/>
                <w:szCs w:val="18"/>
              </w:rPr>
            </w:pPr>
            <w:r w:rsidRPr="00FB48A2">
              <w:rPr>
                <w:rFonts w:ascii="Times New Roman" w:hAnsi="Times New Roman"/>
                <w:sz w:val="18"/>
                <w:szCs w:val="18"/>
              </w:rPr>
              <w:t>Dispozita kërkon publikimin e një raporti vjetor publik mbi rreziqet e pastrimit të parave dhe financimit të terrorizmit (ML/TF) që lidhen me lejet e qëndrimit të bazuara në investim</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aplikimeve të pranuara dhe vendet e origjinës së aplikuesve;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numrin e kërkesave të paraqitura për dhënien e lejes së qëndrimit në lidhje me investimin, si dhe shtetet e origjinës së aplikantëve;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lejeve të qëndrimit të dhëna ose të refuzuara dhe arsyet e këtyre refuzimeve;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numrin e lejeve të qëndrimit të dhëna ose të refuzuara, si dhe arsyet </w:t>
            </w:r>
            <w:r w:rsidRPr="00F727DA">
              <w:rPr>
                <w:rFonts w:ascii="Times New Roman" w:hAnsi="Times New Roman"/>
                <w:sz w:val="18"/>
                <w:szCs w:val="18"/>
              </w:rPr>
              <w:lastRenderedPageBreak/>
              <w:t>kryesore të refuzimit të tyre;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zhvillim të diktuar në rreziqet e pastrimit të parave, veprave penale bazë të lidhura me të dhe financimit të terrorizmit që lidhen me dhënien e të drejtave të qëndrimit në këmbim të investimeve.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zhvillim ose ndryshim të konstatuar në rreziqet e pastrimit të parave, veprave penale bazë të lidhura me to dhe financimit të terrorizmit, që lidhen me dhënien e lejes së qëndrimit në lidhje me investimin.</w:t>
            </w:r>
          </w:p>
          <w:p w:rsidR="005B3659" w:rsidRPr="00F727DA" w:rsidRDefault="005B3659" w:rsidP="00A87413">
            <w:pPr>
              <w:widowControl w:val="0"/>
              <w:spacing w:after="0" w:line="240" w:lineRule="auto"/>
              <w:rPr>
                <w:rFonts w:ascii="Times New Roman" w:hAnsi="Times New Roman"/>
                <w:sz w:val="18"/>
                <w:szCs w:val="18"/>
                <w:lang w:eastAsia="sq-AL" w:bidi="sq-AL"/>
              </w:rPr>
            </w:pPr>
          </w:p>
          <w:p w:rsidR="005B3659" w:rsidRPr="00F727DA" w:rsidRDefault="005B3659" w:rsidP="00A87413">
            <w:pPr>
              <w:widowControl w:val="0"/>
              <w:spacing w:after="0" w:line="240" w:lineRule="auto"/>
              <w:rPr>
                <w:rFonts w:ascii="Times New Roman" w:hAnsi="Times New Roman"/>
                <w:sz w:val="18"/>
                <w:szCs w:val="18"/>
                <w:lang w:eastAsia="sq-AL" w:bidi="sq-AL"/>
              </w:rPr>
            </w:pPr>
          </w:p>
          <w:p w:rsidR="005B3659" w:rsidRPr="00F727DA" w:rsidRDefault="005B3659" w:rsidP="00A8741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5. Bashkëpunimi ndërmjet autoriteteve përgjegjëse në kaudër të zbatimit të këtij neni realizohet nëpërmjet shkëmbimit të informacionit në kohë reale, kryerjes së verifikimeve të përbashkëta, si dhe modaliteteve tw tjera qw përcaktohen më tej me marrëveshje bashkëpunimi ndërinstitucionale.</w:t>
            </w:r>
          </w:p>
          <w:p w:rsidR="005B3659" w:rsidRPr="00F727DA" w:rsidRDefault="005B3659" w:rsidP="00A87413">
            <w:pPr>
              <w:widowControl w:val="0"/>
              <w:spacing w:after="0" w:line="240" w:lineRule="auto"/>
              <w:rPr>
                <w:rFonts w:ascii="Times New Roman" w:hAnsi="Times New Roman"/>
                <w:sz w:val="18"/>
                <w:szCs w:val="18"/>
                <w:lang w:eastAsia="sq-AL" w:bidi="sq-AL"/>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shtetet anëtare njoftojnë Komisionin për masat e miratuara sipas paragrafit 1 të këtij neni. Ky njoftim përfshin një shpjegim të këtyre masave bazuar në vlerësimin përkatës të rrezikut të kryer nga shtetet anëtare në përputhje me nenin 8.</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rsidR="005B3659" w:rsidRPr="00F727DA" w:rsidRDefault="005B3659" w:rsidP="00A8741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 xml:space="preserve">6. Masat e miratuara sipas pikës 1 të këtij neni dokumentohen dhe shoqërohen me një shpjegim të bazuar në vlerësimin kombëtar te </w:t>
            </w:r>
            <w:r w:rsidRPr="00F727DA">
              <w:rPr>
                <w:rFonts w:ascii="Times New Roman" w:hAnsi="Times New Roman"/>
                <w:sz w:val="18"/>
                <w:szCs w:val="18"/>
                <w:lang w:eastAsia="sq-AL" w:bidi="sq-AL"/>
              </w:rPr>
              <w:lastRenderedPageBreak/>
              <w:t xml:space="preserve">rezikut ne bazë te nenit </w:t>
            </w:r>
            <w:r w:rsidRPr="00C133C0">
              <w:rPr>
                <w:rFonts w:ascii="Times New Roman" w:hAnsi="Times New Roman"/>
                <w:sz w:val="18"/>
                <w:szCs w:val="18"/>
                <w:highlight w:val="yellow"/>
                <w:lang w:eastAsia="sq-AL" w:bidi="sq-AL"/>
              </w:rPr>
              <w:t>xxx</w:t>
            </w:r>
            <w:r w:rsidRPr="00F727DA">
              <w:rPr>
                <w:rFonts w:ascii="Times New Roman" w:hAnsi="Times New Roman"/>
                <w:sz w:val="18"/>
                <w:szCs w:val="18"/>
                <w:lang w:eastAsia="sq-AL" w:bidi="sq-AL"/>
              </w:rPr>
              <w:t xml:space="preserve"> te ketij ligji. </w:t>
            </w:r>
          </w:p>
          <w:p w:rsidR="005B3659" w:rsidRPr="00F727DA" w:rsidRDefault="005B3659" w:rsidP="00A8741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Në kuadër të procesit të integrimit evropian, autoriteti përgjegjës për koordinimin e masave sipas këtij neni siguron raportimin dhe vënien në dispozicion të informacionit përkatës pranë institucioneve të Bashkimit Evropian, në përputhje me marrëveshjet ndërkombëtare në fuqi dhe kërkesat e procesit të anëtarësimit. Raportimi përfshin një shpjegim të masave të miratuara, të bazuar në vlerësimin kombëtar të rrezikut sipas këtij ligji.</w:t>
            </w:r>
          </w:p>
          <w:p w:rsidR="005B3659" w:rsidRPr="00F727DA" w:rsidRDefault="005B3659" w:rsidP="00A8741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Nga data e anëtarësimit të Republikës së Shqipërisë në Bashkimin Evropian, autoriteti përgjegjës zbaton detyrimet e raportimit dhe njoftimit të parashikuara në të drejtën e Bashkimit Evropian në fuqi.</w:t>
            </w:r>
          </w:p>
          <w:p w:rsidR="005B3659" w:rsidRPr="00F727DA" w:rsidRDefault="005B3659"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FB48A2" w:rsidP="00A87413">
            <w:pPr>
              <w:snapToGrid w:val="0"/>
              <w:spacing w:after="0" w:line="240" w:lineRule="auto"/>
              <w:rPr>
                <w:rFonts w:ascii="Times New Roman" w:hAnsi="Times New Roman"/>
                <w:sz w:val="18"/>
                <w:szCs w:val="18"/>
              </w:rPr>
            </w:pPr>
            <w:r w:rsidRPr="00FB48A2">
              <w:rPr>
                <w:rFonts w:ascii="Times New Roman" w:hAnsi="Times New Roman"/>
                <w:sz w:val="18"/>
                <w:szCs w:val="18"/>
              </w:rPr>
              <w:t xml:space="preserve">Ndërkohë që detyrimi formal për njoftim ndaj Komisionit Evropian nuk është i zbatueshëm për Shqipërinë si vend kandidat, legjislacioni kombëtar garanton dokumentimin dhe arsyetimin e bazuar në rrezik të masave të miratuara sipas nenit </w:t>
            </w:r>
            <w:r w:rsidRPr="00FB48A2">
              <w:rPr>
                <w:rFonts w:ascii="Times New Roman" w:hAnsi="Times New Roman"/>
                <w:sz w:val="18"/>
                <w:szCs w:val="18"/>
              </w:rPr>
              <w:lastRenderedPageBreak/>
              <w:t>5(1), në përputhje me vlerësimin kombëtar të rrezikut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publikon në Gazetën Zyrtare të Bashkimit Evropian masat e njoftuara nga shtetet anëtare në përputhje me paragrafin 5.</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rsidR="005B3659" w:rsidRPr="00F727DA" w:rsidRDefault="005B3659"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E21AA5" w:rsidP="00A87413">
            <w:pPr>
              <w:snapToGrid w:val="0"/>
              <w:spacing w:after="0" w:line="240" w:lineRule="auto"/>
              <w:rPr>
                <w:rFonts w:ascii="Times New Roman" w:hAnsi="Times New Roman"/>
                <w:sz w:val="18"/>
                <w:szCs w:val="18"/>
              </w:rPr>
            </w:pPr>
            <w:r w:rsidRPr="00E21AA5">
              <w:rPr>
                <w:rFonts w:ascii="Times New Roman" w:hAnsi="Times New Roman"/>
                <w:sz w:val="18"/>
                <w:szCs w:val="18"/>
              </w:rPr>
              <w:t xml:space="preserve">N/A. Kjo dispozitë lidhet me një mekanizëm vlerësimi dhe raportimi në </w:t>
            </w:r>
            <w:r w:rsidRPr="00E21AA5">
              <w:rPr>
                <w:rFonts w:ascii="Times New Roman" w:hAnsi="Times New Roman"/>
                <w:sz w:val="18"/>
                <w:szCs w:val="18"/>
              </w:rPr>
              <w:lastRenderedPageBreak/>
              <w:t>nivel të BE-së, i cili realizohet nga Komisioni Evropian</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 (7)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2030, Komisioni publikon një raport që vlerëson masat e njoftuara sipas paragrafit 5 për zbutjen e rreziqeve të pastrimit të parave, veprave penale bazë të lidhura me të dhe financimit të terrorizmit dhe, sipas rastit, nxjerr rekomandime.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rsidR="005B3659" w:rsidRPr="00F727DA" w:rsidRDefault="005B3659"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E21AA5" w:rsidP="00A87413">
            <w:pPr>
              <w:snapToGrid w:val="0"/>
              <w:spacing w:after="0" w:line="240" w:lineRule="auto"/>
              <w:rPr>
                <w:rFonts w:ascii="Times New Roman" w:hAnsi="Times New Roman"/>
                <w:sz w:val="18"/>
                <w:szCs w:val="18"/>
              </w:rPr>
            </w:pPr>
            <w:r w:rsidRPr="00E21AA5">
              <w:rPr>
                <w:rFonts w:ascii="Times New Roman" w:hAnsi="Times New Roman"/>
                <w:sz w:val="18"/>
                <w:szCs w:val="18"/>
              </w:rPr>
              <w:t>N/A. Dispozita në fjalë ka të bëjë me një mekanizëm vlerësimi dhe raportimi në nivel të Bashkimit Evropian, të ushtruar nga Komisioni Evropian</w:t>
            </w:r>
          </w:p>
        </w:tc>
      </w:tr>
      <w:tr w:rsidR="002F083D" w:rsidRPr="00F727DA" w:rsidTr="00E24C86">
        <w:trPr>
          <w:trHeight w:val="578"/>
        </w:trPr>
        <w:tc>
          <w:tcPr>
            <w:tcW w:w="14397" w:type="dxa"/>
            <w:gridSpan w:val="8"/>
            <w:shd w:val="clear" w:color="auto" w:fill="D9D9D9" w:themeFill="background1" w:themeFillShade="D9"/>
            <w:vAlign w:val="center"/>
          </w:tcPr>
          <w:p w:rsidR="00F52B22" w:rsidRPr="00F727DA" w:rsidRDefault="00F52B22"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6</w:t>
            </w:r>
          </w:p>
          <w:p w:rsidR="002F083D" w:rsidRPr="00F727DA" w:rsidRDefault="00F52B22"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Kontrollet ndaj drejtuesve të lartë dhe pronarëve përfitues të disa subjekteve të detyruara</w:t>
            </w:r>
            <w:r w:rsidRPr="00F727DA">
              <w:rPr>
                <w:rFonts w:ascii="Times New Roman" w:hAnsi="Times New Roman"/>
                <w:sz w:val="18"/>
                <w:szCs w:val="18"/>
              </w:rPr>
              <w:t xml:space="preserve">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kërkojnë mbikëqyrësve të verifikojnë nëse drejtuesit e lartë në subjektet e detyruara të përmendura në nenin 4, paragrafët 1 dhe 2 dhe shoqëritë financiare kontrolluese me veprimtari të përzier, si dhe pronarët përfitues të këtyre subjekteve kanë reputacion të mirë dhe veprojnë me ndershmëri dhe integritet. Drejtuesit e lartë të këtyre subjekteve duhet të kenë gjithashtu njohuritë dhe ekspertizën e nevojshme për kryerjen e funksioneve të tyre.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467596">
              <w:rPr>
                <w:rFonts w:ascii="Times New Roman" w:hAnsi="Times New Roman"/>
                <w:sz w:val="18"/>
                <w:szCs w:val="18"/>
              </w:rPr>
              <w:t>9</w:t>
            </w:r>
          </w:p>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Verifikimi i integritetit dhe përshtatshmërisë së drejtuesve të lartë dhe pronarëve përfitues të disa subjekteve të detyruara</w:t>
            </w:r>
          </w:p>
        </w:tc>
        <w:tc>
          <w:tcPr>
            <w:tcW w:w="2064" w:type="dxa"/>
            <w:shd w:val="clear" w:color="auto" w:fill="auto"/>
            <w:vAlign w:val="center"/>
          </w:tcPr>
          <w:p w:rsidR="00467596" w:rsidRPr="00467596" w:rsidRDefault="00467596" w:rsidP="00A87413">
            <w:pPr>
              <w:widowControl w:val="0"/>
              <w:spacing w:after="0" w:line="240" w:lineRule="auto"/>
              <w:rPr>
                <w:rFonts w:ascii="Times New Roman" w:hAnsi="Times New Roman"/>
                <w:sz w:val="18"/>
                <w:szCs w:val="18"/>
                <w:lang w:val="sq-AL"/>
              </w:rPr>
            </w:pPr>
            <w:r w:rsidRPr="00467596">
              <w:rPr>
                <w:rFonts w:ascii="Times New Roman" w:hAnsi="Times New Roman"/>
                <w:sz w:val="18"/>
                <w:szCs w:val="18"/>
                <w:lang w:val="sq-AL"/>
              </w:rPr>
              <w:t>1. Autoritetet mbikëqyrëse, në përputhje me legjislacionin sektorial në fuqi, verifikojnë integritetin dhe përshtatshmërinë e anëtarëve të drejtimit të lartë dhe të pronarëve përfitues të subjekteve të detyruara të parashikuara në nenin 6 të këtij ligji, si dhe  të shoqërive mbajtëse apo shoqërive mëmë që kontrollojnë subjekte të rregulluara financiare, duke siguruar që:</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këta persona gëzojnë reputacion të mirë dhe veprojnë me ndershmëri dhe integritet;</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anëtarët e drejtimit të lartë zotërojnë njohuritë dhe përvojën e </w:t>
            </w:r>
            <w:r w:rsidRPr="00F727DA">
              <w:rPr>
                <w:rFonts w:ascii="Times New Roman" w:hAnsi="Times New Roman"/>
                <w:sz w:val="18"/>
                <w:szCs w:val="18"/>
              </w:rPr>
              <w:lastRenderedPageBreak/>
              <w:t>nevojshme për ushtrimin e funksioneve të tyre.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Autoritetet mbikëqyrëse nxjerrin akte nënligjore për përcaktimin e procedurave dhe kritereve të zbatimit të kërkesave të parashikuara në pikën 1 të këtij neni, në përputhje me kompetencat e tyre dhe legjislacionin sektorial në fuqi.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467596"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6(1) i Direktivës (BE) 2024/1640 është transpozuar në ligjin AML shqiptar përmes detyrimit të autoriteteve </w:t>
            </w:r>
            <w:r w:rsidRPr="00467596">
              <w:rPr>
                <w:rFonts w:ascii="Times New Roman" w:hAnsi="Times New Roman"/>
                <w:sz w:val="18"/>
                <w:szCs w:val="18"/>
              </w:rPr>
              <w:t>mbikëqyrëse për të verifikuar reputacionin, integritetin dhe kompetencën e drejtuesve të lartë dhe të pronarëve përfitues, mbi bazë rreziku dhe gjatë gjithë ciklit të ushtrimit të veprimtarisë.</w:t>
            </w:r>
          </w:p>
          <w:p w:rsidR="005B3659" w:rsidRPr="00467596" w:rsidRDefault="005B3659" w:rsidP="00A87413">
            <w:pPr>
              <w:snapToGrid w:val="0"/>
              <w:spacing w:after="0" w:line="240" w:lineRule="auto"/>
              <w:rPr>
                <w:rFonts w:ascii="Times New Roman" w:hAnsi="Times New Roman"/>
                <w:sz w:val="18"/>
                <w:szCs w:val="18"/>
              </w:rPr>
            </w:pP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Per transpozim te plote te nenit 6 te Direktives 1640/2024 do te shtohet nje nen lidhes ne ligjet sektoriale te autoriteteve mbikqyrese/ apo kur eshte e aplikueshme rregullim me akte nenligjore</w:t>
            </w:r>
          </w:p>
          <w:p w:rsidR="005B3659" w:rsidRPr="00467596" w:rsidRDefault="005B3659" w:rsidP="00A87413">
            <w:pPr>
              <w:snapToGrid w:val="0"/>
              <w:spacing w:after="0" w:line="240" w:lineRule="auto"/>
              <w:rPr>
                <w:rFonts w:ascii="Times New Roman" w:hAnsi="Times New Roman"/>
                <w:sz w:val="18"/>
                <w:szCs w:val="18"/>
              </w:rPr>
            </w:pP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Neni X</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Përshtatshmëria për qëllime të parandalimit të pastrimit të parave dhe financimit të terrorizmit</w:t>
            </w:r>
          </w:p>
          <w:p w:rsidR="005B3659" w:rsidRPr="00467596" w:rsidRDefault="005B3659" w:rsidP="00A87413">
            <w:pPr>
              <w:snapToGrid w:val="0"/>
              <w:spacing w:after="0" w:line="240" w:lineRule="auto"/>
              <w:rPr>
                <w:rFonts w:ascii="Times New Roman" w:hAnsi="Times New Roman"/>
                <w:sz w:val="18"/>
                <w:szCs w:val="18"/>
              </w:rPr>
            </w:pP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1. [Autoriteti mbikëqyrës], në ushtrimin e kompetencave të tij mbikëqyrëse dhe licencuese, verifikon përshtatshmërinë 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a) anëtarëve të drejtimit të lartë;</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lastRenderedPageBreak/>
              <w:t>b) personave që ushtrojnë funksione drejtuese ose kontrolluese;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c) pronarëve përfitues;</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të subjekteve të rregulluara dhe të mbikëqyrura prej tij, për qëllime të parandalimit të pastrimit të parave, veprave penale baapo financimit te armeve te demtimit ne mase, duke siguruar që këta persona:</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gëzojnë reputacion të mirë dhe veprojnë me ndershmëri dhe integritet;</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zotërojnë njohuritë dhe përvojën e nevojshme për ushtrimin e funksioneve të tyre, sipas rastit.</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2. [Autoriteti mbikëqyrës] merr masat e nevojshme administrative dhe mbikëqyrëse për të parandaluar që persona të dënuar me vendim gjyqësor të formës së prerë për pastrim parash, për veprat penale bazë të lidhura me të ose për financimin e terrorizmit, si dhe persona të lidhur me ta, të:</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a) licencohen, regjistrohen ose autorizohen profesionalisht, kur një kërkesë e tillë parashikohet nga legjislacioni në fuqi;</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b) ushtrojnë funksione drejtuese ose kontrolluese;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c) jenë pronarë përfitues ose të ushtrojnë kontroll, drejtpërdrejt ose tërthorazi, mbi subjektet e mbikëqyrura.</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3. [Autoriteti mbikëqyrës] verifikon në mënyrë të vazhdueshme dhe mbi bazë të vlerësimit të rrezikut nëse kërkesat e përcaktuara në pikat 1 dhe 2 të këtij neni vazhdojnë të përmbushen, veçanërisht kur:</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 xml:space="preserve">a) ekzistojnë shkaqe të arsyeshme për të dyshuar se pastrimi i parave ose financimi </w:t>
            </w:r>
            <w:r w:rsidRPr="00467596">
              <w:rPr>
                <w:rFonts w:ascii="Times New Roman" w:hAnsi="Times New Roman"/>
                <w:sz w:val="18"/>
                <w:szCs w:val="18"/>
              </w:rPr>
              <w:lastRenderedPageBreak/>
              <w:t>i terrorizmit është kryer, është duke u kryer ose është tentuar; ose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b) konstatohet një rritje e nivelit të rrezikut në subjektin e mbikëqyrur.</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4. Për qëllimet e këtij neni, [autoriteti mbikëqyrës] ka kompetencë:</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a) të refuzojë, pezullojë ose revokojë licencimin, regjistrimin ose autorizimin;</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b) të kërkojë largimin nga funksionet drejtuese ose kontrolluese;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c) të kërkojë ndryshime në strukturën e pronësisë ose të kontrollit, përfshirë cedimin e pjesëmarrjes;</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kur konstatohet mospërmbushja e kërkesave të përcaktuara në këtë nen.</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5. Në ushtrimin e kompetencave sipas këtij neni, [autoriteti mbikëqyrës] bashkëpunon me Agjencinë e Inteligjencës Financiare dhe autoritetet e tjera kompetente, në përputhje me legjislacionin për parandalimin e pastrimit të parave, financimin e terrorizmit apo financimin e armeve te demtimit ne mase.</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6. Vendimet e marra në zbatim të këtij neni i nënshtrohen të drejtës së ankimit administrativ dhe gjyqësor, sipas legjislacionit në fuqi.</w:t>
            </w:r>
          </w:p>
          <w:p w:rsidR="005B3659" w:rsidRPr="00467596" w:rsidRDefault="005B3659" w:rsidP="00A87413">
            <w:pPr>
              <w:snapToGrid w:val="0"/>
              <w:spacing w:after="0" w:line="240" w:lineRule="auto"/>
              <w:rPr>
                <w:rFonts w:ascii="Times New Roman" w:hAnsi="Times New Roman"/>
                <w:sz w:val="18"/>
                <w:szCs w:val="18"/>
              </w:rPr>
            </w:pPr>
            <w:r w:rsidRPr="00467596">
              <w:rPr>
                <w:rFonts w:ascii="Times New Roman" w:hAnsi="Times New Roman"/>
                <w:sz w:val="18"/>
                <w:szCs w:val="18"/>
              </w:rPr>
              <w:t>7. Procedurat, kriteret dhe modalitetet e detajuara për zbatimin e këtij neni përcaktohen me akte nënligjore të [autoritetit mbikëqyrës], të cilat nuk mund të cenojnë përmbajtjen thelbësore të të drejtave dhe detyrimeve të përcaktuara në këtë nen.</w:t>
            </w:r>
          </w:p>
          <w:p w:rsidR="005B3659" w:rsidRPr="00467596"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467596" w:rsidP="00A87413">
            <w:pPr>
              <w:snapToGrid w:val="0"/>
              <w:spacing w:after="0" w:line="240" w:lineRule="auto"/>
              <w:rPr>
                <w:rFonts w:ascii="Times New Roman" w:hAnsi="Times New Roman"/>
                <w:sz w:val="18"/>
                <w:szCs w:val="18"/>
              </w:rPr>
            </w:pPr>
            <w:r w:rsidRPr="00467596">
              <w:rPr>
                <w:rFonts w:ascii="Times New Roman" w:hAnsi="Times New Roman"/>
                <w:sz w:val="18"/>
                <w:szCs w:val="18"/>
              </w:rPr>
              <w:t>Legjislacioni kombëtar parashikon që autoritetet mbikëqyrëse të verifikojnë përshtatshmërinë dhe integritetin e drejtuesve të lartë dhe të pronarëve përfitues të disa subjekteve të detyruara, në koherencë me kuadrin ekzistues sektorial të vlerësimit ‘fit-and-proper’. Autoritetet mbikëqyrëse janë të detyruara të verifikojnë integritetin dhe përshtatshmërinë e drejtuesve të lartë dhe pronarëve përfitues të disa subjekteve të detyruara, si dhe të shoqërive holding ose shoqërive mëmë që kontrollojnë subjekte financiare të rregulluara. Dispozita garanton reputacion të mirë, ndershmëri dhe integritet, si dhe njohuri dhe përvojë të mjaftueshme të drejtuesve të lartë, dhe u jep autoriteteve mbikëqyrëse kompetencën për të miratuar akte nënligjore për zbatimin efektiv të saj, në përputhje me legjislacionin sektorial</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lidhje me subjektet e detyruara të përmendura në nenin 3, paragrafi 3, germat "a", "b", "d", "e", "f" dhe "h" deri në "o" të Rregullores (BE) 2024/1624, shtetet anëtare garantojnë që mbikëqyrësit të marrin masat e nevojshme për të parandaluar që personat e dënuar për pastrim parash, për veprat penale bazë të lidhura me të ose për financimin e terrorizmit, apo bashkëpunëtorët e tyre, të përfitojnë akreditim profesional, të mbajnë një funksion të lartë drejtues në subjektet e detyruara apo të jenë pronarë përfitues të këtyre subjekteve të detyruara.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467596" w:rsidRPr="00467596" w:rsidRDefault="00467596" w:rsidP="00A87413">
            <w:pPr>
              <w:widowControl w:val="0"/>
              <w:spacing w:after="0" w:line="240" w:lineRule="auto"/>
              <w:rPr>
                <w:rFonts w:ascii="Times New Roman" w:hAnsi="Times New Roman"/>
                <w:sz w:val="18"/>
                <w:szCs w:val="18"/>
                <w:lang w:val="sq-AL"/>
              </w:rPr>
            </w:pPr>
            <w:r w:rsidRPr="00467596">
              <w:rPr>
                <w:rFonts w:ascii="Times New Roman" w:hAnsi="Times New Roman"/>
                <w:sz w:val="18"/>
                <w:szCs w:val="18"/>
                <w:lang w:val="sq-AL"/>
              </w:rPr>
              <w:t xml:space="preserve">2. Për subjektet e detyruara të parashikuara në nenin 3, pikat (3)(a), (b), (d), (e), (f) dhe (h) deri tek (o) të Rregullores (BE) 2024/1624, të këtij ligji, autoritetet mbikëqyrëse marrin masat e nevojshme administrative dhe mbikëqyrëse për të parandaluar që persona e dënuar për veprën penale të pastrimit të parave, për </w:t>
            </w:r>
            <w:r w:rsidRPr="00467596">
              <w:rPr>
                <w:rFonts w:ascii="Times New Roman" w:hAnsi="Times New Roman"/>
                <w:sz w:val="18"/>
                <w:szCs w:val="18"/>
                <w:lang w:val="sq-AL"/>
              </w:rPr>
              <w:lastRenderedPageBreak/>
              <w:t>veprat penale bazë të lidhura me të, financimit të terrorizmit apo financimit të përhapjes të armëve të dëmtimit në masë, si dhe persona të lidhur me ta, të:</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të rregjistrohen apo të pajisen me licencim profesional, kur një i tillë kërkohet nga legjislacioni në fuqi;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të ushtrojnë funksione të larta drejtuese;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jenë pronarë përfitues të këtyre subjekteve të detyruara sipas këtij ligji.</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i/>
                <w:sz w:val="18"/>
                <w:szCs w:val="18"/>
              </w:rPr>
            </w:pPr>
          </w:p>
          <w:p w:rsidR="005B3659" w:rsidRPr="00F727DA" w:rsidRDefault="005B3659" w:rsidP="00A87413">
            <w:pPr>
              <w:snapToGrid w:val="0"/>
              <w:spacing w:after="0" w:line="240" w:lineRule="auto"/>
              <w:rPr>
                <w:rFonts w:ascii="Times New Roman" w:hAnsi="Times New Roman"/>
                <w:i/>
                <w:sz w:val="18"/>
                <w:szCs w:val="18"/>
              </w:rPr>
            </w:pP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6(2) i Direktivës (BE) 2024/1640 është transpozuar në ligjin AML shqiptar përmes një ndalimi të përgjithshëm për personat e dënuar për pastrim parash, financim terrorizmi ose bashkëpunëtorët e tyre për të mbajtur funksione drejtuese ose interesa përfitues në subjekte të detyruara. Ky standard zbatohet në praktikë përmes neneve specifike në ligjet sektoriale të mbikëqyrësve dhe akteve nenligjore të cilat u japin kompetenca eksplicite për refuzim, largim ose ndalim, në përputhje me parimin e proporcionalitetit.</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5B3659" w:rsidP="00A87413">
            <w:pPr>
              <w:snapToGrid w:val="0"/>
              <w:spacing w:after="0" w:line="240" w:lineRule="auto"/>
              <w:rPr>
                <w:rFonts w:ascii="Times New Roman" w:hAnsi="Times New Roman"/>
                <w:i/>
                <w:sz w:val="18"/>
                <w:szCs w:val="18"/>
              </w:rPr>
            </w:pPr>
          </w:p>
          <w:p w:rsidR="005B3659" w:rsidRPr="00F727DA" w:rsidRDefault="00B169F5" w:rsidP="00A87413">
            <w:pPr>
              <w:snapToGrid w:val="0"/>
              <w:spacing w:after="0" w:line="240" w:lineRule="auto"/>
              <w:rPr>
                <w:rFonts w:ascii="Times New Roman" w:hAnsi="Times New Roman"/>
                <w:sz w:val="18"/>
                <w:szCs w:val="18"/>
              </w:rPr>
            </w:pPr>
            <w:r w:rsidRPr="00B169F5">
              <w:rPr>
                <w:rFonts w:ascii="Times New Roman" w:hAnsi="Times New Roman"/>
                <w:sz w:val="18"/>
                <w:szCs w:val="18"/>
              </w:rPr>
              <w:t>Dispozita kërkon që autoritetet mbikëqyrëse të marrin masa administrative dhe mbikëqyrëse parandaluese për të garantuar që personat e dënuar me vendim gjyqësor të formës së prerë për pastrim parash, vepra penale bazë të lidhura me të ose financim të terrorizmit, si dhe personat e lidhur me ta, të pengohen nga marrja e akreditimit profesional, mbajtja e pozicioneve të drejtimit të lartë apo nga të qenit pronarë përfitues të disa subjekteve të detyruara</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verifikojnë, në bazë të vlerësimit të tyre të rrezikut, nëse kërkesat e paragrafëve 1 dhe 2 vazhdojnë të përmbushen. Në veçanti, ata verifikojnë nëse drejtuesit e lartë të subjekteve të detyruara të përmendur në paragrafin 1, kanë reputacion të mirë, veprojnë me ndershmëri dhe integritet dhe zotërojnë njohuritë dhe ekspertizën e nevojshme për kryerjen e funksioneve të tyre në rastet kur ka baza të arsyeshme për të dyshuar se po kryhet ose është kryer apo po tentohet të kryhet pastrimi i parave ose financimi i terrorizmit, ose kur ekziston një rrezik i shtuar për këtë në një subjekt të detyruar.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3. Autoritetet mbikëqyrëse verifikojnë, në mënyrë të vazhdueshme dhe në përputhje me një qasje të bazuar në rrezik, nëse kërkesat e parashikuara në pikat 1 dhe 2 të këtij neni vazhdojnë të përmbushen.</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Në veçanti, autoritetet mbikëqyrëse verifikojnë integritetin dhe përshtatshmërinë e </w:t>
            </w:r>
            <w:r w:rsidRPr="00F727DA">
              <w:rPr>
                <w:sz w:val="18"/>
                <w:szCs w:val="18"/>
              </w:rPr>
              <w:t xml:space="preserve"> </w:t>
            </w:r>
            <w:r w:rsidRPr="00F727DA">
              <w:rPr>
                <w:rFonts w:ascii="Times New Roman" w:hAnsi="Times New Roman"/>
                <w:sz w:val="18"/>
                <w:szCs w:val="18"/>
              </w:rPr>
              <w:t xml:space="preserve">drejtuesve të lartë të subjekteve të detyruara të parashikuara në pikën 1 të këtij neni, për sa i përket reputacionit, ndershmërisë, integritetit, </w:t>
            </w:r>
            <w:r w:rsidRPr="00F727DA">
              <w:rPr>
                <w:rFonts w:ascii="Times New Roman" w:hAnsi="Times New Roman"/>
                <w:sz w:val="18"/>
                <w:szCs w:val="18"/>
              </w:rPr>
              <w:lastRenderedPageBreak/>
              <w:t xml:space="preserve">si dhe njohurive dhe përvojës së nevojshme për ushtrimin e funksioneve të tyre, kur ekzistojnë shkaqe të arsyeshme për të dyshuar se pastrimi i parave, financimi i terrorizmit apo financimi i armëve të dëmtimit në masë është kryer, është duke u kryer ose është tentuar, ose kur konstatohet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rrezik i shtuar pastrimi i parave, financimi i terrorizmit apo financimi i armëve të dëmtimit në masë në subjektin e detyruar.</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3B5CCB" w:rsidP="00A87413">
            <w:pPr>
              <w:snapToGrid w:val="0"/>
              <w:spacing w:after="0" w:line="240" w:lineRule="auto"/>
              <w:rPr>
                <w:rFonts w:ascii="Times New Roman" w:hAnsi="Times New Roman"/>
                <w:sz w:val="18"/>
                <w:szCs w:val="18"/>
              </w:rPr>
            </w:pPr>
            <w:r w:rsidRPr="003B5CCB">
              <w:rPr>
                <w:rFonts w:ascii="Times New Roman" w:hAnsi="Times New Roman"/>
                <w:sz w:val="18"/>
                <w:szCs w:val="18"/>
              </w:rPr>
              <w:t>Autoritetet mbikëqyrëse janë të detyruara të verifikojnë, në mënyrë të vazhdueshme dhe në përputhje me qasjen e bazuar në rrezik, nëse kërkesat që lidhen me drejtuesit e lartë dhe pronarët përfitues vijojnë të përmbushen. Verifikim i thelluar kërkohet në rastet kur ekzistojnë dyshime të arsyeshme për pastrim parash ose financim të terrorizmit, ose kur identifikohet një nivel i shtuar rreziku brenda një subjekti të detyruar</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të kompetencën të kërkojnë largimin e çdo personi të dënuar për pastrim parash, për veprat penale bazë të lidhura me të ose për financim terrorizmi, nga niveli i lartë drejtues i subjekteve të detyruara i përmendur në paragrafët 1 dhe 2. Shtetet anëtare garantojnë që mbikëqyrësit të kenë kompetencën të largojnë ose të detyrojnë ndalimin e përkohshëm të anëtarëve në radhët e drejtuesve të lartë të subjekteve të detyruara të përmendur në paragrafin 1, të cilët nuk konsiderohen se kanë reputacion të mirë, se veprojnë me ndershmëri dhe integritet ose se zotërojnë njohuritë dhe ekspertizën e nevojshme për kryerjen e funksioneve të tyre.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Autoritetet mbikëqyrëse kanë kompetencën të kërkojnë largimin nga funksionet e drejtimit të lartë të çdo personi të dënuar me vendim gjyqësor të formës së prerë për veprën penale të pastrimit të parave, për veprat penale bazë të lidhura me të ose për financimin e terrorizmit, në subjektet e detyruara të parashikuara në pikat 1 dhe 2 të këtij neni.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Autoritetet mbikëqyrëse </w:t>
            </w:r>
            <w:r w:rsidRPr="00F727DA">
              <w:rPr>
                <w:rFonts w:ascii="Times New Roman" w:hAnsi="Times New Roman"/>
                <w:sz w:val="18"/>
                <w:szCs w:val="18"/>
              </w:rPr>
              <w:lastRenderedPageBreak/>
              <w:t>kanë gjithashtu kompetencën të urdhërojnë largimin ose të vendosin ndalim të përkohshëm ndaj anëtarëve të drejtimit të lartë të subjekteve të detyruara të parashikuara në pikën 1 të këtij neni, kur këta nuk konsiderohen të përshtatshëm, për shkak 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nuk gëzojnë reputacion të mirë;</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nuk veprojnë me ndershmëri dhe integritet; ose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nuk zotërojnë njohuritë dhe përvojën e nevojshme për ushtrimin e funksioneve të tyre.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3B5CCB" w:rsidRDefault="003B5CCB" w:rsidP="00A87413">
            <w:pPr>
              <w:snapToGrid w:val="0"/>
              <w:spacing w:after="0" w:line="240" w:lineRule="auto"/>
              <w:rPr>
                <w:rFonts w:ascii="Times New Roman" w:hAnsi="Times New Roman"/>
                <w:sz w:val="18"/>
                <w:szCs w:val="18"/>
              </w:rPr>
            </w:pPr>
            <w:r w:rsidRPr="003B5CCB">
              <w:rPr>
                <w:rFonts w:ascii="Times New Roman" w:hAnsi="Times New Roman"/>
                <w:sz w:val="18"/>
                <w:szCs w:val="18"/>
              </w:rPr>
              <w:t>Neni 6/4 zbatohet përmes një kombinimi të dispozitave horizontale të legjislacionit për AML/CFT dhe ndryshimeve të shprehimta sektoriale, të cilat u japin autoriteteve mbikëqyrëse kompetencat e nevojshme për të verifikuar përshtatshmërinë dhe integritetin, për të penguar personat e dënuar nga mbajtja e funksioneve të drejtimit të lartë ose pozicioneve të pronësisë, si dhe për të kërkuar largimin apo masa të tjera korrigjuese. Kjo qasje garanton efektivitet të plotë, siguri juridike dhe zbatueshmëri gjyqësore.</w:t>
            </w:r>
          </w:p>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kompetencën të shkëpusin nga subjektet e detyruara personat e dënuar për pastrim parash, për veprat penale bazë të lidhura me të ose për financim terrorizmi, të cilët janë pronarë përfitues të subjekteve të detyruara siç përmendet në paragrafin 1 dhe 2, ndër të tjera duke u njohur mbikëqyrësve kompetencën për të kërkuar cedimin e pjesëmarrjes nga këta pronarë përfitues në subjektet e detyruara.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5. Autoritetet mbikëqyrëse kanë kompetencë të ndërmarrin masa administrative për ndërprerjen e lidhjes juridike apo faktike me subjektin e detyruar të personave të dënuar për veprën penale të pastrimit të parave, për veprat penale bazë të lidhura me të, për financimin e terrorizmit apo financimin e armeve </w:t>
            </w:r>
            <w:r w:rsidRPr="00F727DA">
              <w:rPr>
                <w:rFonts w:ascii="Times New Roman" w:hAnsi="Times New Roman"/>
                <w:sz w:val="18"/>
                <w:szCs w:val="18"/>
              </w:rPr>
              <w:lastRenderedPageBreak/>
              <w:t>te demtimit ne mase, kur këta persona janë pronarë përfitues të subjektit të detyruar.</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Për këtë qëllim, </w:t>
            </w:r>
            <w:r w:rsidRPr="00F727DA">
              <w:rPr>
                <w:sz w:val="18"/>
                <w:szCs w:val="18"/>
              </w:rPr>
              <w:t xml:space="preserve"> </w:t>
            </w:r>
            <w:r w:rsidRPr="00F727DA">
              <w:rPr>
                <w:rFonts w:ascii="Times New Roman" w:hAnsi="Times New Roman"/>
                <w:sz w:val="18"/>
                <w:szCs w:val="18"/>
              </w:rPr>
              <w:t>autoritetet mbikëqyrëse kanë kompetencën të kërkojnë që  pronarët përfitues të dënuar që të heqin dorë nga pjesëmarrja e tyre në subjektin e detyruar, përmes cedimit, tjetërsimit ose çdo forme tjetër të disponimit të pjesëmarrjes, me qëllim eliminimin e çdo forme kontrolli ose ndikimi mbi subjektin e detyruar.</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FE4498" w:rsidP="00A87413">
            <w:pPr>
              <w:snapToGrid w:val="0"/>
              <w:spacing w:after="0" w:line="240" w:lineRule="auto"/>
              <w:rPr>
                <w:rFonts w:ascii="Times New Roman" w:hAnsi="Times New Roman"/>
                <w:sz w:val="18"/>
                <w:szCs w:val="18"/>
              </w:rPr>
            </w:pPr>
            <w:r w:rsidRPr="00FE4498">
              <w:rPr>
                <w:rFonts w:ascii="Times New Roman" w:hAnsi="Times New Roman"/>
                <w:sz w:val="18"/>
                <w:szCs w:val="18"/>
              </w:rPr>
              <w:t xml:space="preserve">Autoritetet mbikëqyrëse janë të autorizuara të ndërmarrin masa administrative për të ndërprerë çdo lidhje juridike ose faktike ndërmjet subjekteve të detyruara dhe pronarëve përfitues të dënuar për pastrim parash, vepra penale bazë të lidhura me të, financim të terrorizmit apo financim të armëve të shkatërrimit në masë. Kjo përfshin kompetencën për të kërkuar që pronarët përfitues të dënuar të heqin dorë nga pjesëmarrjet e tyre përmes akteve të ligjshme të disponimit, si transferimi ose forma të tjera të tjetërsimit, me qëllim eliminimin e çdo forme pronësie, kontrolli </w:t>
            </w:r>
            <w:r w:rsidRPr="00FE4498">
              <w:rPr>
                <w:rFonts w:ascii="Times New Roman" w:hAnsi="Times New Roman"/>
                <w:sz w:val="18"/>
                <w:szCs w:val="18"/>
              </w:rPr>
              <w:lastRenderedPageBreak/>
              <w:t>ose ndikimi mbi subjektin e detyruar, në përputhje me parimet e proporcionalitetit dhe mbrojtjes së të drejtës së pronës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neni, shtetet anëtare garantojnë që, në përputhje me të drejtën e brendshme, mbikëqyrësit ose çdo autoritet tjetër kompetent në nivel kombëtar për vlerësimin e kërkesave të zbatueshme për personat e përmendur në paragrafët 1 dhe 2 të këtij neni, të kontrollojnë bazën qendrore të të dhënave për luftën kundër pastrimit të parave dhe financimit të terrorizmit sipas nenit 11 të Rregullores (BE) 2024/1620 dhe nëse ka ndonjë dënim përkatës në dosjen penale të personit në fjalë. Çdo shkëmbim informacioni për këto qëllime kryhet në përputhje me Vendimin Kuadër 2009/315/ÇBD dhe Vendimin 2009/316/ÇBD siç gjejnë zbatim në legjislacionin e brendshëm.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6. Për qëllimet e këtij neni, autoritetet mbikëqyrëse, si dhe çdo autoritet tjetër kompetent në nivel kombëtar për vlerësimin e përmbushjes së kërkesave të zbatueshme ndaj personave të parashikuar në pikat 1 dhe 2 të këtij neni, verifikojnë, në përputhje me legjislacionin në fuqi:</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 ekzistencën e të dhënave në regjistrat dhe bazat kombëtare të informacionit per parandalimiin e pastrimit </w:t>
            </w:r>
            <w:r w:rsidRPr="00F727DA">
              <w:rPr>
                <w:rFonts w:ascii="Times New Roman" w:hAnsi="Times New Roman"/>
                <w:sz w:val="18"/>
                <w:szCs w:val="18"/>
              </w:rPr>
              <w:lastRenderedPageBreak/>
              <w:t>te parave dhe financimit te terorizmit; dhe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nëse ndaj personit përkatës ekziston një dënim penal i regjistruar në regjistrin e gjendjes gjyqësore.</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Shkëmbimi i informacionit për këto qëllime kryhet në përputhje me legjislacionin kombëtar për mbrojtjen e të dhënave personale, procedurën penale dhe bashkëpunimin ndërinstitucional, si dhe me marrëveshjet ndërkombëtare në të cilat Republika e Shqipërisë është palë.</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EC0C97" w:rsidRDefault="00EC0C97" w:rsidP="00A87413">
            <w:pPr>
              <w:snapToGrid w:val="0"/>
              <w:spacing w:after="0" w:line="240" w:lineRule="auto"/>
              <w:rPr>
                <w:rFonts w:ascii="Times New Roman" w:hAnsi="Times New Roman"/>
                <w:sz w:val="18"/>
                <w:szCs w:val="18"/>
              </w:rPr>
            </w:pPr>
            <w:r w:rsidRPr="00EC0C97">
              <w:rPr>
                <w:rFonts w:ascii="Times New Roman" w:hAnsi="Times New Roman"/>
                <w:sz w:val="18"/>
                <w:szCs w:val="18"/>
              </w:rPr>
              <w:t>I harmonizuar në aspekt funksional. Legjislacioni kombëtar kërkon që autoritetet mbikëqyrëse dhe autoritetet e tjera kompetente të verifikojnë informacionin përkatës në fushën e AML/CFT dhe të dhënat nga regjistrat penalë, në përputhje me legjislacionin kombëtar. Referencat e drejtpërdrejta ndaj bazave të të dhënave dhe instrumenteve në nivel të BE-së nuk përfshihen në këtë fazë, duke pasur parasysh statusin e vendit kandidat, por dispozita siguron ekuivalencë funksionale dhe mundëson integrim të menjëhershëm pas anëtarësimit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vendimet e marra nga mbikëqyrësit në përputhje me këtë nen t’u nënshtrohen procedurave efektive të zgjidhjes, duke përfshirë zgjidhjet ligjore.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7. Vendimet e marra nga autoritetet mbikëqyrëse në zbatim të këtij neni i nënshtrohen procedurave efektive të ankimit, përfshirë ankimin administrativ dhe gjyqësor, në përputhje me legjislacionin në fuqi.</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8 Kompetencat e autoriteteve mbikëqyrëse të parashikuara në këtë nen ushtrohen në përputhje me ligjet sektoriale që rregullojnë </w:t>
            </w:r>
            <w:r w:rsidRPr="00F727DA">
              <w:rPr>
                <w:rFonts w:ascii="Times New Roman" w:hAnsi="Times New Roman"/>
                <w:sz w:val="18"/>
                <w:szCs w:val="18"/>
              </w:rPr>
              <w:lastRenderedPageBreak/>
              <w:t>organizimin, funksionimin dhe kompetencat e secilit autoritet mbikëqyrës, të cilat përcaktojnë procedurat dhe masat konkrete për zbatimin e tyre.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rsidR="005B3659" w:rsidRPr="00F727DA" w:rsidRDefault="00E14FEA" w:rsidP="00A87413">
            <w:pPr>
              <w:snapToGrid w:val="0"/>
              <w:spacing w:after="0" w:line="240" w:lineRule="auto"/>
              <w:rPr>
                <w:rFonts w:ascii="Times New Roman" w:hAnsi="Times New Roman"/>
                <w:sz w:val="18"/>
                <w:szCs w:val="18"/>
              </w:rPr>
            </w:pPr>
            <w:r w:rsidRPr="00E14FEA">
              <w:rPr>
                <w:rFonts w:ascii="Times New Roman" w:hAnsi="Times New Roman"/>
                <w:sz w:val="18"/>
                <w:szCs w:val="18"/>
              </w:rPr>
              <w:t>Vendimet e marra nga autoritetet mbikëqyrëse sipas këtij neni i nënshtrohen mjeteve efektive administrative dhe gjyqësore të ankimit. Ushtrimi i kompetencave mbikëqyrëse realizohet në përputhje me legjislacionin sektorial përkatës që rregullon secilin autoritet, duke garantuar siguri juridike dhe zbatueshmëri gjyqësore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(8)</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nxjerr udhëzime për: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jc w:val="center"/>
              <w:rPr>
                <w:sz w:val="18"/>
                <w:szCs w:val="18"/>
              </w:rPr>
            </w:pPr>
          </w:p>
        </w:tc>
        <w:tc>
          <w:tcPr>
            <w:tcW w:w="2064" w:type="dxa"/>
            <w:shd w:val="clear" w:color="auto" w:fill="auto"/>
          </w:tcPr>
          <w:p w:rsidR="005B3659" w:rsidRPr="00F727DA" w:rsidRDefault="005B3659" w:rsidP="00A87413">
            <w:pPr>
              <w:spacing w:after="0"/>
              <w:rPr>
                <w:rFonts w:ascii="Times New Roman" w:hAnsi="Times New Roman"/>
                <w:sz w:val="18"/>
                <w:szCs w:val="18"/>
              </w:rPr>
            </w:pPr>
          </w:p>
          <w:p w:rsidR="005B3659" w:rsidRPr="00F727DA" w:rsidRDefault="005B3659" w:rsidP="00A87413">
            <w:pPr>
              <w:spacing w:after="0"/>
              <w:rPr>
                <w:rFonts w:ascii="Times New Roman" w:hAnsi="Times New Roman"/>
                <w:sz w:val="18"/>
                <w:szCs w:val="18"/>
              </w:rPr>
            </w:pPr>
            <w:r w:rsidRPr="00F727DA">
              <w:rPr>
                <w:rFonts w:ascii="Times New Roman" w:hAnsi="Times New Roman"/>
                <w:sz w:val="18"/>
                <w:szCs w:val="18"/>
              </w:rPr>
              <w:t>9. Për qëllimet e zbatimit të këtij neni, autoritetet mbikëqyrëse:</w:t>
            </w:r>
          </w:p>
          <w:p w:rsidR="005B3659" w:rsidRPr="00F727DA" w:rsidRDefault="005B3659" w:rsidP="00A87413">
            <w:pPr>
              <w:spacing w:after="0"/>
              <w:jc w:val="center"/>
              <w:rPr>
                <w:sz w:val="18"/>
                <w:szCs w:val="18"/>
              </w:rPr>
            </w:pPr>
          </w:p>
        </w:tc>
        <w:tc>
          <w:tcPr>
            <w:tcW w:w="1356" w:type="dxa"/>
            <w:shd w:val="clear" w:color="auto" w:fill="auto"/>
            <w:vAlign w:val="center"/>
          </w:tcPr>
          <w:p w:rsidR="005B3659" w:rsidRPr="00F41FCB" w:rsidRDefault="00887A79" w:rsidP="00A87413">
            <w:pPr>
              <w:spacing w:after="0"/>
              <w:jc w:val="center"/>
              <w:rPr>
                <w:sz w:val="18"/>
                <w:szCs w:val="18"/>
              </w:rPr>
            </w:pPr>
            <w:r>
              <w:rPr>
                <w:sz w:val="18"/>
                <w:szCs w:val="18"/>
              </w:rPr>
              <w:t>F</w:t>
            </w:r>
          </w:p>
        </w:tc>
        <w:tc>
          <w:tcPr>
            <w:tcW w:w="3324" w:type="dxa"/>
            <w:shd w:val="clear" w:color="auto" w:fill="auto"/>
          </w:tcPr>
          <w:p w:rsidR="005B3659" w:rsidRPr="00F41FCB" w:rsidRDefault="00F41FCB" w:rsidP="00A87413">
            <w:pPr>
              <w:spacing w:after="0"/>
              <w:rPr>
                <w:rFonts w:ascii="Times New Roman" w:hAnsi="Times New Roman"/>
                <w:sz w:val="18"/>
                <w:szCs w:val="18"/>
              </w:rPr>
            </w:pPr>
            <w:r w:rsidRPr="00F41FCB">
              <w:rPr>
                <w:rFonts w:ascii="Times New Roman" w:hAnsi="Times New Roman"/>
                <w:sz w:val="18"/>
                <w:szCs w:val="18"/>
              </w:rPr>
              <w:t>Nuk i nënshtrohet transpozimit të drejtpërdrejtë.</w:t>
            </w:r>
            <w:r w:rsidRPr="00F41FCB">
              <w:rPr>
                <w:rFonts w:ascii="Times New Roman" w:hAnsi="Times New Roman"/>
                <w:sz w:val="18"/>
                <w:szCs w:val="18"/>
              </w:rPr>
              <w:br/>
              <w:t>Neni 6(8) lidhet me nxjerrjen e udhëzimeve nga AMLA. Legjislacioni kombëtar garanton që autoritetet mbikëqyrëse të zbatojnë kritere të qëndrueshme, të dokumentuara dhe të bazuara në rrezik për vlerësimin e reputacionit të mirë, ndershmërisë, integritetit, njohurive dhe ekspertizës, si dhe të ushtrojnë kompetencat e tyre në mënyrë të njëtrajtshme, duke marrë në konsideratë karakteristikat sektoriale dhe standardet përkatëse ndërkombëtare dhe evropiane, duke siguruar harmonizim funksional dhe gatishmëri për zbatimin e ardhshëm pas anëtarësimit.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(8)(a)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për vlerësimin e reputacionit të mirë, ndershmërisë dhe integritetit të përmendura në paragrafin 1;</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jc w:val="center"/>
              <w:rPr>
                <w:sz w:val="18"/>
                <w:szCs w:val="18"/>
              </w:rPr>
            </w:pPr>
          </w:p>
        </w:tc>
        <w:tc>
          <w:tcPr>
            <w:tcW w:w="2064" w:type="dxa"/>
            <w:shd w:val="clear" w:color="auto" w:fill="auto"/>
          </w:tcPr>
          <w:p w:rsidR="005B3659" w:rsidRPr="00F727DA" w:rsidRDefault="005B3659" w:rsidP="00A87413">
            <w:pPr>
              <w:spacing w:after="0"/>
              <w:rPr>
                <w:rFonts w:ascii="Times New Roman" w:hAnsi="Times New Roman"/>
                <w:sz w:val="18"/>
                <w:szCs w:val="18"/>
              </w:rPr>
            </w:pPr>
            <w:r w:rsidRPr="00F727DA">
              <w:rPr>
                <w:rFonts w:ascii="Times New Roman" w:hAnsi="Times New Roman"/>
                <w:sz w:val="18"/>
                <w:szCs w:val="18"/>
              </w:rPr>
              <w:t>a) zbatojnë kritere të njëtrajtshme dhe të dokumentuara për vlerësimin e integritetit dhe pershtatshmerise të personave të parashikuar në pikën 1 të këtij neni;</w:t>
            </w:r>
          </w:p>
          <w:p w:rsidR="005B3659" w:rsidRPr="00F727DA" w:rsidRDefault="005B3659" w:rsidP="00A87413">
            <w:pPr>
              <w:spacing w:after="0"/>
              <w:rPr>
                <w:sz w:val="18"/>
                <w:szCs w:val="18"/>
              </w:rPr>
            </w:pPr>
          </w:p>
        </w:tc>
        <w:tc>
          <w:tcPr>
            <w:tcW w:w="1356" w:type="dxa"/>
            <w:shd w:val="clear" w:color="auto" w:fill="auto"/>
            <w:vAlign w:val="center"/>
          </w:tcPr>
          <w:p w:rsidR="005B3659" w:rsidRPr="00F727DA" w:rsidRDefault="00887A79" w:rsidP="00A87413">
            <w:pPr>
              <w:spacing w:after="0"/>
              <w:jc w:val="center"/>
              <w:rPr>
                <w:sz w:val="18"/>
                <w:szCs w:val="18"/>
              </w:rPr>
            </w:pPr>
            <w:r>
              <w:rPr>
                <w:sz w:val="18"/>
                <w:szCs w:val="18"/>
              </w:rPr>
              <w:t>F</w:t>
            </w:r>
          </w:p>
        </w:tc>
        <w:tc>
          <w:tcPr>
            <w:tcW w:w="3324" w:type="dxa"/>
            <w:shd w:val="clear" w:color="auto" w:fill="auto"/>
          </w:tcPr>
          <w:p w:rsidR="005B3659" w:rsidRPr="00F727DA" w:rsidRDefault="005B3659" w:rsidP="00A87413">
            <w:pPr>
              <w:spacing w:after="0"/>
              <w:jc w:val="center"/>
              <w:rPr>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për vlerësimin e njohurive dhe ekspertizës të përmendura në paragrafin 1;</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jc w:val="center"/>
              <w:rPr>
                <w:sz w:val="18"/>
                <w:szCs w:val="18"/>
              </w:rPr>
            </w:pPr>
          </w:p>
        </w:tc>
        <w:tc>
          <w:tcPr>
            <w:tcW w:w="2064"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b) zbatojnë kritere të njëtrajtshme dhe të dokumentuara për </w:t>
            </w:r>
            <w:r w:rsidRPr="00F727DA">
              <w:rPr>
                <w:rFonts w:ascii="Times New Roman" w:hAnsi="Times New Roman"/>
                <w:sz w:val="18"/>
                <w:szCs w:val="18"/>
              </w:rPr>
              <w:lastRenderedPageBreak/>
              <w:t>vlerësimin e njohurive profesionale, përvojës dhe aftësive të personave të parashikuar në pikën 1 të këtij neni, me qëllim sigurimin e ushtrimit të përshtatshëm të funksioneve të tyre;</w:t>
            </w:r>
          </w:p>
        </w:tc>
        <w:tc>
          <w:tcPr>
            <w:tcW w:w="1356" w:type="dxa"/>
            <w:shd w:val="clear" w:color="auto" w:fill="auto"/>
            <w:vAlign w:val="center"/>
          </w:tcPr>
          <w:p w:rsidR="005B3659" w:rsidRPr="00F727DA" w:rsidRDefault="00887A79" w:rsidP="00A87413">
            <w:pPr>
              <w:spacing w:after="0"/>
              <w:jc w:val="center"/>
              <w:rPr>
                <w:sz w:val="18"/>
                <w:szCs w:val="18"/>
              </w:rPr>
            </w:pPr>
            <w:r>
              <w:rPr>
                <w:sz w:val="18"/>
                <w:szCs w:val="18"/>
              </w:rPr>
              <w:lastRenderedPageBreak/>
              <w:t>F</w:t>
            </w:r>
          </w:p>
        </w:tc>
        <w:tc>
          <w:tcPr>
            <w:tcW w:w="3324" w:type="dxa"/>
            <w:shd w:val="clear" w:color="auto" w:fill="auto"/>
          </w:tcPr>
          <w:p w:rsidR="005B3659" w:rsidRPr="00F727DA" w:rsidRDefault="005B3659" w:rsidP="00A87413">
            <w:pPr>
              <w:spacing w:after="0"/>
              <w:jc w:val="center"/>
              <w:rPr>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zbatimin konsistent nga mbikëqyrësit të kompetencave që u janë besuar në kuadër të këtij neni.</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hartimin e udhëzimeve të përmendura në nënparagrafin e parë, AMLA merr parasysh specifikat e secilit sektor në të cilin operojnë subjektet e detyruara.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jc w:val="center"/>
              <w:rPr>
                <w:sz w:val="18"/>
                <w:szCs w:val="18"/>
              </w:rPr>
            </w:pPr>
          </w:p>
        </w:tc>
        <w:tc>
          <w:tcPr>
            <w:tcW w:w="2064" w:type="dxa"/>
            <w:shd w:val="clear" w:color="auto" w:fill="auto"/>
          </w:tcPr>
          <w:p w:rsidR="005B3659" w:rsidRPr="00F727DA" w:rsidRDefault="005B3659" w:rsidP="00A87413">
            <w:pPr>
              <w:spacing w:after="0"/>
              <w:rPr>
                <w:rFonts w:ascii="Times New Roman" w:hAnsi="Times New Roman"/>
                <w:sz w:val="18"/>
                <w:szCs w:val="18"/>
              </w:rPr>
            </w:pPr>
            <w:r w:rsidRPr="00F727DA">
              <w:rPr>
                <w:rFonts w:ascii="Times New Roman" w:hAnsi="Times New Roman"/>
                <w:sz w:val="18"/>
                <w:szCs w:val="18"/>
              </w:rPr>
              <w:t>c) sigurojnë zbatimin e njëtrajtshëm dhe të qëndrueshëm të kompetencave të parashikuara në këtë nen, në përputhje me një qasje të bazuar në rrezik dhe duke respektuar specifikat e sektorëve përkatës në të cilët operojnë subjektet e detyruara.</w:t>
            </w:r>
          </w:p>
          <w:p w:rsidR="005B3659" w:rsidRPr="00F727DA" w:rsidRDefault="005B3659" w:rsidP="00A87413">
            <w:pPr>
              <w:spacing w:after="0"/>
              <w:rPr>
                <w:sz w:val="18"/>
                <w:szCs w:val="18"/>
              </w:rPr>
            </w:pPr>
            <w:r w:rsidRPr="00F727DA">
              <w:rPr>
                <w:rFonts w:ascii="Times New Roman" w:hAnsi="Times New Roman"/>
                <w:sz w:val="18"/>
                <w:szCs w:val="18"/>
              </w:rPr>
              <w:t>Në përcaktimin dhe zbatimin e kritereve dhe praktikave sipas shkronjave “a”, “b” dhe “c” të kësaj pike, autoritetet mbikëqyrëse marrin në konsideratë udhëzimet, standardet dhe praktikat më të mira ndërkombëtare dhe evropiane, duke reflektuar specifikat e secilit sektor /A</w:t>
            </w:r>
          </w:p>
        </w:tc>
        <w:tc>
          <w:tcPr>
            <w:tcW w:w="1356" w:type="dxa"/>
            <w:shd w:val="clear" w:color="auto" w:fill="auto"/>
            <w:vAlign w:val="center"/>
          </w:tcPr>
          <w:p w:rsidR="005B3659" w:rsidRPr="00F727DA" w:rsidRDefault="00887A79" w:rsidP="00A87413">
            <w:pPr>
              <w:spacing w:after="0"/>
              <w:jc w:val="center"/>
              <w:rPr>
                <w:sz w:val="18"/>
                <w:szCs w:val="18"/>
              </w:rPr>
            </w:pPr>
            <w:r>
              <w:rPr>
                <w:sz w:val="18"/>
                <w:szCs w:val="18"/>
              </w:rPr>
              <w:t>F</w:t>
            </w:r>
          </w:p>
        </w:tc>
        <w:tc>
          <w:tcPr>
            <w:tcW w:w="3324" w:type="dxa"/>
            <w:shd w:val="clear" w:color="auto" w:fill="auto"/>
          </w:tcPr>
          <w:p w:rsidR="005B3659" w:rsidRPr="00F727DA" w:rsidRDefault="005B3659" w:rsidP="00A87413">
            <w:pPr>
              <w:spacing w:after="0"/>
              <w:jc w:val="center"/>
              <w:rPr>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6(9)</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e zbatojnë këtë nen në lidhje me subjektet e detyruara të përmendura në </w:t>
            </w:r>
            <w:r w:rsidRPr="00F727DA">
              <w:rPr>
                <w:rFonts w:ascii="Times New Roman" w:hAnsi="Times New Roman"/>
                <w:sz w:val="18"/>
                <w:szCs w:val="18"/>
                <w:lang w:eastAsia="sq-AL" w:bidi="sq-AL"/>
              </w:rPr>
              <w:lastRenderedPageBreak/>
              <w:t>nenin 3, paragrafi 3, germat “n” dhe “o” të Rregullores (BE) 2024/1624, duke filluar nga data 10 korrik 2029.</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887A79" w:rsidRDefault="005B3659"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rPr>
              <w:t xml:space="preserve">10. </w:t>
            </w:r>
            <w:r w:rsidR="00887A79" w:rsidRPr="00887A79">
              <w:rPr>
                <w:rFonts w:ascii="Times New Roman" w:eastAsiaTheme="minorHAnsi" w:hAnsi="Times New Roman"/>
                <w:sz w:val="24"/>
                <w:szCs w:val="24"/>
                <w:lang w:val="sq-AL" w:eastAsia="en-US"/>
              </w:rPr>
              <w:t xml:space="preserve"> </w:t>
            </w:r>
            <w:r w:rsidR="00887A79" w:rsidRPr="00887A79">
              <w:rPr>
                <w:rFonts w:ascii="Times New Roman" w:hAnsi="Times New Roman"/>
                <w:sz w:val="18"/>
                <w:szCs w:val="18"/>
                <w:lang w:val="sq-AL"/>
              </w:rPr>
              <w:t xml:space="preserve">Kërkesat e parashikuara në këtë nen </w:t>
            </w:r>
            <w:r w:rsidR="00887A79" w:rsidRPr="00887A79">
              <w:rPr>
                <w:rFonts w:ascii="Times New Roman" w:hAnsi="Times New Roman"/>
                <w:sz w:val="18"/>
                <w:szCs w:val="18"/>
                <w:lang w:val="sq-AL"/>
              </w:rPr>
              <w:lastRenderedPageBreak/>
              <w:t>zbatohen edhe ndaj subjekteve të detyruara, të përcaktuara në nenin 3, pika 3(n) dhe (o) të Rregullores (BE) 2024/1624 nga 10 Korrik 2029, duke siguruar një zbatim gradual dhe proporcional të tyre, në përputhje me zhvillimet e kuadrit evropian për parandalimin e pastrimit të parave, veprave penale bazë të lidhura me to, financimit të terrorizmit dhe financimit të përhapjes të armëve të shkatërrimit në masë.</w:t>
            </w: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887A79" w:rsidRDefault="00887A79" w:rsidP="00A87413">
            <w:pPr>
              <w:snapToGrid w:val="0"/>
              <w:spacing w:after="0" w:line="240" w:lineRule="auto"/>
              <w:rPr>
                <w:rFonts w:ascii="Times New Roman" w:hAnsi="Times New Roman"/>
                <w:sz w:val="18"/>
                <w:szCs w:val="18"/>
              </w:rPr>
            </w:pPr>
            <w:r w:rsidRPr="00887A79">
              <w:rPr>
                <w:rFonts w:ascii="Times New Roman" w:hAnsi="Times New Roman"/>
                <w:sz w:val="18"/>
                <w:szCs w:val="18"/>
              </w:rPr>
              <w:t xml:space="preserve">Zbatim në kohë. Dispozita parashikon aplikim të shtyrë të nenit 6 ndaj kategorive </w:t>
            </w:r>
            <w:r w:rsidRPr="00887A79">
              <w:rPr>
                <w:rFonts w:ascii="Times New Roman" w:hAnsi="Times New Roman"/>
                <w:sz w:val="18"/>
                <w:szCs w:val="18"/>
              </w:rPr>
              <w:lastRenderedPageBreak/>
              <w:t>shtesë të subjekteve të detyruara. Legjislacioni kombëtar e trajton këtë kërkesë përmes dispozitave kalimtare që sigurojnë zbatim gradual dhe proporcional, duke mundësuar harmonizim të plotë me kuadrin e BE-së për AML/CFT pas anëtarësimit</w:t>
            </w:r>
          </w:p>
        </w:tc>
      </w:tr>
      <w:tr w:rsidR="00A50320" w:rsidRPr="00F727DA" w:rsidTr="00E24C86">
        <w:trPr>
          <w:trHeight w:val="578"/>
        </w:trPr>
        <w:tc>
          <w:tcPr>
            <w:tcW w:w="14397" w:type="dxa"/>
            <w:gridSpan w:val="8"/>
            <w:shd w:val="clear" w:color="auto" w:fill="D9D9D9" w:themeFill="background1" w:themeFillShade="D9"/>
            <w:vAlign w:val="center"/>
          </w:tcPr>
          <w:p w:rsidR="00A50320" w:rsidRPr="00F727DA" w:rsidRDefault="00A50320"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Seksioni 3</w:t>
            </w:r>
          </w:p>
          <w:p w:rsidR="00A50320" w:rsidRPr="00F727DA" w:rsidRDefault="00A50320"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Vlerësimi i Riskut</w:t>
            </w:r>
          </w:p>
        </w:tc>
      </w:tr>
      <w:tr w:rsidR="00A50320" w:rsidRPr="00F727DA" w:rsidTr="00E24C86">
        <w:trPr>
          <w:trHeight w:val="578"/>
        </w:trPr>
        <w:tc>
          <w:tcPr>
            <w:tcW w:w="14397" w:type="dxa"/>
            <w:gridSpan w:val="8"/>
            <w:shd w:val="clear" w:color="auto" w:fill="D9D9D9" w:themeFill="background1" w:themeFillShade="D9"/>
            <w:vAlign w:val="center"/>
          </w:tcPr>
          <w:p w:rsidR="00A50320" w:rsidRPr="00F727DA" w:rsidRDefault="00A50320"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w:t>
            </w:r>
            <w:r w:rsidR="00EA2561" w:rsidRPr="00F727DA">
              <w:rPr>
                <w:rFonts w:ascii="Times New Roman" w:hAnsi="Times New Roman"/>
                <w:b/>
                <w:sz w:val="18"/>
                <w:szCs w:val="18"/>
              </w:rPr>
              <w:t>7</w:t>
            </w:r>
          </w:p>
          <w:p w:rsidR="00EA2561" w:rsidRPr="00F727DA" w:rsidRDefault="00EA2561"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Vlerësimi I riskut në nivel t</w:t>
            </w:r>
            <w:r w:rsidR="00B2497F" w:rsidRPr="00F727DA">
              <w:rPr>
                <w:rFonts w:ascii="Times New Roman" w:hAnsi="Times New Roman"/>
                <w:b/>
                <w:sz w:val="18"/>
                <w:szCs w:val="18"/>
              </w:rPr>
              <w:t>ë</w:t>
            </w:r>
            <w:r w:rsidRPr="00F727DA">
              <w:rPr>
                <w:rFonts w:ascii="Times New Roman" w:hAnsi="Times New Roman"/>
                <w:b/>
                <w:sz w:val="18"/>
                <w:szCs w:val="18"/>
              </w:rPr>
              <w:t xml:space="preserve"> BE</w:t>
            </w:r>
            <w:r w:rsidRPr="00F727DA">
              <w:rPr>
                <w:rFonts w:ascii="Times New Roman" w:hAnsi="Times New Roman"/>
                <w:sz w:val="18"/>
                <w:szCs w:val="18"/>
              </w:rPr>
              <w:t xml:space="preserve">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kryen një vlerësim të rreziqeve të pastrimit të parave dhe financimit të terrorizmit, si dhe të moszbatimit dhe shmangies së sanksioneve financiare të targetuara që prekin tregun e brendshëm dhe që lidhen me veprimtaritë ndërkufitare.</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r w:rsidR="00887A79">
              <w:t xml:space="preserve"> </w:t>
            </w:r>
            <w:r w:rsidR="00887A79" w:rsidRPr="00887A79">
              <w:rPr>
                <w:rFonts w:ascii="Times New Roman" w:hAnsi="Times New Roman"/>
                <w:sz w:val="18"/>
                <w:szCs w:val="18"/>
              </w:rPr>
              <w:t>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Union-level provision</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7 rregullon procedurat e vlerësimit të rrezikut, raportimit dhe rekomandimeve në nivel të Bashkimit Evropian dhe u drejtohet Komisionit Evropian dhe AMLA-s.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Shtetet anëtare nuk janë subjekt i detyrimeve normative për transpozim. </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Shqipëria kryen Vlerësimin Kombëtar të Riskut në përputhje me standardet FATF dhe kuadrin AML/CFT të BE-së.</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Kërkesat e nenit 7 të direktivës për kryerjen e një vlerësimi strategjik të rreziqeve të pastrimit të parave, financimit të terrorizmit dhe shmangies së sanksioneve financiare të synuara, përfshirë financimin e armëve të shkatërrimit në masë dhe rreziqet me karakter ndërkufitar, janë transpozuar në mënyrë të integruar përmes dispozitave për Vlerësimin Kombëtar të Rrezikut. Dispozitat përkatëse parashikojnë kryerjen periodike të vlerësimit, përdorimin e burimeve ndërkombëtare si referencë, hartimin e planeve të veprimit dhe publikimin e përmbledhjeve, duke shmangur përsëritjen normative dhe duke ruajtur koherencën me kuadrin institucional kombëtar dhe statusin e Shqipërisë si vend jo-anëtar i Bashkimit Evropian.</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Komisioni harton një raport për identifikimin, analizimin dhe vlerësimin e këtyre rreziqeve në nivel BE-je. Më pas, Komisioni e përditëson këtë raport çdo 4 vjet. Sipas rastit, Komisioni mund të përditësojë më shpesh pjesë të caktuara të raportit.</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gjatë përditësimit të raportit të tij, Komisioni identifikon rreziqe të reja, ai mund t’u rekomandojë shteteve anëtare të marrin në konsideratë përditësimin e vlerësimeve të tyre kombëtare të rrezikut, ose të kryejnë vlerësime sektoriale të rrezikut, në përputhje me nenin 8, me qëllim vlerësimin e këtyre rreziqeve.</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nënparagrafin e parë bëhet publik, përveç atyre pjesëve që përmbajnë informacion të klasifikuar.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paragrafin 1 mbulon të paktën sa më poshtë: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fushat dhe sektorët e tregut të brendshëm që janë të ekspozuar ndaj rreziqeve të pastrimit të parave dhe financimit të terrorizmit;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natyrën dhe nivelin e rreziqeve të lidhura me çdo fushë dhe sektor;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mjetet më të përhapura të përdorura për pastrimin e të ardhurave të paligjshme, duke përfshirë, kur disponohen, ato që përdoren veçanërisht në transaksionet ndërmjet shteteve anëtare dhe vendeve të treta, pavarësisht nga identifikimi i një vendi të tretë në përputhje me seksionin 2 të kreut III të Rregullores (BE) 2024/1624;</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(d)</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rreziqeve të pastrimit të parave dhe financimit të terrorizmit që lidhen me persona juridikë dhe organizime ligjore, duke përfshirë ekspozimin ndaj rreziqeve që vijnë nga persona juridikë të huaj dhe organizime ligjore të huaja;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(e)</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rreziqet e moszbatimit dhe shmangies së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u jep rekomandime shteteve anëtare për masat e përshtatshme për adresimin e rreziqeve të identifikuara. Në rast se shtetet anëtare vendosin të mos zbatojnë asnjë nga rekomandimet në regjimet e tyre kombëtare të luftës kundër pastrimit të parave dhe financimit të terrorizmit, ato njoftojnë Komisionin për këtë dhe japin një justifikim të hollësishëm ku cilësojnë arsyet e tyre për një vendim të tillë.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2030 dhe më pas çdo 2 vite, AMLA, në përputhje me nenin 55 të Rregullores (BE) 2024/1620, nxjerr një opinion drejtuar Komisionit mbi rreziqet e pastrimit të parave dhe financimit të terrorizmit që prekin BE-në. Kur e gjykon të përshtatshme, AMLA mund të nxjerrë më shpesh opinione ose përditësime të opinioneve të saj të mëparshme. Opinionet e dhëna nga AMLA bëhen publike, me përjashtim të atyre pjesëve që përmbajnë informacion të klasifikuar.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kryerjen e vlerësimit të përmendur në paragrafin 1, Komisioni organizon punën në nivel BE-je, merr parasysh opinionet e përmendura në paragrafin 5, si dhe përfshin ekspertë të shteteve anëtare në fushën e luftës kundër pastrimit të parave dhe financimit të terrorizmit, përfaqësues të autoriteteve mbikëqyrëse kombëtare dhe NjIF-ve, AMLA-s dhe organeve të tjera në nivel BE-je dhe, sipas rastit, aktorë të tjerë përkatës.</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2 viteve nga miratimi i raportit të përmendur në paragrafin 2, dhe më pas çdo 4 vjet, Komisioni i dorëzon Parlamentit Evropian dhe Këshillit një raport mbi masat e ndërmarra bazuar në konstatimet e këtij raporti.</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8137D6" w:rsidRPr="00F727DA" w:rsidTr="00E24C86">
        <w:trPr>
          <w:trHeight w:val="578"/>
        </w:trPr>
        <w:tc>
          <w:tcPr>
            <w:tcW w:w="14397" w:type="dxa"/>
            <w:gridSpan w:val="8"/>
            <w:shd w:val="clear" w:color="auto" w:fill="D9D9D9" w:themeFill="background1" w:themeFillShade="D9"/>
            <w:vAlign w:val="center"/>
          </w:tcPr>
          <w:p w:rsidR="008137D6" w:rsidRPr="00F727DA" w:rsidRDefault="008137D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8</w:t>
            </w:r>
          </w:p>
          <w:p w:rsidR="008137D6" w:rsidRPr="00F727DA" w:rsidRDefault="008137D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Vlerësmi Kombëtar i Riskut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(1)</w:t>
            </w:r>
          </w:p>
        </w:tc>
        <w:tc>
          <w:tcPr>
            <w:tcW w:w="3507" w:type="dxa"/>
            <w:shd w:val="clear" w:color="auto" w:fill="auto"/>
            <w:vAlign w:val="center"/>
          </w:tcPr>
          <w:p w:rsidR="005B3659" w:rsidRPr="00877140"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Çdo shtet anëtar kryen një vlerësim kombëtar të rrezikut </w:t>
            </w:r>
            <w:r w:rsidRPr="00877140">
              <w:rPr>
                <w:rFonts w:ascii="Times New Roman" w:hAnsi="Times New Roman"/>
                <w:sz w:val="18"/>
                <w:szCs w:val="18"/>
                <w:lang w:eastAsia="sq-AL" w:bidi="sq-AL"/>
              </w:rPr>
              <w:t>për të identifikuar, vlerësuar, kuptuar dhe zbutur rreziqet e pastrimit të parave dhe financimit të terrorizmit, si dhe rreziqet e moszbatimit dhe shmangies së sanksioneve financiare të targetuara ndaj të cilave është i ekspozuar. Ai e përditëson këtë vlerësim rreziku dhe e shqyrton atë të paktën çdo 4 vjet.</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ta rishikojnë më shpesh vlerësimin kombëtar të rrezikut ose të kryejnë vlerësime sektoriale të posaçme të rrezikut, kur vlerësojnë se një gjë e tillë është e nevojshme në bazë të situatës së rrezikut.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6C5FE5">
              <w:rPr>
                <w:rFonts w:ascii="Times New Roman" w:hAnsi="Times New Roman"/>
                <w:sz w:val="18"/>
                <w:szCs w:val="18"/>
              </w:rPr>
              <w:t>10</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Vlerësimi Kombëtar i Rrezikut</w:t>
            </w: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 Institucionet anëtare të Komitetit të Bashkërendimit të Luftës Kundër Pastrimit të Parave, në përputhje me kompetencat e tyre ligjore, kontribuojnë në mënyrë periodike në 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2.</w:t>
            </w:r>
            <w:r w:rsidRPr="004A34D1">
              <w:rPr>
                <w:rFonts w:ascii="Times New Roman" w:hAnsi="Times New Roman"/>
                <w:sz w:val="18"/>
                <w:szCs w:val="18"/>
                <w:lang w:val="sq-AL"/>
              </w:rPr>
              <w:t> </w:t>
            </w:r>
            <w:r w:rsidRPr="004A34D1">
              <w:rPr>
                <w:rFonts w:ascii="Times New Roman" w:hAnsi="Times New Roman"/>
                <w:sz w:val="18"/>
                <w:szCs w:val="18"/>
                <w:lang w:val="sq-AL"/>
              </w:rPr>
              <w:t>Agjencia e Inteligjencës Financiare, në cilësinë e autoritetit përgjegjës, koordinon dhe bashkërendon procesin e hartimit të Vlerësimit Kombëtar të Rrezikut dhe të planit të veprimit.</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Për këtë qëllim, Agjencia e Inteligjencës Financiare ka të drejtë të kërkojë dhe të marrë statistika, të dhëna dhe informacione nga:</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a) subjektet e këtij ligji;</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b) autoritetet mbikëqyrëse;</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c) organet e administratës shtetërore dhe bazat përkatëse të të dhënave shtetërore;</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ç) autoritetet e tjera kompetente të përfshira në parandalimin dhe luftën kundër pastrimit të parave, financimit të terrorizmit dhe financimit të armëve të dëmtimit në masë.</w:t>
            </w:r>
          </w:p>
          <w:p w:rsidR="005B3659" w:rsidRPr="00F727DA" w:rsidRDefault="005B3659" w:rsidP="00A87413">
            <w:pPr>
              <w:widowControl w:val="0"/>
              <w:spacing w:after="0" w:line="240" w:lineRule="auto"/>
              <w:rPr>
                <w:rFonts w:ascii="Times New Roman" w:hAnsi="Times New Roman"/>
                <w:sz w:val="18"/>
                <w:szCs w:val="18"/>
              </w:rPr>
            </w:pP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3.</w:t>
            </w:r>
            <w:r w:rsidRPr="004A34D1">
              <w:rPr>
                <w:rFonts w:ascii="Times New Roman" w:hAnsi="Times New Roman"/>
                <w:sz w:val="18"/>
                <w:szCs w:val="18"/>
                <w:lang w:val="sq-AL"/>
              </w:rPr>
              <w:t> </w:t>
            </w:r>
            <w:r w:rsidRPr="004A34D1">
              <w:rPr>
                <w:rFonts w:ascii="Times New Roman" w:hAnsi="Times New Roman"/>
                <w:sz w:val="18"/>
                <w:szCs w:val="18"/>
                <w:lang w:val="sq-AL"/>
              </w:rPr>
              <w:t> </w:t>
            </w:r>
            <w:r w:rsidRPr="004A34D1">
              <w:rPr>
                <w:rFonts w:ascii="Times New Roman" w:hAnsi="Times New Roman"/>
                <w:sz w:val="18"/>
                <w:szCs w:val="18"/>
                <w:lang w:val="sq-AL"/>
              </w:rPr>
              <w:t>Vlerësimi Kombëtar i Rrezikut dhe plani përkatës i veprimit, i hartuar sipas pikës 2 të këtij neni, i paraqiten për miratim Komitetit të Bashkërendimit të Luftës Kundër Pastrimit të Parave nga Agjencia e Inteligjencës Financiare.</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4.    Vlerësimi Kombëtar i Rrezikut rishikohet jo më pak se çdo 4 vjet. </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5. 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6C5FE5" w:rsidP="00A87413">
            <w:pPr>
              <w:snapToGrid w:val="0"/>
              <w:spacing w:after="0" w:line="240" w:lineRule="auto"/>
              <w:rPr>
                <w:rFonts w:ascii="Times New Roman" w:hAnsi="Times New Roman"/>
                <w:sz w:val="18"/>
                <w:szCs w:val="18"/>
              </w:rPr>
            </w:pPr>
            <w:r w:rsidRPr="006C5FE5">
              <w:rPr>
                <w:rFonts w:ascii="Times New Roman" w:hAnsi="Times New Roman"/>
                <w:sz w:val="18"/>
                <w:szCs w:val="18"/>
              </w:rPr>
              <w:t>Legjislacioni kombëtar parashikon kryerjen, përditësimin dhe rishikimin periodik të një vlerësimi kombëtar të rrezikut që mbulon pastrimin e parave, financimin e terrorizmit dhe rreziqet që lidhen me moszbatimin dhe shmangien e sanksioneve financiare të synuara. Vlerësimi kombëtar i rrezikut kryhet në përputhje me qasjen e bazuar në rrezik, rishikohet të paktën çdo katër vjet dhe mund të përditësohet më shpesh ose të plotësohet me vlerësime sektoriale të rrezikut, kur kjo diktohet nga situata e rrezikut, duke garantuar një kuadër vlerësimi gjithëpërfshirës dhe me orientim drejt së ardhmes</w:t>
            </w:r>
            <w:r>
              <w:rPr>
                <w:rFonts w:ascii="Times New Roman" w:hAnsi="Times New Roman"/>
                <w:sz w:val="18"/>
                <w:szCs w:val="18"/>
              </w:rPr>
              <w: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Secili shtet anëtar cakton një autoritet ose ngre një mekanizëm për koordinimin e reagimit kombëtar ndaj rreziqeve të përmendura në paragrafin 1. Identiteti i këtij autoriteti ose përshkrimi i mekanizmit i bëhen me dije Komisionit. Komisioni publikon listën e autoriteteve të caktuara ose të mekanizmave të ngritur në Gazetën Zyrtare të Bashkimit Evropian.</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(pika 1 e nenit </w:t>
            </w:r>
            <w:r w:rsidR="004A34D1">
              <w:rPr>
                <w:rFonts w:ascii="Times New Roman" w:hAnsi="Times New Roman"/>
                <w:sz w:val="18"/>
                <w:szCs w:val="18"/>
              </w:rPr>
              <w:t>10</w:t>
            </w:r>
            <w:r w:rsidRPr="00F727DA">
              <w:rPr>
                <w:rFonts w:ascii="Times New Roman" w:hAnsi="Times New Roman"/>
                <w:sz w:val="18"/>
                <w:szCs w:val="18"/>
              </w:rPr>
              <w:t xml:space="preserve">) </w:t>
            </w:r>
          </w:p>
        </w:tc>
        <w:tc>
          <w:tcPr>
            <w:tcW w:w="2064" w:type="dxa"/>
            <w:shd w:val="clear" w:color="auto" w:fill="auto"/>
            <w:vAlign w:val="center"/>
          </w:tcPr>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 Institucionet anëtare të Komitetit të Bashkërendimit të Luftës Kundër Pastrimit të Parave, në përputhje me kompetencat e tyre ligjore, kontribuojnë në mënyrë periodike në 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rsidR="005B3659" w:rsidRPr="00F727DA" w:rsidRDefault="004A34D1" w:rsidP="00A87413">
            <w:pPr>
              <w:widowControl w:val="0"/>
              <w:spacing w:after="0" w:line="240" w:lineRule="auto"/>
              <w:rPr>
                <w:rFonts w:ascii="Times New Roman" w:hAnsi="Times New Roman"/>
                <w:sz w:val="18"/>
                <w:szCs w:val="18"/>
              </w:rPr>
            </w:pPr>
            <w:r w:rsidRPr="004A34D1">
              <w:rPr>
                <w:rFonts w:ascii="Times New Roman" w:hAnsi="Times New Roman"/>
                <w:sz w:val="18"/>
                <w:szCs w:val="18"/>
              </w:rPr>
              <w:t xml:space="preserve"> </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AIF eshte caktuar sipas ketij neni te ri si organi koordinies per realizimin e vleresimit kombetar te rezikut ne SHqiperi.</w:t>
            </w:r>
          </w:p>
          <w:p w:rsidR="005B3659" w:rsidRPr="00F727DA" w:rsidRDefault="005B3659" w:rsidP="00A87413">
            <w:pPr>
              <w:snapToGrid w:val="0"/>
              <w:spacing w:after="0" w:line="240" w:lineRule="auto"/>
              <w:rPr>
                <w:rFonts w:ascii="Times New Roman" w:hAnsi="Times New Roman"/>
                <w:sz w:val="18"/>
                <w:szCs w:val="18"/>
              </w:rPr>
            </w:pPr>
          </w:p>
          <w:p w:rsidR="005B3659" w:rsidRPr="00F727DA" w:rsidRDefault="004A34D1" w:rsidP="00A87413">
            <w:pPr>
              <w:snapToGrid w:val="0"/>
              <w:spacing w:after="0" w:line="240" w:lineRule="auto"/>
              <w:rPr>
                <w:rFonts w:ascii="Times New Roman" w:hAnsi="Times New Roman"/>
                <w:sz w:val="18"/>
                <w:szCs w:val="18"/>
              </w:rPr>
            </w:pPr>
            <w:r w:rsidRPr="004A34D1">
              <w:rPr>
                <w:rFonts w:ascii="Times New Roman" w:hAnsi="Times New Roman"/>
                <w:sz w:val="18"/>
                <w:szCs w:val="18"/>
              </w:rPr>
              <w:t>Ligji për AML/CFT cakton Njësinë e Inteligjencës Financiare (FIU/AIF) si autoritet kompetent me funksion koordinues, për të siguruar një përgjigje kombëtare koherente ndaj rreziqeve të pastrimit të parave dhe financimit të terrorizmit. Duke pasur parasysh statusin e vendit kandidat, detyrimet për njoftim dhe publikim në nivel të BE-së nuk janë drejtpërdrejt të zbatueshme në këtë fazë; megjithatë, dispozita garanton ekuivalencë funksionale dhe gatishmëri për përputhje të plotë pas anëtarësimit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kryerjen e vlerësimeve kombëtare të rrezikut të përmendura në paragrafin 1 të këtij neni, shtetet anëtare marrin parasysh raportin e përmendur në nenin 7, paragrafi 2, duke përfshirë sektorët dhe produktet e mbuluara dhe konstatimet e këtij raporti.</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7.  Institucionet sipas pikës 1 dhe 2 të këtij neni, për kryerjen e vlerësimit kombëtar të rrezikut, gjatë procesit të vlerësimit dhe përditësimit të tij, përdorin si burim referimi raportet e hartuara në nivel të Bashkimit Evropian në fushën e parandalimit të pastrimit të parave, financimit të terrorizmit apo financimit të përhapjes të armëve të dëmtimit në masë, veçanërisht ato që identifikojnë sektorët, produktet dhe rreziqet kryesore, si dhe rekomandimet që burojnë prej tyre.</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3 të Direktivës duke integruar detyrimin për marrjen në konsideratë të raporteve të Bashkimit Evropian në procesin e vlerësimit kombëtar të rrezikut. Formulimi është përshtatur për t’iu përgjigjur realitetit institucional dhe teknik të sistemit shqiptar, duke shmangur referimin formal dhe mekanik të dispozitave të Direktivës dhe duke siguruar zbatueshmëri praktike..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përdorin vlerësimin kombëtar të rrezikut për të: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5. Vlerësimi kombëtar i rrezikut shërben si bazë për:</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përdorimin e vlerësimit kombëtar të rrezikut për qëllime rregullatore, mbikëqyrëse dhe operacionale, në përputhje me nenin 8(4) të Direktivës.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përmirësuar regjimet e tyre të luftës kundër pastrimit të parave dhe financimit të terrorizmit, në veçanti duke identifikuar çdo fushë ku subjektet e detyruara duhet të zbatojnë masa të thelluara në përputhje me një qasje të bazuar në rrezik dhe, sipasrrezik dhe, sipas rastit, duke specifikuar masat që duhet të merren;</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përmirësimin e sistemit kombëtar për parandalimin e pastrimit të parave dhe financimit të terrorizmit, nëpërmjet identifikimit të fushave, sektorëve ose kategorive të subjekteve të raportimit ku kërkohet zbatimi i masave të shtuara të kujdesit të duhur, në përputhje me qasjen e bazuar në rrezik, si dhe, kur është e nevojshme, përcaktimit të masave përkatëse që duhet të merren;</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Përdorimi i vlerësimit kombëtar të rrezikut:</w:t>
            </w:r>
          </w:p>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Vlerësimi kombëtar i rrezikut përdoret për përmirësimin e regjimit të luftës kundër pastrimit të parave dhe financimit të terrorizmit, në veçanti për identifikimin e fushave ku subjektet e këtij ligji duhet të zbatojnë masa të thelluara, në përputhje me qasjen e bazuar në rrezik, si dhe, sipas rastit, për përcaktimin e masave që duhet të merren.</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identifikuar, sipas rastit, sektorët ose fushat me nivel më të ulët ose më të lartë të rrezikut të pastrimit të parave dhe financimit të terrorizmit;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identifikimin, sipas rastit, të sektorëve, veprimtarive ose fushave që paraqesin nivel më të lartë ose më të ulët rreziku për pastrimin e parave dhe financimin e terrorizmit;</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për identifikimin, sipas rastit, të sektorëve ose fushave me nivel më të ulët ose më të lartë të rrezikut të pastrimit të parave dhe financimit të terrorizmit.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vlerësuar rreziqet e pastrimit të parave dhe financimit të terrorizmit që lidhen me çdo lloj personi juridik të vendosur në territorin e tyre dhe çdo lloj organizimi ligjor që rregullohet sipas legjislacionit të brendshëm ose që administrohet në territorin e tyre ose kujdestarët e trusteve të të cilit apo personat në të që mbajnë pozicione të barasvlershme në organizime ligjore të ngjashme banojnë në territorin e tyre; dhe për të kuptuar ekspozimin ndaj rreziqeve që vijnë nga persona juridikë të huaj dhe organizime ligjore të huaja;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vlerësimin e rreziqeve të pastrimit të parave dhe financimit të terrorizmit që lidhen me çdo kategori personash juridikë të themeluar në territorin e Republikës së Shqipërisë, si dhe me per çdo formë organizimi ligjor qe veprojne apo adminsitrohen  në territorin e saj, përfshirë rastet kur administratorët, kujdestarët ose personat me funksione të barasvlershme kanë vendbanimin në territorin e Republikës së Shqipërisë, si dhe për kuptimin e nivelit të ekspozimit ndaj rreziqeve që burojnë nga personat juridikë të huaj dhe organizime ligjore të huaja;</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4, shkronja “c” të Direktivës duke e përshtatur me realitetin e rendit juridik shqiptar, ku marrëveshjet juridike të tipit trust nuk rregullohen nga legjislacioni kombëtar. Për këtë arsye, është përdorur një formulim funksional që mbulon strukturat ose organizimet ligjore që veprojnë ose administrohen në territorin e Republikës së Shqipërisë, si dhe rreziqet ndërkufitare që lidhen me struktura të huaja.</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(4)(d)</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marrë vendime lidhur me alokimin dhe prioritizimin e burimeve për të luftuar pastrimin e parave dhe financimin e terrorizmit, si dhe moszbatimin dhe shmangien e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d) përcaktimin e prioriteteve dhe orientimin e shpërndarjes së burimeve institucionale për parandalimin dhe luftën kundër pastrimit të parave, financimit të terrorizmit apo financimin e armeve te demtimit ne mase, si dhe kundër moszbatimit dhe shmangies së sanksioneve financiare të synuara;</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8, pika 4, shkronja “d” të Direktivës, duke parashikuar përdorimin e vlerësimit kombëtar të rrezikut për orientimin e prioriteteve dhe shpërndarjen e burimeve institucionale në fushën AML/CFT dhe të sanksioneve financiare të synuara. Formulimi shmang krijimin e detyrimeve të drejtpërdrejta buxhetore, duke ruajtur fleksibilitetin e nevojshëm për planifikimin institucional.</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8(4)(e)</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garantuar hartimin e rregullave të përshtatshme për çdo sektor ose fushë, në përputhje me rreziqet e pastrimit të parave dhe financimit të terrorizmit;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e) hartimin dhe përditësimin e rregullave dhe kërkesave përkatëse për çdo sektor ose fushë veprimtarie, në përputhje me rreziqet e identifikuara të pastrimit të parave  pastrimit të parave, financimit të terrorizmit apo financimin e armeve te demtimit ne mase;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4, shkronja “e” të Direktivës, duke parashikuar përdorimin e vlerësimit kombëtar të rrezikut si bazë për nxjerrjen e rregullave sektoriale të përshtatura me nivelin e rrezikut. Formulimi mbështet zbatimin e qasjes së bazuar në rrezik dhe lejon miratimin e akteve nënligjore fleksibël dhe të përditësueshme.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8(4)(f)</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t'u vënë menjëherë në dispozicion autoriteteve kompetente dhe subjekteve të detyruara informacionin e duhur për të lehtësuar kryerjen e vlerësimeve të tyre të rrezikut për pastrimin e parave dhe financimin e terrorizmit, si dhe vlerësimeve të rreziqeve të moszbatimit dhe shmangies së sanksioneve financiare të targetuara të përmendura në nenin 10 të Rregullores (BE) 2024/1624.</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f) vënien në dispozicion, në kohë dhe në përputhje me rregullat për ruajtjen e konfidencialitetit, të informacionit përkatës për autoritetet kompetente dhe subjektet e raportimit, me qëllim lehtësimin e kryerjes së vlerësimeve të tyre të rrezikut për pastrimin e parave , financimit të terrorizmit apo financimin e armeve te demtimit ne mase,  si dhe të rreziqeve që lidhen me moszbatimin dhe shmangien e sanksioneve financiare të nderkombetare;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Autoriteti përgjegjës siguron që informacioni përkatës që rrjedh nga vlerësimi kombëtar i rrezikut t’u vihet në dispozicion, në kohë të përshtatshme, autoriteteve kompetente dhe subjekteve të këtij ligji, për të lehtësuar kryerjen e vlerësimeve të tyre të rrezikut dhe zbatimin e masave përkatëse.</w:t>
            </w:r>
          </w:p>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color w:val="000000" w:themeColor="text1"/>
                <w:sz w:val="18"/>
                <w:szCs w:val="18"/>
                <w:lang w:eastAsia="sq-AL" w:bidi="sq-AL"/>
              </w:rPr>
              <w:t xml:space="preserve">Në vlerësimin kombëtar të rrezikut, shtetet anëtare përshkruajnë strukturën institucionale dhe procedurat gjithëpërfshirëse të regjimit të tyre të luftës kundër pastrimit të parave dhe financimit të terrorizmit, duke përfshirë NjIF-në, autoritetet tatimore dhe prokurorët, mekanizmat për bashkëpunim me homologët brenda BE-së ose në </w:t>
            </w:r>
            <w:r w:rsidRPr="00F727DA">
              <w:rPr>
                <w:rFonts w:ascii="Times New Roman" w:hAnsi="Times New Roman"/>
                <w:sz w:val="18"/>
                <w:szCs w:val="18"/>
                <w:lang w:eastAsia="sq-AL" w:bidi="sq-AL"/>
              </w:rPr>
              <w:t>vendet e treta, si dhe burimet e alokuara njerëzore dhe financiare në masën që ky informacion është i disponueshëm.</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4A34D1" w:rsidP="00A87413">
            <w:pPr>
              <w:widowControl w:val="0"/>
              <w:spacing w:after="0" w:line="240" w:lineRule="auto"/>
              <w:rPr>
                <w:rFonts w:ascii="Times New Roman" w:hAnsi="Times New Roman"/>
                <w:sz w:val="18"/>
                <w:szCs w:val="18"/>
              </w:rPr>
            </w:pPr>
            <w:r>
              <w:rPr>
                <w:rFonts w:ascii="Times New Roman" w:hAnsi="Times New Roman"/>
                <w:sz w:val="18"/>
                <w:szCs w:val="18"/>
              </w:rPr>
              <w:t>9.</w:t>
            </w:r>
            <w:r w:rsidR="005B3659" w:rsidRPr="00F727DA">
              <w:rPr>
                <w:rFonts w:ascii="Times New Roman" w:hAnsi="Times New Roman"/>
                <w:sz w:val="18"/>
                <w:szCs w:val="18"/>
              </w:rPr>
              <w:t>Vlerësimi kombëtar i rrezikut përfshin, në masën që ky informacion është i disponueshëm, një përshkrim të strukturës institucionale dhe procedurave të përgjithshme të sistemit kombëtar për parandalimin e pastrimit të parave dhe financimit të terrorizmit, përfshirë Agjencine e Inteligjencës Financiare, autoritetet tatimore dhe organet e ndjekjes penale, mekanizmat e bashkëpunimit me autoritetet homologe në shtetet anëtare të Bashkimit Evropian ose në shtete të treta, si dhe burimet njerëzore dhe financiare të vëna në dispozicion.</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kërkesën e Direktivës për përmbajtjen e vlerësimit kombëtar të rrezikut, duke përcaktuar elementet kryesore institucionale dhe procedurale që duhet të përshkruhen në këtë dokument. Formulimi është përshtatur për të respektuar kufizimet që lidhen me disponueshmërinë dhe ndjeshmërinë e informacionit, pa krijuar detyrime për publikimin e të dhënave konfidenciale.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pjesëmarrjen e duhur të autoriteteve kompetente dhe grupeve përkatëse të interesit në kryerjen e vlerësimit të tyre kombëtar të rrezikut.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10. Gjatë kryerjes dhe përditësimit të vlerësimit kombëtar të rrezikut, sigurohet përfshirja e autoriteteve kompetente dhe, sipas rastit, e palëve të interesuara përkatëse, në përputhje me kompetencat dhe rolin e tyre në sistemin kombëtar për parandalimin e pastrimit të parave,  financimit të terrorizmit  apo financimin e armeve te dëmtimit.</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5 të Direktivës, duke parashikuar përfshirjen e autoriteteve kompetente dhe të palëve të interesuara relevante në procesin e vlerësimit kombëtar të rrezikut. Formulimi ruan fleksibilitetin procedural dhe është përshtatur me realitetin institucional shqiptar, pa vendosur kërkesa të ngurta për mënyrën e pjesëmarrjes.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i vënë në dispozicion Komisionit, AMLA-s dhe shteteve të tjera anëtare rezultatet e vlerësimeve të tyre kombëtare të rrezikut, duke përfshirë përditësimet dhe rishikimet. Një shtet anëtar mund t'i sigurojë shtetit anëtar që kryen vlerësimin kombëtar të rrezikut informacion përkatës shtesë, sipas rastit. Përmbledhja e konstatimeve të vlerësimit bëhet publike. Kjo përmbledhje nuk përmban informacion të klasifikuar. Çdo dokument i shpërndarë ose i publikuar në përputhje me këtë paragraf nuk përmban asnjë informacion që lejon identifikimin e ndonjë personi fizik ose emrin e ndonjë personi juridik.</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11.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rsidR="004A34D1"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12. Agjencia e Inteligjencës Financiare mund, sipas rastit, të shkëmbejë informacion shtesë përkatës me autoritetet homologe të shteteve të tjera.</w:t>
            </w:r>
          </w:p>
          <w:p w:rsidR="005B3659" w:rsidRPr="004A34D1" w:rsidRDefault="004A34D1" w:rsidP="00A87413">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13. Një përmbledhje e gjetjeve kryesore të vlerësimit kombëtar të rrezikut bëhet publike. Kjo përmbledhje nuk përmban informacion të klasifikuar, të dhëna personale ose informacion që lejon identifikimin e personave fizikë apo përmendjen e personave juridikë.</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6 të Direktivës, duke rregulluar shpërndarjen e rezultateve të vlerësimit kombëtar të rrezikut në nivel ndërkombëtar dhe publikimin e një përmbledhjeje të tij. Teksti është përshtatur për legjislacionin shqiptar duke shmangur referencat direkte ndaj institucioneve të Bashkimit Evropian, ndërkohë që garanton respektimin e rregullave për konfidencialitetin, mbrojtjen e të dhënave personale dhe informacionit të ndjeshëm.</w:t>
            </w:r>
          </w:p>
        </w:tc>
      </w:tr>
      <w:tr w:rsidR="003B5210" w:rsidRPr="00F727DA" w:rsidTr="00E24C86">
        <w:trPr>
          <w:trHeight w:val="578"/>
        </w:trPr>
        <w:tc>
          <w:tcPr>
            <w:tcW w:w="14397" w:type="dxa"/>
            <w:gridSpan w:val="8"/>
            <w:shd w:val="clear" w:color="auto" w:fill="D9D9D9" w:themeFill="background1" w:themeFillShade="D9"/>
            <w:vAlign w:val="center"/>
          </w:tcPr>
          <w:p w:rsidR="003B5210" w:rsidRPr="00F727DA" w:rsidRDefault="003B5210"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9</w:t>
            </w:r>
          </w:p>
          <w:p w:rsidR="004A492C" w:rsidRPr="00F727DA" w:rsidRDefault="004A492C"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Statisikat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mbajnë statistika gjithëpërfshirëse për çështje me rëndësi për efektivitetin e kuadrove të tyre të luftës kundër pastrimit të parave dhe financimit të terrorizmit, me qëllim për të shqyrtuar efektivitetin e këtyre kuadrove.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64EA2">
              <w:rPr>
                <w:rFonts w:ascii="Times New Roman" w:hAnsi="Times New Roman"/>
                <w:sz w:val="18"/>
                <w:szCs w:val="18"/>
              </w:rPr>
              <w:t>11</w:t>
            </w: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Statistikat</w:t>
            </w:r>
          </w:p>
          <w:p w:rsidR="005B3659" w:rsidRPr="00F727DA" w:rsidRDefault="005B3659" w:rsidP="00A87413">
            <w:pPr>
              <w:widowControl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1. Për qëllime të vlerësimit dhe rishikimit të efektivitetit të sistemit kombëtar për parandalimin e pastrimit të parave dhe financimit të terrorizmit, autoritetet kompetente mbajnë dhe përditësojnë statistika të plota dhe të përbashkëta mbi çështjet që lidhen me funksionimin dhe zbatimin e këtij sistemi, në përputhje me kompetencat e tyre ligjore.</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9, pika 1 të Direktivës, duke vendosur detyrimin për mbajtjen e statistikave relevante për vlerësimin e efektivitetit të kuadrit AML/CFT. Formulimi është përshtatur për legjislacionin shqiptar, duke ruajtur fleksibilitetin institucional dhe duke shmangur përcaktimin e treguesve specifikë në nivel ligji, të cilët mund të rregullohen përmes akteve nënligjore ose mekanizmave koordinues.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Statistikat e përmendura në paragrafin 1 të këtij neni përfshijnë: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Statistikat e përmendura në pikën 1 të këtij neni përfshijnë, ndër të tjera:</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(2)(a)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që matin përmasat dhe rëndësinë e sektorëve të ndryshëm që bëjnë pjesë në fushën e zbatimit të kësaj direktive, duke përfshirë numrin e personave fizikë dhe juridikë dhe rëndësinë ekonomike të secilit sektor;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të dhëna që pasqyrojnë madhësinë dhe rëndësinë e sektorëve të ndryshëm që i nënshtrohen kuadrit ligjor për parandalimin e pastrimit të parave dhe financimit të terrorizmit, përfshirë numrin e personave fizikë dhe juridikë, si dhe peshën ekonomike të secilit sektor;</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nenin 9, pika 2, shkronja “a” të Direktivës, duke përcaktuar llojin e statistikave që shërbejnë për vlerësimin e efektivitetit të kuadrit AML/CFT. Teksti është përshtatur për legjislacionin shqiptar, duke përdorur një formulim të përgjithshëm dhe fleksibël që lejon mbledhjen dhe përditësimin e treguesve statistikorë përmes mekanizmave koordinues dhe akteve nënligjore.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(2)(b)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sasiore për fazat raportuese, hetimore dhe gjyqësore të regjimit kombëtar të luftës kundër pastrimit të parave dhe financimit të terrorizmit, duke përfshirë numrin e raporteve të transaksioneve të dyshimta që i janë paraqitur NjIF-së, ndjekjen e këtyre raporteve, informacionin për transferimet fizike ndërkufitare të parave që i transmetohet NjIF-së në përputhje me nenin 9 të Rregullores (BE) 2018/1672, si dhe ndjekjen e informacionit të dorëzuar dhe, në bazë vjetore, numrin e çështjeve të hetuara, numrin e personave të ndjekur penalisht, numrin e personave të dënuar për vepra penale të pastrimit të parave ose financimit të terrorizmit, llojet e veprave penale bazë të identifikuara në përputhje me nenin 2 të Direktivës (BE) 2018/1673 të Parlamentit Evropian dhe të Këshillit (38</w:t>
            </w:r>
            <w:r w:rsidRPr="00F727DA">
              <w:rPr>
                <w:rStyle w:val="FootnoteReference"/>
                <w:rFonts w:ascii="Times New Roman" w:hAnsi="Times New Roman"/>
                <w:sz w:val="18"/>
                <w:szCs w:val="18"/>
                <w:lang w:eastAsia="sq-AL" w:bidi="sq-AL"/>
              </w:rPr>
              <w:footnoteReference w:id="5"/>
            </w:r>
            <w:r w:rsidRPr="00F727DA">
              <w:rPr>
                <w:rFonts w:ascii="Times New Roman" w:hAnsi="Times New Roman"/>
                <w:sz w:val="18"/>
                <w:szCs w:val="18"/>
                <w:lang w:eastAsia="sq-AL" w:bidi="sq-AL"/>
              </w:rPr>
              <w:t xml:space="preserve"> ), kur ky informacion është i disponueshëm, si dhe vlerën në euro të pasurisë së ngrirë, të sekuestruar ose të konfiskuar;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disponueshëm, si dhe vlerën e pasurive të ngrira, të sekuestruara ose të konfiskuara;</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“b” të Direktivës, duke përcaktuar kategoritë kryesore të të dhënave statistikore që mbulojnë të gjithë ciklin AML/CFT, nga raportimi te autoriteti i inteligjencës financiare deri te rezultatet e ndjekjes penale dhe masat pasurore. Teksti është përshtatur për legjislacionin shqiptar, duke shmangur referencat direkte ndaj akteve të Bashkimit Evropian dhe duke ruajtur fleksibilitetin lidhur me disponueshmërinë e informacionit.</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përqindjen e raporteve mbi transaksionet e dyshimta që rezultojnë në shpërndarjen tek autoritetet e tjera kompetente dhe, nëse është e mundur, numrin dhe përqindjen e raporteve që rezultojnë në hetime të mëtejshme, së bashku me raportin vjetor të hartuar nga NjIF-të në përputhje me nenin 27;</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564EA2" w:rsidRDefault="00564EA2" w:rsidP="00A87413">
            <w:pPr>
              <w:widowControl w:val="0"/>
              <w:spacing w:after="0" w:line="240" w:lineRule="auto"/>
              <w:rPr>
                <w:rFonts w:ascii="Times New Roman" w:hAnsi="Times New Roman"/>
                <w:sz w:val="18"/>
                <w:szCs w:val="18"/>
                <w:lang w:val="sq-AL"/>
              </w:rPr>
            </w:pPr>
            <w:r w:rsidRPr="00564EA2">
              <w:rPr>
                <w:rFonts w:ascii="Times New Roman" w:hAnsi="Times New Roman"/>
                <w:sz w:val="18"/>
                <w:szCs w:val="18"/>
                <w:lang w:val="sq-AL"/>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23 të këtij ligji;  </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“c” të Direktivës, duke përcaktuar tregues statistikorë që lidhen me trajtimin dhe ndjekjen e raportimeve të veprimeve të dyshimta nga autoriteti i inteligjencës financiare. Teksti është përshtatur për kuadrin ligjor shqiptar, duke ruajtur ndarjen ndërmjet funksioneve administrative dhe atyre penale dhe duke kufizuar detyrimin vetëm në të dhëna të agreguara dhe të disponueshme.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9(2)(d)</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në lidhje me numrin e kërkesave ndërkufitare për informacion që janë bërë, marrë, refuzuar dhe që kanë marrë përgjigje të pjesshme ose të plotë nga NjIF-të, të ndara sipas vendeve homologe;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d) të dhëna mbi numrin e kërkesave të bashkepunimit ndërkombëtar për shkëmbim informacioni të paraqitura, të marra, të refuzuara, si dhe të trajtuara pjesërisht ose plotësisht nga  Agjencia e Inteligjencës Financiare , të ndara sipas shtetit homolog përkatës;</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9, pika 2, shkronja “d” të Direktivës, duke përcaktuar tregues statistikorë që lidhen me bashkëpunimin ndërkombëtar të autoritetit të inteligjencës financiare. Teksti është përshtatur për legjislacionin shqiptar, duke ruajtur fokusin në të dhëna të agreguara dhe duke shmangur çdo ekspozim të informacionit operativ ose konfidencial.</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9(2)(e)</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kërkesave për ndihmë të ndërsjellë juridike ose të kërkesave të tjera ndërkombëtare për informacion në lidhje me pronësinë përfituese dhe për informacion për llogaritë bankare, siç përmendet në kreun IV të Rregullores (BE) 2024/1624 dhe seksionet 1 dhe 2 të kreut II të kësaj direktive, të marra nga ose të bëra ndaj homologëve jashtë BE-së, të ndara sipas autoritetit kompetent dhe vendit homolog;</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e) të dhëna mbi numrin e kërkesave për ndihmë juridike ose kërkesave të tjera ndërkombëtare për shkëmbim informacioni që lidhen me pronësinë përfituesese dhe informacionin mbi llogaritë bankare, të paraqitura ose të marra nga autoritetet kompetente ndaj autoriteteve homologe të shteteve të tjera, të ndara sipas autoritetit kompetent dhe shtetit përkatës;</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“e” të Direktivës, duke parashikuar mbajtjen e statistikave mbi kërkesat ndërkombëtare për shkëmbim informacioni në fushën e pronësisë përfituesese dhe informacionit bankar. Teksti është përshtatur për legjislacionin shqiptar duke përdorur një formulim më të gjerë, i cili siguron pasqyrim të plotë të bashkëpunimit ndërkombëtar, pa cenuar kërkesat minimale të Direktivës dhe duke respektuar ndarjen e kompetencave ndërmjet autoriteteve administrative dhe atyre penale.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9(2)(f)</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të alokuara për mbikëqyrësit dhe për NjIF-të, me qëllim përmbushjen e detyrave të përcaktuara në nenin 19;</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f) të dhëna mbi burimet njerëzore të alokuara për autoritetet mbikëqyrëse, si dhe burimet njerëzore të vëna në dispozicion të  Agjencisë e Inteligjencës Financiare për përmbushjen e detyrave të tij ligjore;</w:t>
            </w:r>
          </w:p>
        </w:tc>
        <w:tc>
          <w:tcPr>
            <w:tcW w:w="1356" w:type="dxa"/>
            <w:shd w:val="clear" w:color="auto" w:fill="auto"/>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“f” të Direktivës, duke parashikuar mbajtjen e statistikave mbi burimet njerëzore të alokuara për autoritetet mbikëqyrëse dhe autoritetin e inteligjencës financiare. Formulimi është përshtatur për legjislacionin shqiptar, duke shmangur referencat direkte ndaj dispozitave të Direktivës dhe duke ruajtur karakterin statistikor të kërkesës.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9(2)(g)</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masave mbikëqyrëse në terren dhe jashtë terrenit, numrin e shkeljeve të identifikuara në bazë të masave mbikëqyrëse, si dhe sanksionet në formë gjobe dhe sanksionet financiare periodike të vendosura ose masat administrative të zbatuara nga autoritetet mbikëqyrëse dhe organet vetërregulluese, sipas nenit 4 të kreut IV;</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g) të dhëna mbi numrin e veprimeve mbikëqyrëse të kryera në vend dhe jashtë vendit të ushtrimit të veprimtarisë, numrin e shkeljeve të konstatuara në bazë të këtyre veprimeve, si dhe sanksionet administrative me karakter financiar, penalitetet periodike ose masat e tjera administrative të zbatuara nga autoritetet mbikëqyrëse dhe organet vetërregulluese, në përputhje me legjislacionin në fuqi;</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“g” të Direktivës, duke parashikuar mbajtjen e statistikave mbi veprimtarinë mbikëqyrëse, shkeljet e identifikuara dhe masat administrative ose sanksionet e aplikuara. Teksti është përshtatur për legjislacionin shqiptar duke shmangur referencat direkte ndaj kapitujve të Direktivës dhe duke ruajtur karakterin statistikor dhe institucional të dispozitës.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9(2)(h)</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llojin e shkeljeve të identifikuara në lidhje me detyrimet e kreut IV të Rregullores (BE) 2024/1624 dhe sanksionet në formë gjobe të vendosura ose masat administrative të zbatuara në lidhje me këto shkelje, numrin e mospërputhjeve të raportuara në regjistrin qendror të përmendur në nenin 10 të kësaj direktive, si dhe numrin e kontrolleve të kryera nga subjekti përgjegjës për regjistrin qendror ose në emër të tij, sipas nenit 10, paragrafi 11 të kësaj direktive;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h) të dhëna mbi numrin dhe llojin e shkeljeve të konstatuara në lidhje me detyrimet për transparencën e pronësisë përfituesese dhe aksesin në informacionin përkatës, si dhe sanksionet administrative me karakter financiar ose masat e tjera administrative të zbatuara për këto shkelje; numrin e mospërputhjeve të raportuara në regjistrin qendror të pronësisë përfituesese, si dhe numrin e kontrolleve të kryera nga autoriteti përgjegjës për administrimin e këtij regjistri ose në emër të tij;</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“h” të Direktivës, duke parashikuar mbajtjen e statistikave mbi shkeljet dhe masat administrative që lidhen me detyrimet për pronësinë përfituesese, si dhe mbi funksionimin dhe kontrollin e regjistrit qendror përkatës. Teksti është përshtatur për legjislacionin shqiptar duke shmangur referencat direkte ndaj rregulloreve dhe dispozitave të së drejtës së Bashkimit Evropian, si dhe duke ruajtur karakterin statistikor të kërkesës. .</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e mëposhtëm në lidhje me zbatimin e nenit 12:</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2777C6" w:rsidRPr="002777C6" w:rsidRDefault="002777C6" w:rsidP="00A87413">
            <w:pPr>
              <w:widowControl w:val="0"/>
              <w:suppressAutoHyphens w:val="0"/>
              <w:spacing w:after="0" w:line="276" w:lineRule="auto"/>
              <w:rPr>
                <w:rFonts w:ascii="Times New Roman" w:hAnsi="Times New Roman"/>
                <w:sz w:val="18"/>
                <w:szCs w:val="18"/>
                <w:lang w:val="sq-AL" w:eastAsia="en-US"/>
              </w:rPr>
            </w:pPr>
            <w:r w:rsidRPr="002777C6">
              <w:rPr>
                <w:rFonts w:ascii="Times New Roman" w:hAnsi="Times New Roman"/>
                <w:sz w:val="18"/>
                <w:szCs w:val="18"/>
                <w:lang w:val="sq-AL" w:eastAsia="en-US"/>
              </w:rPr>
              <w:t>i) informacionin mbi zbatimin e rregullave për aksesin në të dhënat e pronësisë përfituese te parashikuar ne ligjin për regjistrimin e pronësisë përfituese ku ndër të tjera të  përfshijë:</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kërkesave për akses në informacionin mbi pronësinë përfituese në regjistrat qendrorë, në bazë të kategorive të përcaktuara në nenin 12, paragrafi 2;</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 1) numrin e kërkesave për akses në informacionin e pronësisë përfituesese të mbajtur në regjistrin e pronareve perfitues, sipas kategorive të subjekteve të përcaktuara në legjislacionin në fuqi;</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përqindjen e kërkesave të refuzuara për akses në informacion, sipas secilës kategori të përcaktuar në nenin 12, paragrafi 2;</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i.2) përqindjen e kërkesave për akses në informacionin e pronësisë përfituesese që janë refuzuar, të ndara sipas kategorive të subjekteve të përcaktuara në legjislacionin në fuqi;</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9(2)(i)(iii)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kategorive të personave të cilëve u është siguruar aksesi në informacionin mbi pronësinë përfituese, sipas nenit 12, paragrafi 2, nënparagrafi i dytë;</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i.3) një përmbledhje të kategorive të personave ose subjekteve të cilëve u është dhënë akses në informacionin e pronësisë përfituesese, në përputhje me legjislacionin përkatës;</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9(2)(j)</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kontrolleve në regjistrat e llogarive bankare ose mekanizmat e rikuperimit të të dhënave të kryera nga autoritetet kompetente, të renditura sipas kategorisë së autoritetit kompetent, dhe numrin e kontrolleve në rrjetin ndërlidhës të regjistrave të llogarive bankare të kryera nga NjIF-të dhe autoritetet mbikëqyrëse;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j) të dhëna mbi numrin e kërkimeve të kryera nga autoritetet kompetente në regjistrin e llogarive bankare ose në mekanizmat përkatës të marrjes së të dhënave, të ndara sipas kategorive të autoriteteve kompetente, si dhe numrin e kërkimeve të kryera nga Agjencia e Inteligjencës Financiare dhe autoritetet mbikëqyrëse në mekanizmat e ndërlidhjes së regjistrave të llogarive bankare;</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“j” të Direktivës, duke parashikuar mbajtjen e statistikave mbi përdorimin e regjistrave të llogarive bankare dhe mekanizmave të ndërlidhjes së tyre nga autoritetet kompetente, autoriteti i inteligjencës financiare dhe autoritetet mbikëqyrëse. Teksti është përshtatur për legjislacionin shqiptar duke shmangur referencat direkte ndaj instrumenteve të Bashkimit Evropian dhe duke ruajtur karakterin statistikor të kërkesës.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9(2)(k)</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mëposhtme në lidhje me zbatimin e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 informacion mbi zbatimin e masave shtrenguese nderkombetare, përfshirë:</w:t>
            </w: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nenin 9, pika 2, shkronja “k” të Direktivës, duke parashikuar mbajtjen e statistikave mbi zbatimin e sanksioneve financiare të synuara, përfshirë vlerën e pasurive të ngrira dhe burimet njerëzore të dedikuara për autoritetet kompetente. Teksti është përshtatur për legjislacionin shqiptar duke shmangur referencat direkte ndaj instrumenteve të së drejtës së Bashkimit Evropian dhe duke ruajtur karakterin statistikor të kërkesës.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9(2)(k)(i)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vlerën e fondeve ose të aseteve të tjera të ngrira, të ndarë sipas llojit;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k.1) vlerën e fondeve ose pasurive të tjera të ngrira, të ndara sipas llojit të pasurisë;</w:t>
            </w:r>
          </w:p>
          <w:p w:rsidR="005B3659" w:rsidRPr="00F727DA" w:rsidRDefault="005B3659" w:rsidP="00A87413">
            <w:pPr>
              <w:widowControl w:val="0"/>
              <w:spacing w:after="0" w:line="240" w:lineRule="auto"/>
              <w:rPr>
                <w:rFonts w:ascii="Times New Roman" w:hAnsi="Times New Roman"/>
                <w:sz w:val="18"/>
                <w:szCs w:val="18"/>
              </w:rPr>
            </w:pPr>
          </w:p>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9(2)(k)(ii)</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alokuar autoriteteve kompetente për futjen në fuqi dhe zbatimin e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k.2) të dhëna mbi burimet njerëzore të alokuara për autoritetet kompetente përgjegjëse për zbatimin dhe mbikëqyrjen e masave shtrenguese nderkombetare;</w:t>
            </w:r>
          </w:p>
        </w:tc>
        <w:tc>
          <w:tcPr>
            <w:tcW w:w="1356" w:type="dxa"/>
            <w:shd w:val="clear" w:color="auto" w:fill="auto"/>
            <w:vAlign w:val="center"/>
          </w:tcPr>
          <w:p w:rsidR="005B3659" w:rsidRPr="00F727DA" w:rsidRDefault="005B3659"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color w:val="C00000"/>
                <w:sz w:val="18"/>
                <w:szCs w:val="18"/>
              </w:rPr>
            </w:pPr>
            <w:r w:rsidRPr="00F727DA">
              <w:rPr>
                <w:rFonts w:ascii="Times New Roman" w:hAnsi="Times New Roman"/>
                <w:color w:val="000000" w:themeColor="text1"/>
                <w:sz w:val="18"/>
                <w:szCs w:val="18"/>
              </w:rPr>
              <w:t>3. Mbledhja, konsolidimi dhe përpunimi i të dhënave statistikore sipas këtij neni kryhen nëpërmjet bashkëpunimit ndërinstitucional ndërmjet autoriteteve kompetente, në përputhje me kompetencat dhe përgjegjësitë e secilit autoritet sipas legjislacionit përkatës në fuqi. Forma, periodiciteti, metdologjia dhe mënyra e raportimit të këtyre të dhënave, si dhe autoriteti koordinues, përcaktohen me akt nënligjor.</w:t>
            </w:r>
          </w:p>
        </w:tc>
        <w:tc>
          <w:tcPr>
            <w:tcW w:w="1356" w:type="dxa"/>
            <w:shd w:val="clear" w:color="auto" w:fill="auto"/>
            <w:vAlign w:val="center"/>
          </w:tcPr>
          <w:p w:rsidR="005B3659" w:rsidRPr="00F727DA" w:rsidRDefault="005B3659"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siguron zbatueshmërinë praktike të nenit 9, duke parashikuar mekanizma bashkëpunimi ndërinstitucional për mbledhjen dhe përpunimin e statistikave, si dhe duke deleguar rregullimin e formës dhe mënyrës së raportimit përmes akteve nënligjore. Formulimi respekton ndarjen e kompetencave ndërmjet autoriteteve administrative dhe atyre të drejtësisë penale.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statistikat e përmendura në paragrafin 2 të mblidhen dhe t'i transmetohen Komisionit çdo vit. Statistikat e përmendura në paragrafin 2, germat “a”, “c”, “d” dhe “f” i transmetohen gjithashtu edhe AMLA-s.</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i ruan këto statistika në bazën e saj të të dhënave në përputhje me nenin 11 të Rregullores (BE) nr. 2024/1620.</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Statistikat e mbledhura sipas këtij neni përpunohen dhe raportohen në mënyrë periodike, të paktën një herë në vit, dhe u vihen në dispozicion organizmave dhe autoriteteve ndërkombëtare përkatëse, në përputhje me detyrimet ndërkombëtare dhe marrëveshjet në fuqi.</w:t>
            </w: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kërkesat e nenit 9, pikat 3–6 të Direktivës në lidhje me mbledhjen periodike dhe raportimin e statistikave, duke përshtatur detyrimet për shtetin shqiptar dhe duke shmangur referencat ndaj mekanizmave të brendshëm institucionalë të Bashkimit Evropian. Formulimi siguron përmbushjen e angazhimeve ndërkombëtare dhe fleksibilitet në zbatim përmes akteve nënligjore.</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2029, AMLA miraton një opinion drejtuar Komisionit mbi metodologjinë për mbledhjen e statistikave të përmendura në paragrafin 2, germat "a", "c", "d", "f" dhe "g".</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2777C6"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mund të përcaktojë, me anë të akteve zbatuese, metodologjinë për mbledhjen e statistikave të përmendura në paragrafin 2 të këtij neni dhe modalitetet për transmetimin e tyre te Komisioni dhe AMLA. Këto akte zbatuese miratohen në përputhje me procedurën e shqyrtimit të përmendur në nenin 72, paragrafi 2.</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institucioneve të Bashkimit Evropian dhe rregullon procedura të brendshme të BE-së; nuk kërkon transpozim në legjislacionin kombëtar.</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2030 dhe më pas çdo 2 vjet, Komisioni publikon një raport që përmbledh dhe shpjegon statistikat e përmendura në paragrafin 2, dhe e vë atë në dispozicion në faqen e tij të internetit.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institucioneve të Bashkimit Evropian dhe rregullon procedura të brendshme të BE-së; nuk kërkon transpozim në legjislacionin kombëtar.</w:t>
            </w:r>
          </w:p>
        </w:tc>
      </w:tr>
      <w:tr w:rsidR="00145BB5" w:rsidRPr="00F727DA" w:rsidTr="00E24C86">
        <w:trPr>
          <w:trHeight w:val="578"/>
        </w:trPr>
        <w:tc>
          <w:tcPr>
            <w:tcW w:w="14397" w:type="dxa"/>
            <w:gridSpan w:val="8"/>
            <w:shd w:val="clear" w:color="auto" w:fill="D9D9D9" w:themeFill="background1" w:themeFillShade="D9"/>
            <w:vAlign w:val="center"/>
          </w:tcPr>
          <w:p w:rsidR="00145BB5" w:rsidRPr="00F727DA" w:rsidRDefault="00145BB5"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Kapitulli </w:t>
            </w:r>
            <w:r w:rsidR="00D82E09" w:rsidRPr="00F727DA">
              <w:rPr>
                <w:rFonts w:ascii="Times New Roman" w:hAnsi="Times New Roman"/>
                <w:b/>
                <w:sz w:val="18"/>
                <w:szCs w:val="18"/>
              </w:rPr>
              <w:t>II</w:t>
            </w:r>
          </w:p>
          <w:p w:rsidR="00145BB5" w:rsidRPr="00F727DA" w:rsidRDefault="00145BB5"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Regjistrat </w:t>
            </w:r>
          </w:p>
          <w:p w:rsidR="00985580" w:rsidRPr="00F727DA" w:rsidRDefault="00985580" w:rsidP="00A87413">
            <w:pPr>
              <w:snapToGrid w:val="0"/>
              <w:spacing w:after="0" w:line="240" w:lineRule="auto"/>
              <w:rPr>
                <w:rFonts w:ascii="Times New Roman" w:hAnsi="Times New Roman"/>
                <w:b/>
                <w:sz w:val="18"/>
                <w:szCs w:val="18"/>
              </w:rPr>
            </w:pPr>
          </w:p>
          <w:p w:rsidR="00985580" w:rsidRPr="00F727DA" w:rsidRDefault="00985580"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Seksioni 1</w:t>
            </w:r>
          </w:p>
          <w:p w:rsidR="00985580" w:rsidRPr="00F727DA" w:rsidRDefault="00985580"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Regjistrat qendrorë të pronarëve përfitues</w:t>
            </w:r>
            <w:r w:rsidRPr="00F727DA">
              <w:rPr>
                <w:rFonts w:ascii="Times New Roman" w:hAnsi="Times New Roman"/>
                <w:sz w:val="18"/>
                <w:szCs w:val="18"/>
              </w:rPr>
              <w:t xml:space="preserve"> </w:t>
            </w:r>
          </w:p>
        </w:tc>
      </w:tr>
      <w:tr w:rsidR="00985580" w:rsidRPr="00F727DA" w:rsidTr="00E24C86">
        <w:trPr>
          <w:trHeight w:val="578"/>
        </w:trPr>
        <w:tc>
          <w:tcPr>
            <w:tcW w:w="14397" w:type="dxa"/>
            <w:gridSpan w:val="8"/>
            <w:shd w:val="clear" w:color="auto" w:fill="D9D9D9" w:themeFill="background1" w:themeFillShade="D9"/>
            <w:vAlign w:val="center"/>
          </w:tcPr>
          <w:p w:rsidR="00985580" w:rsidRPr="00F727DA" w:rsidRDefault="00985580"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10</w:t>
            </w:r>
          </w:p>
          <w:p w:rsidR="00985580" w:rsidRPr="00F727DA" w:rsidRDefault="00985580"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Regjistrat qendrorë të pronarëve përfitues</w:t>
            </w: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mbi pronësinë përfituese i përmendur në nenin 62 të Rregullores (BE) 2024/1624, deklarata sipas nenit 63, paragrafi 4 të kësaj rregulloreje dhe informacioni për marrëveshjet e të emëruarve përmendur në nenin 66 të kësaj rregulloreje, të mbahen në një regjistër qendror në shtetin anëtar ku është krijuar subjekti juridik ose ku është vendosur ose banon kujdestari i një trusti të shprehur ose personi që mban një pozicion të barasvlershëm në një organizim ligjor të ngjashëm, ose nga vendi ku administrohet organizimi ligjor. Një kërkesë e tillë nuk zbatohet për subjektet juridike ose organizimet ligjore të përmendura në nenin 65 të Rregullores (BE) 2024/1624.</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përfshirë në regjistrin qendror të pronësisë përfituese të përmendur në nënparagrafin e parë ("regjistri qendror") është i disponueshëm në format të lexueshëm nga pajisjet dhe mblidhet në përputhje me aktet zbatuese të përmendura në paragrafin 6.</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Duke deroguar nga nënparagrafi i parë i paragrafit 1, shtetet anëtare garantojnë që informacioni mbi pronësinë përfituese, siç përmendet në nenin 62 të Rregullores (BE) 2024/1624, </w:t>
            </w:r>
            <w:r w:rsidRPr="00F727DA">
              <w:rPr>
                <w:rFonts w:ascii="Times New Roman" w:hAnsi="Times New Roman"/>
                <w:color w:val="FF0000"/>
                <w:sz w:val="18"/>
                <w:szCs w:val="18"/>
                <w:lang w:eastAsia="sq-AL" w:bidi="sq-AL"/>
              </w:rPr>
              <w:t>për subjektet juridike të huaja dhe organizimet ligjore të huaja,</w:t>
            </w:r>
            <w:r w:rsidRPr="00F727DA">
              <w:rPr>
                <w:rFonts w:ascii="Times New Roman" w:hAnsi="Times New Roman"/>
                <w:sz w:val="18"/>
                <w:szCs w:val="18"/>
                <w:lang w:eastAsia="sq-AL" w:bidi="sq-AL"/>
              </w:rPr>
              <w:t xml:space="preserve"> siç përmendet në nenin 67 të kësaj rregulloreje, të mbahet në një regjistër qendror në shtetin anëtar në përputhje me kushtet e përcaktuara në nenin 67 të kësaj rregulloreje. Shtetet anëtare sigurojnë gjithashtu që regjistri qendror të përmbajë një tregues të situatës së renditur në nenin 67, paragrafi 1 të Rregullores (BE) 2024/1624 që sjell regjistrimin e subjektit juridik të huaj ose të organizimit ligjor të huaj.</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kujdestarët e një trusti të shprehur ose personat që mbajnë pozicione të barasvlershme në një organizim ligjor të ngjashëm janë vendosur ose banojnë në shtete të ndryshme anëtare, mjafton një certifikatë e vërtetimit të regjistrimit ose një ekstrakt informacioni mbi pronësinë përfituese nga një regjistër qendror nga një shtet anëtar, për ta konsideruar detyrimin e regjistrimit të përmbushur.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të drejtë të kërkojnë nga subjektet juridike, kujdestarët e trusteve të shprehura dhe personat që mbajnë një pozicion të barasvlershëm në një organizim ligjor të ngjashëm, si dhe pronarët e tyre ligjorë dhe përfitues, çdo informacion të nevojshëm për identifikimin dhe verifikimin e pronarëve të tyre përfitues, duke përfshirë vendimet e bordit të drejtorëve dhe procesverbalet e mbledhjeve të tyre, marrëveshjet e partneritetit, aktet e themelimit të trusteve, prokurat ose marrëveshjet dhe dokumentacionet e tjera kontraktuale.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asnjë person nuk identifikohet si pronar përfitues sipas nenit 63, paragrafi 3 dhe nenit 64, paragrafi 6 të Rregullores (BE) 2024/1624, regjistri qendror përfshin:</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10(5)(a)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deklaratë se nuk ka pronar përfitues ose se pronarët përfitues nuk mund të përcaktohen, të shoqëruar me një justifikim përkatës sipas nenit 63, paragrafi 4, germa “a” dhe nenit 64, paragrafi 7, germa “a” të Rregullores (BE) 2024/1624;</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10(5)(b)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detajet e të gjithë personave fizikë që mbajnë pozicionin e zyrtarëve të lartë drejtues në subjektin juridik, të barasvlershme me informacionin e kërkuar sipas nenit 62, paragrafi 1, nënparagrafi i dytë, germa "a" të Rregullores (BE) 2024/1624.</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përmendur në nënparagrafin e parë, germa "a", t'u vihet në dispozicion autoriteteve kompetente, si dhe AMLA-s për qëllime të analizave të përbashkëta sipas nenit 32 të kësaj direktive dhe nenit 40 të Rregullores (BE) 2024/1620, organeve vetërregulluese dhe subjekteve të detyruara. Megjithatë, subjektet e detyruara kanë akses në deklaratën e paraqitur nga subjekti juridik ose organizimi ligjor vetëm nëse raportojnë një mospërputhje në pajtueshmëri me nenin 24 të Rregullores (BE) 2024/1624 ose nëse sigurojnë prova për hapat që kanë ndërmarrë për të përcaktuar pronarët përfitues të subjektit juridik ose organizimit ligjor, rast në të cilin ata do të mund të aksesojnë gjithashtu edhe justifikimin.</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10(6)</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2025, Komisioni përcakton, nëpërmjet akteve zbatuese, formatin për dorëzimin e informacionit mbi pronësinë përfituese, siç përmendet në nenin 62 të Rregullores (BE) 2024/1624, në regjistrin qendror, duke përfshirë një listë kontrolli të kërkesave minimale për informacionin që do të shqyrtohet nga subjekti përgjegjës për regjistrin qendror. Këto akte zbatuese miratohen në përputhje me procedurën e shqyrtimit të përmendur në nenin 72, paragrafi 2 të kësaj direktive.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B51D1E"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(7)</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mbi pronësinë përfituese i mbajtur në regjistrat qendrorë të jetë i përshtatshëm, i saktë dhe i përditësuar, si dhe ngrenë mekanizma për këtë qëllim. Për këtë qëllim, shtetet anëtare zbatojnë të paktën kërkesat e mëposhtme: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10(7)(a)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përgjegjëse për regjistrat qendrorë verifikojnë, brenda një kohe të arsyeshme pas dorëzimit të informacionit mbi pronësinë përfituese dhe më pas rregullisht, nëse ky informacion është i përshtatshëm, i saktë dhe i përditësuar;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10(7)(b)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kompetente, sipas rastit dhe në masën që kjo kërkesë nuk ndërhyn në mënyrë të panevojshme në funksionet e tyre, raportojnë pranë subjekteve përgjegjëse për regjistrat qendrorë çdo mospërputhje që konstatojnë midis informacionit të disponueshëm në regjistrat qendrorë dhe informacionit që u është vënë në dispozicion.</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Shtrirja dhe shpeshtësia e verifikimit të përmendur në germën "a" të nënparagrafit të parë të këtij paragrafi përputhen me rreziqet që lidhen me kategoritë e subjekteve juridike dhe organizimeve ligjore të identifikuara në përputhje me nenin 7, paragrafi 3, germa "d" dhe nenin 8, paragrafi 4, germa "c".</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tcPr>
          <w:p w:rsidR="005B3659" w:rsidRPr="00F727DA" w:rsidRDefault="005B3659" w:rsidP="00A87413">
            <w:pPr>
              <w:spacing w:after="0" w:line="240" w:lineRule="auto"/>
              <w:rPr>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Komisioni nxjerr rekomandime për metodat dhe procedurat që do të përdoren nga subjektet përgjegjëse për regjistrat qendrorë për të verifikuar informacionin mbi pronësinë përfituese, dhe nga subjektet e detyruara dhe autoritetet kompetente për të identifikuar dhe raportuar mospërputhjet në lidhje me informacionin mbi pronësinë përfituese.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B51D1E"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w:t>
            </w: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(8)</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përfshirë në regjistrat qendrorë të përmbajë çdo ndryshim në pronësinë përfituese të subjekteve juridike dhe organizimeve ligjore dhe në marrëveshjet e të emëruarve, pas regjistrimit të tyre të parë në regjistrin qendror.</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color w:val="FF0000"/>
                <w:sz w:val="18"/>
                <w:szCs w:val="18"/>
                <w:lang w:eastAsia="sq-AL" w:bidi="sq-AL"/>
              </w:rPr>
            </w:pPr>
            <w:r w:rsidRPr="00F727DA">
              <w:rPr>
                <w:rFonts w:ascii="Times New Roman" w:hAnsi="Times New Roman"/>
                <w:sz w:val="18"/>
                <w:szCs w:val="18"/>
                <w:lang w:eastAsia="sq-AL" w:bidi="sq-AL"/>
              </w:rPr>
              <w:t xml:space="preserve">Shtetet anëtare garantojnë që subjektet përgjegjëse për regjistrat qendrorë të verifikojnë nëse informacioni mbi pronësinë përfituese që mbahet në këta regjistra </w:t>
            </w:r>
            <w:r w:rsidRPr="00F727DA">
              <w:rPr>
                <w:rFonts w:ascii="Times New Roman" w:hAnsi="Times New Roman"/>
                <w:color w:val="FF0000"/>
                <w:sz w:val="18"/>
                <w:szCs w:val="18"/>
                <w:lang w:eastAsia="sq-AL" w:bidi="sq-AL"/>
              </w:rPr>
              <w:t xml:space="preserve">ka të bëjë me persona ose subjekte të caktuara në kuadrin e sanksioneve financiare të targetuara. </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verifikim kryhet menjëherë pas përcaktimit në lidhje me sanksionet financiare të targetuara dhe në intervale të rregullta.</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përfshirë në regjistrat qendrorë të përfshijë një tregues që subjekti juridik është i lidhur me persona ose subjekte që u nënshtrohen sanksioneve financiare të targetuara në cilëndo nga situatat e mëposhtme: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subjekt juridik ose organizim ligjor u nënshtrohet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person juridik ose organizim ligjor kontrollohet nga një person ose subjekt që u nënshtrohet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10(9)(c)</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pronari përfitues i një subjekti juridik ose organizimi ligjor u nënshtrohet sanksioneve financiare të targetuara.</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Treguesi i përmendur në nënparagrafin e dytë të këtij paragrafi do të jetë i dukshëm për çdo person ose subjekt të cilit i është dhënë akses në informacionin e përmbajtur në regjistrat qendrorë sipas neneve 11 dhe 12 dhe do të mbetet në fuqi deri në heqjen e sanksioneve financiare të targetuara.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10(10)</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ndërmarrin, brenda 30 ditëve pune nga raportimi i një mospërputhjeje nga një autoritet kompetent ose nga një subjekt i detyruar, masat e duhura për të zgjidhur mospërputhjen e raportuar në përputhje me nenin 24 të Rregullores (BE) 2024/1624, duke përfshirë ndryshimin e informacionit të përmbajtur në regjistrat qendrorë kur subjekti është në gjendje të verifikojë informacionin mbi pronësinë përfituese. Në regjistrat qendrorë do të përfshihet një cilësim specifik i faktit se ka mospërputhje të raportuara, deri në zgjidhjen e mospërputhjes. Ky cilësim do të jetë i dukshëm për çdo person ose subjekt të cilit i është dhënë akses sipas neneve 11 dhe 12 të kësaj direktive.</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mospërputhja është e një natyre komplekse dhe subjektet përgjegjëse për regjistrat qendrorë nuk mund ta zgjidhin atë brenda 30 ditëve pune, ato regjistrojnë rastin dhe hapat që janë ndërmarrë, si dhe marrin masat e nevojshme për zgjidhjen sa më të shpejtë të mospërputhjes.</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10(11)</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subjekti përgjegjës për regjistrin qendror të ketë kompetenca, të drejtpërdrejta ose duke paraqitur kërkesë pranë një autoriteti tjetër, përfshirë autoritetet gjyqësore, për të kryer kontrolle, qofshin këto edhe inspektime në terren në ambientet e biznesit ose në selinë e regjistruar të subjekteve juridike, me qëllim që të përcaktojë pronësinë përfituese aktuale të subjektit dhe të verifikojë që informacioni i dorëzuar në regjistrin qendror është i saktë, i përshtatshëm dhe i përditësuar. E drejta e subjektit përgjegjës për regjistrin qendror për të verifikuar informacionin mbi pronësinë përfituese nuk kufizohet, pengohet ose përjashtohet.</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kujdestari i trustit ose personi që mban një pozicion të barasvlershëm është një subjekt i detyruar, siç përmendet në nenin 3, paragrafi 3, germat "a", "b" ose "c" të Rregullores (BE) 2024/1624, shtetet anëtare garantojnë që subjekti përgjegjës për regjistrin qendror të ketë gjithashtu të drejtën të kryejë kontrolle, duke përfshirë inspektime në terren në ambientet e biznesit ose në selinë e regjistruar të kujdestarit të trustit ose personit në një pozicion të barasvlershëm. Këto kontrolle përmbushin të paktën masat mbrojtëse të mëposhtme: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10(11)(a)</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u përket personave fizikë, kur ambientet e biznesit ose selia e regjistruar janë të njëjta me vendbanimin privat të personit fizik, inspektimi në terren i nënshtrohet autorizimit gjyqësor paraprak;</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10(11)(b)</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respektohet çdo masë mbrojtëse procedurale ekzistuese në shtetin anëtar për të mbrojtur privilegjin juridik dhe nuk do të aksesohet asnjë informacion i mbrojtur nga privilegji juridik.</w:t>
            </w:r>
          </w:p>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kompetenca për të kërkuar informacion nga regjistrat e tjerë, duke përfshirë në vendet e treta, në masën që ky informacion është i nevojshëm për kryerjen e funksioneve të këtyre subjekteve.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10(12)</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në dispozicion mekanizmat e automatizuar të nevojshëm për të kryer verifikimet e përmendura në paragrafin 7, germat "a" dhe në paragrafin 9, duke përfshirë me anë të krahasimit të informacionit të përfshirë në këto regjistra me informacionin që gjendet në burime të tjera.</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10(13)</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një verifikim i përmendur në paragrafin 7, germa "a", kryhet në kohën e dorëzimit të informacionit mbi pronësinë përfituese dhe ky verifikim e bën subjektin përgjegjës për një regjistër qendror të arrijë në përfundimin se ka mospërputhje ose gabime në informacionin mbi pronësinë përfituese, subjekti përgjegjës për një regjistër qendror mund të pezullojë ose të refuzojë lëshimin e një certifikate të vlefshme të vërtetimit të regjistrimit.</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10(14)</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një verifikim siç përmendet në germën “a” të paragrafit 7, kryhet pas dorëzimit të informacionit mbi pronësinë përfituese dhe një verifikim i tillë e bën subjektin përgjegjës për një regjistër qendror të arrijë në përfundimin se informacioni nuk është më i përshtatshëm, i saktë dhe i përditësuar, subjekti përgjegjës për regjistrin qendror mund të pezullojë vlefshmërinë e certifikatës së vërtetimit të regjistrimit derisa të konsiderojë se informacioni mbi pronësinë përfituese është i rregullt, përveç rasteve kur mospërputhjet kufizohen në gabime tipografike, mënyra të ndryshme transliterimi ose pasaktësi të vogla që nuk ndikojnë në identifikimin e pronarëve përfitues ose të interesit të tyre përfitues.</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5B3659" w:rsidRPr="00F727DA" w:rsidTr="00E24C86">
        <w:trPr>
          <w:trHeight w:val="578"/>
        </w:trPr>
        <w:tc>
          <w:tcPr>
            <w:tcW w:w="900" w:type="dxa"/>
            <w:shd w:val="clear" w:color="auto" w:fill="auto"/>
            <w:vAlign w:val="center"/>
          </w:tcPr>
          <w:p w:rsidR="005B3659" w:rsidRPr="00F727DA" w:rsidRDefault="005B3659"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10(15)</w:t>
            </w:r>
          </w:p>
        </w:tc>
        <w:tc>
          <w:tcPr>
            <w:tcW w:w="3507"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subjekti përgjegjës për regjistrin qendror të ketë të drejtë të zbatojë, në mënyrë të drejtpërdrejtë ose duke paraqitur kërkesë pranë një autoriteti tjetër, përfshirë autoritetet gjyqësore, masa efektive, proporcionale dhe shtrënguese ose të vendosë sanksione në formë gjobe për mosraportimet, duke përfshirë ato të një natyre të përsëritur, të informacionit të saktë, të përshtatshëm dhe të përditësuar në regjistrin qendror në lidhje me pronësinë përfituese.</w:t>
            </w:r>
          </w:p>
        </w:tc>
        <w:tc>
          <w:tcPr>
            <w:tcW w:w="1266" w:type="dxa"/>
            <w:gridSpan w:val="2"/>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B3659" w:rsidRPr="00F727DA" w:rsidRDefault="005B3659"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5B3659" w:rsidRPr="00F727DA" w:rsidRDefault="005B3659"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5B3659" w:rsidRPr="00F727DA" w:rsidRDefault="005B3659"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10(16)</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ka kompetencën të miratojë akte të deleguara në përputhje me nenin 71 për të plotësuar më tej këtë Direktivë, duke përcaktuar tregues për klasifikimin e nivelit të seriozitetit të mosraportimit të informacionit të përshtatshëm, të saktë dhe të përditësuar në regjistrat qendrorë, përfshirë rastet e mosraportimit të përsëritur.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10(17)</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nëse gjatë verifikimeve të kryera në përputhje me këtë nen, ose në ndonjë mënyrë tjetër, subjektet përgjegjëse për regjistrat qendrorë zbulojnë fakte që mund të lidhen me pastrimin e parave ose financimin e terrorizmit, ato informojnë menjëherë NjIF-në për këtë.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10(18)</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kryerjen e detyrave të tyre, subjektet përgjegjëse për regjistrat qendrorë të kryejnë funksionet e tyre pa ndikim të panevojshëm, si dhe që këto subjekte të zbatojnë standarde për punonjësit e tyre në lidhje me konfliktin e interesit dhe konfidencialitetin e plotë.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10(19)</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Regjistrat qendrorë ndërlidhen nëpërmjet Platformës Qendrore Evropiane të krijuar nga neni 22, paragrafi 1 i Direktivës (BE) 2017/1132.</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10(20)</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paragrafin 1 është i disponueshëm nëpërmjet regjistrave qendrorë dhe nëpërmjet sistemit të ndërlidhjes së regjistrave qendrorë për 5 vjet pasi organizimi ligjor të jetë shpërbërë apo të ketë pushuar së ekzistuari.</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legjislacionin penal të brendshëm për provat e vlefshme për hetimet penale dhe procedurat ligjore të vazhdueshme, në raste specifike, shtetet anëtare mund të lejojnë që ky informacion të mbahet ose të kërkojnë që ky informacion të mbahet për një periudhë maksimale shtesë prej 5 vjetësh kur shtetet anëtare kanë përcaktuar se kjo mbajtje është e nevojshme dhe proporcionale me qëllim parandalimin, zbulimin, hetimin ose ndjekjen penale të veprës së dyshuar të pastrimit të parave ose financimit të terrorizmit.</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Pas përfundimit të periudhës së mbajtjes të përmendur në nënparagrafin e parë, shtetet anëtare garantojnë fshirjen e të dhënave personale nga regjistrat qendrorë.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2031, Komisioni publikon një raport që përfshin:</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313B74"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efektivitetit të masave të marra nga subjektet përgjegjëse për regjistrat qendrorë për të garantuar që këta regjistra të përmbajnë informacion të përshtatshëm, të përditësuar dhe të saktë;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përshkrim të llojeve kryesore të mospërputhjeve të identifikuara nga subjektet e detyruara dhe autoritetet kompetente në lidhje me informacionin mbi pronësinë përfituese të mbajtur në regjistrat qendrorë;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praktikat më të mira dhe, sipas rastit, rekomandimet në lidhje me masat e marra nga subjektet përgjegjëse për regjistrat qendrorë për të garantuar që këta regjistra të përmbajnë informacion të përshtatshëm, të saktë dhe të përditësuar;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veçorive të çdo regjistri qendror të krijuar nga shtetet anëtare, duke përfshirë të dhëna për mekanizmat që shërbejnë për të garantuar që informacioni mbi pronësinë përfituese që mbahet në këta regjistra të jetë i saktë, i përshtatshëm dhe i përditësuar;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tcBorders>
              <w:bottom w:val="single" w:sz="2" w:space="0" w:color="auto"/>
            </w:tcBorders>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10(21)(e)</w:t>
            </w:r>
          </w:p>
        </w:tc>
        <w:tc>
          <w:tcPr>
            <w:tcW w:w="3507" w:type="dxa"/>
            <w:tcBorders>
              <w:bottom w:val="single" w:sz="2"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proporcionalitetit të tarifave të vendosura për aksesimin e informacionit të mbajtur në regjistrat qendrorë.</w:t>
            </w:r>
          </w:p>
        </w:tc>
        <w:tc>
          <w:tcPr>
            <w:tcW w:w="1266" w:type="dxa"/>
            <w:gridSpan w:val="2"/>
            <w:tcBorders>
              <w:bottom w:val="single" w:sz="2" w:space="0" w:color="auto"/>
            </w:tcBorders>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tcBorders>
              <w:bottom w:val="single" w:sz="2"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tcBorders>
              <w:bottom w:val="single" w:sz="2" w:space="0" w:color="auto"/>
            </w:tcBorders>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tcBorders>
              <w:bottom w:val="single" w:sz="2"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tcBorders>
              <w:bottom w:val="single" w:sz="2" w:space="0" w:color="auto"/>
            </w:tcBorders>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tcBorders>
              <w:top w:val="single" w:sz="4" w:space="0" w:color="auto"/>
            </w:tcBorders>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11</w:t>
            </w:r>
          </w:p>
          <w:p w:rsidR="00C36466" w:rsidRPr="00F727DA" w:rsidRDefault="00C36466"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Rregullat e përgjithshme për aksesin në regjistrat e pronarëve përfitues nga autoritetet kompetente, organet vetë-rregulluese dhe subjektet e detyruara</w:t>
            </w:r>
          </w:p>
        </w:tc>
      </w:tr>
      <w:tr w:rsidR="00C36466" w:rsidRPr="00F727DA" w:rsidTr="00E24C86">
        <w:trPr>
          <w:trHeight w:val="578"/>
        </w:trPr>
        <w:tc>
          <w:tcPr>
            <w:tcW w:w="900" w:type="dxa"/>
            <w:tcBorders>
              <w:top w:val="single" w:sz="4" w:space="0" w:color="auto"/>
            </w:tcBorders>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11(1)</w:t>
            </w:r>
          </w:p>
        </w:tc>
        <w:tc>
          <w:tcPr>
            <w:tcW w:w="3507" w:type="dxa"/>
            <w:tcBorders>
              <w:top w:val="single" w:sz="4"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autoritetet kompetente të kenë akses të menjëhershëm, të pafiltruar, të drejtpërdrejtë dhe të lirë në informacionin e mbajtur në regjistrat qendrorë të ndërlidhur, të përmendur në nenin 10, pa njoftuar subjektin juridik ose organizimin ligjor në fjalë.</w:t>
            </w:r>
          </w:p>
        </w:tc>
        <w:tc>
          <w:tcPr>
            <w:tcW w:w="1266" w:type="dxa"/>
            <w:gridSpan w:val="2"/>
            <w:tcBorders>
              <w:top w:val="single" w:sz="4" w:space="0" w:color="auto"/>
            </w:tcBorders>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tcBorders>
              <w:top w:val="single" w:sz="4"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tcBorders>
              <w:top w:val="single" w:sz="4" w:space="0" w:color="auto"/>
            </w:tcBorders>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tcBorders>
              <w:top w:val="single" w:sz="4" w:space="0" w:color="auto"/>
            </w:tcBorders>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tcBorders>
              <w:top w:val="single" w:sz="4" w:space="0" w:color="auto"/>
            </w:tcBorders>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i përmendur në paragrafin 1 u sigurohet: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kompetente;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organeve vetërregulluese për kryerjen e funksioneve mbikëqyrëse, sipas nenit 37;</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tatimore;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kombëtare të cilave u janë caktuar përgjegjësi për zbatimin e masave kufizuese të BE-së të identifikuara në bazë të rregulloreve përkatëse të Këshillit të miratuara në bazë të nenit 215 të TFBE-së;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11(2)(e)</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AMLA-s për qëllime të analizave të përbashkëta sipas nenit 32 të kësaj direktive dhe nenit 40 të Rregullores (BE) 2024/1620;</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11(2)(f)</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EPPO-së;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11(2)(g)</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OLAF-it;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11(2)(h)</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Europolit dhe Eurojust-it gjatë ofrimit të mbështetjes operacionale për autoritetet kompetente të shteteve anëtare.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11(3)</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gjatë marrjes së masave të vigjilencës së duhur ndaj klientit në përputhje me kreun III të Rregullores (BE) 2024/1624, subjektet e detyruara të kenë akses pa vonesa në informacionin e mbajtur në regjistrat qendrorë të ndërlidhur të përmendur në nenin 10 të kësaj direktive.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11(4)</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zgjedhin që informacionin mbi pronësinë përfituese të mbajtur në regjistrat e tyre qendrorë ta vënë në dispozicion të subjekteve të detyruara kundrejt një tarife që kufizohet në një shumë rreptësisht të nevojshme për të mbuluar kostot e garantimit të cilësisë së informacionit të mbajtur në regjistrat qendrorë dhe të vënies në dispozicion të informacionit. Këto tarifa përcaktohen në mënyrë të tillë që të mos cenojnë aksesin efektiv në informacionin e mbajtur në regjistrat qendrorë.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11(5)</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tetor 2026, shtetet anëtare njoftojnë Komisionin për listën e autoriteteve kompetente dhe organeve vetërregulluese, si dhe për kategoritë e subjekteve të detyruara të cilave u është garantuar akses në regjistrat qendrorë dhe për llojin e informacionit në dispozicion të subjekteve të detyruara. Shtetet anëtare e përditësojnë këtë njoftim kur ka ndryshime në listën e autoriteteve kompetente, në kategoritë e subjekteve të detyruara ose në masën e aksesit që u jepet subjekteve të detyruara. Komisioni e vë informacionin për aksesin nga autoritetet kompetente dhe subjektet e detyruara, duke përfshirë çdo ndryshim të tij, në dispozicion të shteteve të tjera anëtare.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DF6850"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Style w:val="Strong"/>
                <w:rFonts w:ascii="Times New Roman" w:hAnsi="Times New Roman"/>
                <w:sz w:val="18"/>
                <w:szCs w:val="18"/>
              </w:rPr>
            </w:pPr>
            <w:r w:rsidRPr="00F727DA">
              <w:rPr>
                <w:rStyle w:val="Strong"/>
                <w:rFonts w:ascii="Times New Roman" w:hAnsi="Times New Roman"/>
                <w:sz w:val="18"/>
                <w:szCs w:val="18"/>
              </w:rPr>
              <w:t>Neni 12</w:t>
            </w:r>
          </w:p>
          <w:p w:rsidR="00C36466" w:rsidRPr="00F727DA" w:rsidRDefault="00C36466" w:rsidP="00A87413">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Rregulla të veçanta për aksesin në regjistrat e pronarëve përfitues për personat me interes të legjitim</w:t>
            </w: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çdo person fizik ose juridik që mund të demonstrojë interes legjitim në parandalimin dhe luftën kundër pastrimit të parave, veprave penale bazë të lidhura me të dhe financimit të terrorizmit, të ketë akses në informacionin e mëposhtëm mbi pronarët përfitues të subjekteve juridike dhe organizimeve ligjore që mbahet në regjistrat qendrorë të ndërlidhur të përmendur në nenin 10, pa njoftuar subjektin juridik ose organizimin ligjor në fjalë: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emri i pronarit përfitues;</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muaji dhe viti i lindjes së pronarit përfitues;</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vendi i banimit dhe shtetësia ose shtetësitë e pronarit përfitues;</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pronarët përfitues të subjekteve juridike, natyra dhe masa e interesit përfitues të zotëruar;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12(1)(e)</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pronarët përfitues të trusteve të shprehura ose organizimeve të ngjashme ligjore, natyra e interesit përfitues.</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Përveç informacionit të përmendur në nënparagrafin e parë të këtij paragrafi, shtetet anëtare garantojnë që çdo person fizik ose juridik i përmendur në paragrafin 2, germat "a", "b" dhe "e", të ketë gjithashtu akses në informacionin historik mbi pronësinë përfituese të subjektit juridik ose organizimit ligjor, duke përfshirë subjektet juridike ose organizimet ligjore që janë shpërbërë ose kanë pushuar së ekzistuari gjatë 5 viteve të mëparshme, si dhe në një përshkrim të strukturës së kontrollit ose të pronësisë.</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sipas këtij paragrafi sigurohet përmes mjeteve elektronike. Megjithatë, shtetet anëtare garantojnë që personat fizikë dhe juridikë, të cilët mund të demonstrojnë një interes legjitim, të kenë gjithashtu akses në informacion përmes formateve të tjera, në pamundësi të përdorimit të mjeteve elektronike.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fizikë ose juridikë të mëposhtëm konsiderohen se kanë interes legjitim për të aksesuar informacionin e renditur në paragrafin 1:</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veprojnë për qëllime gazetarie, raportimi ose çdo forme tjetër të shprehjes mediatike, të lidhura me parandalimin ose luftën kundër pastrimit të parave, veprave penale bazë të lidhura me të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organizatat e shoqërisë civile, duke përfshirë organizatat joqeveritare dhe akademinë, të lidhura me parandalimin ose luftën kundër pastrimit të parave, veprave penale bazë të lidhura me të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luftën kundër pastrimit të parave dhe financimit të terrorizmit në ato vende të treta;</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12(2)(e)</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autoriteteve kompetente të BE-së për luftën kundër pastrimit të parave dhe financimit të terrorizmit, me kusht që të mund të demonstrojnë nevojën për akses në informacionin e përmendur në paragrafin 1 lidhur me një subjekt juridik ose organizim ligjor me qëllim realizimin e detyrave të tyre në kuadrin e luftës kundër pastrimit të parave dhe financimit të terrorizmit të këtyre vendeve të treta në kontekstin e një rasti specifik;</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12(2)(f)</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e shteteve anëtare përgjegjëse për zbatimin e titullit I, kreu II dhe III të Direktivës (BE) 2017/1132, në veçanti autoritetet përgjegjëse për regjistrimin e shoqërive në regjistrin e përmendur në nenin 16 të kësaj direktive, dhe autoritetet e shteteve anëtare përgjegjëse për shqyrtimin e ligjshmërisë së konvertimeve, bashkimeve dhe ndarjeve të shoqërive me përgjegjësi të kufizuar në përputhje me titullin II të kësaj direktive;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12(2)(g)</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përgjegjëse për programet të cilat janë caktuar nga shtetet anëtare në përputhje me nenin 71 të Rregullores (BE) 2021/1060, në lidhje me përfituesit e fondeve të BE-së;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12(2)(h)</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që zbatojnë Instrumentin për Rimëkëmbjen dhe Qëndrueshmërinë në kuadër të Rregullores (BE) 2021/241, në lidhje me përfituesit në kuadër të Instrumentit;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12(2)(i)</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të shteteve anëtare në kontekstin e procedurave të prokurimit publik, në lidhje me ofertuesit dhe operatorët të cilëve u akordohet kontrata në kuadër të procedurës së prokurimit publik;</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12(2)(j)</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Përveç kategorive të identifikuara në nënparagrafin e parë, shtetet anëtare garantojnë gjithashtu që edhe persona të tjerë që janë në gjendje të demonstrojnë interesin legjitim në lidhje me qëllimin e parandalimit dhe luftës kundër pastrimit të parave, veprave penale bazë të lidhura me të dhe financimit të terrorizmit, të kenë akses në informacionin mbi pronësinë përfituese në bazë të një vlerësimi rast pas rasti.</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12(3)</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2026, shtetet anëtare duhet të njoftojnë Komisionin për: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DF6850"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12(3)(a)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autoriteteve publike që kanë të drejtë të konsultojnë informacionin mbi pronësinë përfituese sipas paragrafit 2, germat "f", "g" dhe "h" dhe autoritetet publike ose kategoritë e autoriteteve publike që kanë të drejtë të konsultojnë informacionin mbi pronësinë përfituese sipas paragrafit 2, germa "i";</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12(3)(b)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kategori shtesë të personave për të cilët është konstatuar se kanë interes legjitim për të aksesuar informacionin mbi pronësinë përfituese, të identifikuar në përputhje me paragrafin 2, nënparagrafi i dytë.</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Komisionin për çdo ndryshim ose shtesë në kategoritë e përmendura në nënparagrafin e parë, pa vonesë dhe në çdo rast brenda 1 muaji nga momenti kur ato shfaqen.</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e vë informacionin e marrë në përputhje me këtë paragraf në dispozicion të shteteve të tjera anëtare.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12(4)</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regjistrat qendrorë të mbahen të dhëna për personat që aksesojnë informacionin në përputhje me këtë nen dhe që këto të dhëna të mund t’u zbulohen pronarëve përfitues kur ata paraqesin kërkesë në përputhje me nenin 15, paragrafi 1, germa "c" të Rregullores (BE) 2016/679.</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Megjithatë, shtetet anëtare garantojnë që informacioni i siguruar nga regjistrat qendrorë të mos lejojë identifikimin e personave që kanë konsultuar regjistrin, kur këta persona janë: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12(4)(a)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veprojnë për qëllime gazetarie, raportimi ose çdo forme tjetër të shprehjes mediatike, të lidhura me parandalimin ose luftën kundër pastrimit të parave, veprave penale bazë të lidhura me të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12(4)(b)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organizata të shoqërisë civile të lidhura me parandalimin ose luftën kundër pastrimit të parave, veprave penale bazë të lidhura me të ose financimit të terrorizmit.</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Përveç kësaj, shtetet anëtare garantojnë që subjektet përgjegjëse për regjistrat qendrorë të mos zbulojnë identitetin e homologëve të vendeve të treta të autoriteteve kompetente të BE-së për luftën kundër pastrimit të parave dhe financimit të terrorizmit të përmendur në nenin 2, paragrafi 1, pika 44, germat "a" dhe "c" të Rregullores (BE) 2024/1624, për aq kohë sa është e nevojshme për të mbrojtur analizat ose hetimet e këtij autoriteti.</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u përket personave të përmendur në germat "a" dhe "b" të nënparagrafit të dytë të këtij paragrafi, shtetet anëtare garantojnë që në rastet kur pronarët përfitues paraqesin një kërkesë në përputhje me nenin 15, paragrafi 1, germa "c" të Rregullores (BE) 2016/679, atyre t'u sigurohet informacion mbi funksionin ose profesionin e personave që kanë konsultuar informacionin mbi pronësinë përfituese.</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nënparagrafit të tretë, kur kërkojnë akses në informacionin mbi pronësinë përfituese në përputhje me këtë nen, autoritetet cilësojnë periudhën për të cilën kërkojnë që identiteti i tyre të mos zbulohet nga regjistrat qendrorë - periudhë e cila nuk është më shumë se 5 vjet - si dhe arsyet për këtë kufizim, duke përfshirë mënyrën se si dhënia e informacionit do të rrezikonte qëllimin e analizave dhe hetimeve të tyre. Shtetet anëtare garantojnë që, kur regjistrat qendrorë nuk e zbulojnë identitetin e subjektit që ka konsultuar informacionin mbi pronësinë përfituese, çdo shtyrje e kësaj periudhe lejohet vetëm mbi bazën e një kërkese të justifikuar nga autoriteti në vendin e tretë, për një periudhë maksimale prej 1 viti, në përfundim të së cilës ai autoritet duhet të paraqesë një kërkesë të re të justifikuar për shtyrje.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13</w:t>
            </w:r>
          </w:p>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Procedura për verifikimin dhe njohjen reciproke të interesit të ligjshëm për të pasur akses në informacionin mbi pronarët përfitues</w:t>
            </w: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përmendur në nenin 10 të marrin masa për të verifikuar ekzistencën e interesit legjitim të përmendur në nenin 12 mbi bazën e dokumenteve, informacionit dhe të dhënave të marra nga personi fizik ose juridik që kërkon akses në regjistrin qendror ("aplikuesi") dhe, kur është e nevojshme, mbi bazën e informacionit që kanë në dispozicion sipas nenit 12, paragrafi 3.</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13(2)</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Ekzistenca e një interesi legjitim për të aksesuar informacionin mbi pronësinë përfituese përcaktohet duke marrë në konsideratë: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13(2)(a)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funksionin ose profesionin e aplikuesit; dhe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13(2)(b)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personave të përmendur në nenin 12, paragrafi 2, nënparagrafi i parë, germa "a" dhe "b," lidhjen me subjektet juridike ose organizimet ligjore specifike për të cilat kërkohet informacion.</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13(3)</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aksesi në informacion kërkohet nga një person interesi legjitim i të cilit për të aksesuar informacionin mbi pronësinë përfituese në kuadër të njërës prej kategorive të përcaktuara në nenin 12, paragrafi 2, nënparagrafi i parë, është verifikuar tashmë nga regjistri qendror i një shteti tjetër anëtar, verifikimi i kushtit të përcaktuar në paragrafin 2, germa "a" të këtij neni të përmbushet duke mbledhur prova të interesit legjitim të siguruara nga regjistri qendror i atij shteti tjetër anëtar.</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ta zbatojnë procedurën e përcaktuar në nënparagrafin e parë të këtij paragrafi për kategoritë shtesë të identifikuara nga shtetet e tjera anëtare në përputhje me nenin 12, paragrafi 2, nënparagrafi i dytë.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13(4)</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verifikojnë identitetin e aplikuesve sa herë që ata aksesojnë regjistrat. Për këtë qëllim, shtetet anëtare garantojnë që të disponohen procese të mjaftueshme për verifikimin e identitetit të aplikuesit, duke përfshirë përmes lejimit të përdorimit të mjeteve të identifikimit elektronik dhe të shërbimeve të kualifikuara e të besuara përkatëse, siç përcaktohet në Rregulloren (BE) nr. 910/2014 të Parlamentit Evropian dhe të Këshillit (39</w:t>
            </w:r>
            <w:r w:rsidRPr="00F727DA">
              <w:rPr>
                <w:rStyle w:val="FootnoteReference"/>
                <w:rFonts w:ascii="Times New Roman" w:hAnsi="Times New Roman"/>
                <w:sz w:val="18"/>
                <w:szCs w:val="18"/>
                <w:lang w:eastAsia="sq-AL" w:bidi="sq-AL"/>
              </w:rPr>
              <w:footnoteReference w:id="6"/>
            </w:r>
            <w:r w:rsidRPr="00F727DA">
              <w:rPr>
                <w:rFonts w:ascii="Times New Roman" w:hAnsi="Times New Roman"/>
                <w:sz w:val="18"/>
                <w:szCs w:val="18"/>
                <w:lang w:eastAsia="sq-AL" w:bidi="sq-AL"/>
              </w:rPr>
              <w: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13(5)</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2, germa "a", shtetet anëtare garantojnë që regjistrat qendrorë të kenë mekanizma që lejojnë aksesin e përsëritur të personave me interes legjitim për aksesin në informacionin mbi pronësinë përfituese pa qenë nevoja për të vlerësuar funksionin ose profesionin e tyre sa herë që ata aksesojnë informacionin.</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 (6)</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Nga data 10 nëntor 2026, shtetet anëtare garantojnë që subjektet përgjegjëse për regjistrat qendrorë të kryejnë verifikimin e përmendur në paragrafin 1 dhe t'i kthejnë përgjigje aplikuesit brenda 12 ditësh pune.</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Duke deroguar nga nënparagrafi i parë, në rastin e hasjes së papritur të një numri të lartë kërkesash për akses në informacionin mbi pronësinë përfituese në përputhje me këtë nen, afati për t'i kthyer përgjigje aplikuesit mund të zgjatet me 12 ditë pune. </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Nëse, pas përfundimit të afatit, numri i kërkesave hyrëse vazhdon të jetë i lartë, ky afat mund të zgjatet edhe me 12 ditë pune të tjera.</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pa vonesa Komisionin për çdo shtyrje të përmendur në nënparagrafin e dytë.</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përgjegjëse për regjistrat qendrorë vendosin të japin akses në informacionin mbi pronësinë përfituese, ato lëshojnë një certifikatë që jep akses për 3 vite. Subjektet përgjegjëse për regjistrat qendrorë u përgjigjen çdo kërkese vijuese për akses në informacionin mbi pronësinë përfituese nga i njëjti person, brenda 7 ditëve pune.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refuzojnë një kërkesë për akses në informacionin mbi pronësinë përfituese vetëm për një nga arsyet e mëposhtme: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aplikuesi nuk ka siguruar informacionin ose dokumentet e nevojshme sipas paragrafit 1;</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është demonstruar interesi legjitim për të aksesuar informacionin mbi pronësinë përfituese;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në bazë të informacionit që disponon, subjekti përgjegjës për regjistrin qendror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vlen një ose disa nga situatat e përmendura në nenin 15;</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13(7)(e)</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e përmendura në paragrafin 3, interesi legjitim për të aksesuar informacionin mbi pronësinë përfituese të dhënë nga regjistri qendror i një shteti tjetër anëtar nuk përfshin qëllimet për të cilat kërkohet informacioni;</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13(7)(f)</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aplikuesi ndodhet në një vend të tretë dhe përgjigja ndaj kërkesës për akses në informacion nuk do të ishte në përputhje me dispozitat e kreut V të Rregullores (BE) 2016/679.</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konsiderojnë mundësinë për të kërkuar informacion ose dokumente shtesë nga aplikuesi përpara se të refuzojnë një kërkesë për akses për arsyet e renditura në germat "a", "b", "c" dhe "e" të nënparagrafit të parë. Kur subjektet përgjegjëse për regjistrat qendrorë kërkojnë informacion shtesë, afati për dhënien e përgjigjes shtyhet me 7 ditë pune.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13(8)</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përgjegjëse për regjistrat qendrorë refuzojnë të sigurojnë akses në informacion sipas paragrafit 7, shtetet anëtare kërkojnë që ata të informojnë aplikuesin për arsyet e refuzimit dhe për të drejtën e tyre për të kërkuar zgjidhje. Subjekti përgjegjës për regjistrin qendror dokumenton hapat e ndërmarrë për vlerësimin e kërkesës dhe për sigurimin e informacionit shtesë sipas paragrafit 7, nënparagrafi i dytë.</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mund të revokojnë aksesin kur ndonjë nga arsyet e renditura në paragrafin 7 paraqitet ose kur subjekti përgjegjës për regjistrin qendror ndërgjegjësohet për to pas dhënies së këtij aksesi, duke përfshirë, sipas rastit, mbi bazën e revokimit nga një regjistër qendror në një shtet tjetër anëtar.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13(9)</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të ekzistojnë zgjidhje ligjore ose administrative për kundërshtimin e refuzimit apo revokimit të aksesit sipas paragrafit 7.</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13(10)</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mund të përsërisin verifikimin e funksionit ose profesionit të identifikuar sipas paragrafit 2, germa "a", herë pas here dhe në çdo rast jo më herët se 12 muaj pas dhënies së aksesit, përveçse kur subjekti përgjegjës për regjistrin qendror ka baza të arsyeshme për të besuar se interesi legjitim nuk është më i vlefshëm.</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13(11)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kërkojnë personave të cilëve u është dhënë akses në përputhje me këtë nen që të njoftojnë subjektin përgjegjës për regjistrin qendror lidhur me ndryshimet që mund të rezultojnë në përfundimin e vlefshmërisë së një interesi legjitim, duke përfshirë ndryshimet në lidhje me funksionin ose profesionin e tyre.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13(12)</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zgjedhin që informacionin mbi pronësinë përfituese të mbajtur në regjistrat e tyre qendrorë ta vënë në dispozicion të aplikuesve kundrejt një tarife që kufizohet në një shumë rreptësisht të nevojshme për të mbuluar kostot e garantimit të cilësisë së informacionit të mbajtur në këta regjistra qendrorë dhe të vënies në dispozicion të informacionit. Këto tarifa përcaktohen në mënyrë të tillë që të mos cenojnë aksesin efektiv në informacionin e mbajtur në regjistrat qendrorë.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14</w:t>
            </w:r>
          </w:p>
          <w:p w:rsidR="00C36466" w:rsidRPr="00F727DA" w:rsidRDefault="00C36466"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Modele dhe procedura</w:t>
            </w: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përcakton specifikimet teknike dhe procedurat e nevojshme për zbatimin e aksesit mbi bazën e interesit legjitim nga regjistrat qendrorë të përmendur në nenin 10, duke përfshirë: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02646D"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w:t>
            </w: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14(1)(a)</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modele të standardizuara për të kërkuar akses në regjistrin qendror dhe për të kërkuar akses në informacionin mbi pronësinë përfituese të subjekteve juridike dhe organizimeve ligjore;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modele të standardizuara që do të përdoren nga regjistrat qendrorë për të konfirmuar ose refuzuar kërkesat për akses në regjistër ose për akses në informacionin mbi pronësinë përfituese;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 për lehtësimin e njohjes reciproke të interesit legjitim për të aksesuar informacionin mbi pronësinë përfituese nga regjistrat qendrorë në shtete anëtare të ndryshme nga ai ku është bërë dhe pranuar për herë të parë kërkesa për akses, duke përfshirë procedura për të garantuar transferimin e sigurt të informacionit rreth një aplikuesi;</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 që lejojnë regjistrat qendrorë që të njoftojnë njëri-tjetrin për revokimin e aksesit në informacionin mbi pronësinë përfituese, sipas nenit 13, paragrafi 8.</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14(2)</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Aktet zbatuese të përmendura në paragrafin 1 të këtij neni miratohen në përputhje me procedurën e shqyrtimit të përmendur në nenin 72, paragrafi 2.</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15</w:t>
            </w:r>
          </w:p>
          <w:p w:rsidR="00C36466" w:rsidRPr="00F727DA" w:rsidRDefault="00C36466"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Përjashtime nga rregullat e aksesit në regjistrat e pronarëve përfitues</w:t>
            </w: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15 (1)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rrethana të jashtëzakonshme që do të përcaktohen në legjislacionin e brendshëm, kur aksesi i përmendur në nenin 11, paragrafi 3 dhe në nenin 12, paragrafi 1 do ta ekspozonte pronarin përfitues ndaj rrezikut joproporcional të mashtrimit, rrëmbimit, shantazhit, zhvatjes, ngacmimit, dhunës ose frikësimit, ose kur pronari përfitues është një i mitur ose një individ që nuk ka zotësi juridike, shtetet anëtare parashikojnë një përjashtim nga aksesi i plotë ose i pjesshëm në informacionin personal mbi pronarin përfitues. Shtetet anëtare garantojnë që këto përjashtime të bëhen rast pas rasti mbi bazën e një vlerësimi të hollësishëm të natyrës së jashtëzakonshme të rrethanave dhe konfirmimit se ekzistojnë rreziqe joproporcionale. Garantohet e drejta për rishikim administrativ të vendimit për përjashtim dhe e drejta për zgjidhje gjyqësore efektive. Shteti anëtar që ka bërë përjashtime publikon të dhëna statistikore vjetore për numrin e përjashtimeve të bëra dhe arsyet e paraqitura, dhe ia raporton të dhënat Komisionit.</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Përjashtimet e bëra sipas këtij neni nuk zbatohen për subjektet e detyruara të përmendura në nenin 3, paragrafi 3, germa “b” të Rregullores (BE) 2024/1624 të cilët janë nëpunës publikë.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Seksioni 2</w:t>
            </w:r>
          </w:p>
          <w:p w:rsidR="00C36466" w:rsidRPr="00F727DA" w:rsidRDefault="00C36466" w:rsidP="00A87413">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Informacion mbi llogaritë bankare</w:t>
            </w: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16</w:t>
            </w:r>
          </w:p>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Regjistra të llogarive bankare dhe sisteme elektronike për marrjen e të dhënave</w:t>
            </w:r>
          </w:p>
        </w:tc>
      </w:tr>
      <w:tr w:rsidR="00431392" w:rsidRPr="00F727DA" w:rsidTr="00D33FC1">
        <w:trPr>
          <w:trHeight w:val="578"/>
        </w:trPr>
        <w:tc>
          <w:tcPr>
            <w:tcW w:w="900" w:type="dxa"/>
            <w:shd w:val="clear" w:color="auto" w:fill="auto"/>
            <w:vAlign w:val="center"/>
          </w:tcPr>
          <w:p w:rsidR="00431392" w:rsidRPr="00F727DA" w:rsidRDefault="00431392" w:rsidP="0043139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 (1)</w:t>
            </w:r>
          </w:p>
        </w:tc>
        <w:tc>
          <w:tcPr>
            <w:tcW w:w="3507" w:type="dxa"/>
            <w:shd w:val="clear" w:color="auto" w:fill="auto"/>
            <w:vAlign w:val="center"/>
          </w:tcPr>
          <w:p w:rsidR="00431392" w:rsidRPr="00F727DA" w:rsidRDefault="00431392" w:rsidP="0043139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ngrenë mekanizma të centralizuar automatikë, të tillë si regjistrat qendrorë ose sistemet elektronike qendrore të rikuperimit të të dhënave, të cilat lejojnë identifikimin, pa vonesa, të çdo personi fizik ose juridik që zotëron ose kontrollon llogari pagesash ose llogari bankare të identifikuara nëpërmjet IBAN-it, duke përfshirë IBAN-ët virtualë, llogari titujsh, llogari kriptoasetesh dhe kasaforta që mbahen nga një institucion krediti ose institucion financiar brenda territorit të tyre.</w:t>
            </w:r>
          </w:p>
          <w:p w:rsidR="00431392" w:rsidRPr="00F727DA" w:rsidRDefault="00431392" w:rsidP="0043139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Komisionin për karakteristikat e këtyre mekanizmave kombëtarë, si dhe për kriteret sipas të cilave informacioni përfshihet në këta mekanizma kombëtarë.</w:t>
            </w:r>
          </w:p>
        </w:tc>
        <w:tc>
          <w:tcPr>
            <w:tcW w:w="1266" w:type="dxa"/>
            <w:gridSpan w:val="2"/>
            <w:shd w:val="clear" w:color="auto" w:fill="auto"/>
            <w:vAlign w:val="center"/>
          </w:tcPr>
          <w:p w:rsidR="00431392" w:rsidRPr="00F727DA" w:rsidRDefault="00431392" w:rsidP="00431392">
            <w:pPr>
              <w:snapToGrid w:val="0"/>
              <w:spacing w:after="0" w:line="240" w:lineRule="auto"/>
              <w:rPr>
                <w:rFonts w:ascii="Times New Roman" w:hAnsi="Times New Roman"/>
                <w:sz w:val="18"/>
                <w:szCs w:val="18"/>
                <w:lang w:eastAsia="sq-AL" w:bidi="sq-AL"/>
              </w:rPr>
            </w:pPr>
          </w:p>
        </w:tc>
        <w:tc>
          <w:tcPr>
            <w:tcW w:w="1980" w:type="dxa"/>
            <w:shd w:val="clear" w:color="auto" w:fill="auto"/>
          </w:tcPr>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Neni </w:t>
            </w: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2                 </w:t>
            </w: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w:t>
            </w: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w:t>
            </w: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Neni 4</w:t>
            </w: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p>
          <w:p w:rsidR="00B542B7" w:rsidRDefault="00B542B7"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Neni 5</w:t>
            </w:r>
          </w:p>
          <w:p w:rsidR="00431392" w:rsidRPr="00431392" w:rsidRDefault="00431392" w:rsidP="00431392">
            <w:pPr>
              <w:jc w:val="both"/>
              <w:rPr>
                <w:rFonts w:ascii="Times New Roman" w:hAnsi="Times New Roman"/>
                <w:sz w:val="18"/>
                <w:szCs w:val="18"/>
                <w:lang w:eastAsia="sq-AL" w:bidi="sq-AL"/>
              </w:rPr>
            </w:pPr>
          </w:p>
          <w:p w:rsidR="00431392" w:rsidRPr="00431392" w:rsidRDefault="00431392" w:rsidP="00431392">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w:t>
            </w:r>
          </w:p>
        </w:tc>
        <w:tc>
          <w:tcPr>
            <w:tcW w:w="2064" w:type="dxa"/>
            <w:shd w:val="clear" w:color="auto" w:fill="auto"/>
          </w:tcPr>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Neni 1, ndryshohet dhe bëhet: “Objekti i këtij ligji është përcaktimi i parimeve të përgjithshme dhe i rregullave për krijimin e administrimin e Regjistrit Qendror të Llogarive Bankare, përfshirë IBAN-et virtuale, llogaritë e titujve, llogaritë e kripto aseteve dhe kasetat e sigurisë, si një bazë e të dhënave shtetërore, detyrimin e institucioneve financiare, për të raportuar të dhënat sipas përcaktimeve të këtij ligji, si dhe rregullat për ndërlidhjen e regjistrit me sistemin europian të ndërlidhjes së regjistrave të llogarive bankare (BARIS)”.</w:t>
            </w: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Neni 3 ndryshohet dhe bëhet: Ky ligj zbatohet nga të gjitha institucionet financiare, të cilat veprojnë në Republikën e Shqipërisë dhe ofrojnë shërbimet e llogarive bankare, përfshirë IBAN-et virtuale, llogaritë e titujve, llogaritë e kripto aseteve dhe kasetat e sigurisë, për klientët e tyre.</w:t>
            </w: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Në nenin 4, pika 1 riformulohet: “Regjistri” është Regjistri Qendror i Llogarive Bankare, përfshirë IBAN-et virtuale, llogaritë e titujve, llogaritë e kripto aseteve dhe kasetat e sigurisë, si një bazë e të dhënave shtetërore, në të cilin regjistrohen dhe ruhen të dhëna sipas përcaktimeve të këtij ligji, në formë elektronike. Përpunimi dhe përditësimi i tij kryhen në mënyrë të automatizuar, me ndërveprim, nëpërmjet një sistemi kompjuterik, që lejon identifikimin në kohën e duhur të çdo individi, personi fizik ose juridik, që ka ose kontrollon llogari bankare të identifikuar nga IBAN, përfshirë IBAN-et virtuale, llogaritë e titujve, llogaritë e kripto aseteve dhe kasetat e sigurisë të mbajtura nga një institucion financiar brenda territorit të Republikës së Shqipërisë.</w:t>
            </w:r>
            <w:r w:rsidRPr="00431392">
              <w:rPr>
                <w:rFonts w:ascii="Times New Roman" w:hAnsi="Times New Roman"/>
                <w:sz w:val="18"/>
                <w:szCs w:val="18"/>
                <w:lang w:eastAsia="sq-AL" w:bidi="sq-AL"/>
              </w:rPr>
              <w:tab/>
            </w: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Në nenin 4 bëhen ndryshimet si vijon: </w:t>
            </w: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Pas pikës 12, shtohen pikat 13, 14, 15, 16, 17, me përmbajtje si vijon: </w:t>
            </w:r>
          </w:p>
          <w:p w:rsidR="00431392" w:rsidRPr="00431392" w:rsidRDefault="00431392" w:rsidP="00431392">
            <w:pPr>
              <w:spacing w:line="276" w:lineRule="auto"/>
              <w:jc w:val="both"/>
              <w:rPr>
                <w:rFonts w:ascii="Times New Roman" w:hAnsi="Times New Roman"/>
                <w:sz w:val="18"/>
                <w:szCs w:val="18"/>
                <w:lang w:eastAsia="sq-AL" w:bidi="sq-AL"/>
              </w:rPr>
            </w:pP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13. “IBAN virtual” është një identifikues unik pagesash i caktuar për një klient, i lidhur me një llogari bazë, i përdorur për pranimin ose kryerjen e transaksioneve pa përfaqësuar një llogari bankare të veçantë.</w:t>
            </w: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14. “Llogari titujsh” është llogaria në të cilën mbahen instrumente financiare ose tituj në emër të një klienti. </w:t>
            </w: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15. “Llogari kripto-aseti” është llogaria ose portofoli elektronik i administruar nga një ofrues shërbimesh për kripto-asetet, në të cilin mbahen kripto-asete në emër të një klienti. </w:t>
            </w: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16. “BARIS” është sistemi i ndërlidhjes në nivel europian i regjistrave kombëtarë të llogarive bankare, i krijuar sipas legjislacionit të Bashkimit Europian. </w:t>
            </w:r>
          </w:p>
          <w:p w:rsidR="00431392" w:rsidRPr="00431392" w:rsidRDefault="00431392" w:rsidP="00431392">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17. “AMLA” është Autoriteti Europian për Luftën kundër Pastrimit të Parave dhe Financimit të Terrorizmit.</w:t>
            </w:r>
          </w:p>
        </w:tc>
        <w:tc>
          <w:tcPr>
            <w:tcW w:w="1356" w:type="dxa"/>
            <w:shd w:val="clear" w:color="auto" w:fill="auto"/>
            <w:vAlign w:val="center"/>
          </w:tcPr>
          <w:p w:rsidR="00431392" w:rsidRPr="00F727DA" w:rsidRDefault="00431392" w:rsidP="00431392">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431392" w:rsidRPr="00F727DA" w:rsidRDefault="00431392" w:rsidP="00431392">
            <w:pPr>
              <w:snapToGrid w:val="0"/>
              <w:spacing w:after="0" w:line="240" w:lineRule="auto"/>
              <w:rPr>
                <w:rFonts w:ascii="Times New Roman" w:hAnsi="Times New Roman"/>
                <w:sz w:val="18"/>
                <w:szCs w:val="18"/>
              </w:rPr>
            </w:pPr>
          </w:p>
        </w:tc>
      </w:tr>
      <w:tr w:rsidR="00431392" w:rsidRPr="00F727DA" w:rsidTr="00D33FC1">
        <w:trPr>
          <w:trHeight w:val="578"/>
        </w:trPr>
        <w:tc>
          <w:tcPr>
            <w:tcW w:w="900" w:type="dxa"/>
            <w:shd w:val="clear" w:color="auto" w:fill="auto"/>
            <w:vAlign w:val="center"/>
          </w:tcPr>
          <w:p w:rsidR="00431392" w:rsidRPr="00F727DA" w:rsidRDefault="00431392" w:rsidP="0043139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 (2)</w:t>
            </w:r>
          </w:p>
        </w:tc>
        <w:tc>
          <w:tcPr>
            <w:tcW w:w="3507" w:type="dxa"/>
            <w:shd w:val="clear" w:color="auto" w:fill="auto"/>
            <w:vAlign w:val="center"/>
          </w:tcPr>
          <w:p w:rsidR="00431392" w:rsidRPr="00F727DA" w:rsidRDefault="00431392" w:rsidP="0043139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ruajtur në mekanizmat e centralizuar automatikë të jetë drejtpërdrejt i aksesueshëm, në mënyrë të menjëhershme dhe të pafiltruar për NjIF-të, si dhe për AMLA-n për qëllime të analizave të përbashkëta sipas nenit 32 të kësaj direktive dhe nenit 40 të Rregullores (BE) 2024/1620. Gjithashtu, informacioni është i aksesueshëm pa vonesa për autoritetet mbikëqyrëse me qëllim përmbushjen e detyrimeve të tyre në kuadër të kësaj direktive.</w:t>
            </w:r>
          </w:p>
        </w:tc>
        <w:tc>
          <w:tcPr>
            <w:tcW w:w="1266" w:type="dxa"/>
            <w:gridSpan w:val="2"/>
            <w:shd w:val="clear" w:color="auto" w:fill="auto"/>
            <w:vAlign w:val="center"/>
          </w:tcPr>
          <w:p w:rsidR="00431392" w:rsidRPr="00F727DA" w:rsidRDefault="00431392" w:rsidP="00431392">
            <w:pPr>
              <w:snapToGrid w:val="0"/>
              <w:spacing w:after="0" w:line="240" w:lineRule="auto"/>
              <w:rPr>
                <w:rFonts w:ascii="Times New Roman" w:hAnsi="Times New Roman"/>
                <w:sz w:val="18"/>
                <w:szCs w:val="18"/>
                <w:lang w:eastAsia="sq-AL" w:bidi="sq-AL"/>
              </w:rPr>
            </w:pPr>
          </w:p>
        </w:tc>
        <w:tc>
          <w:tcPr>
            <w:tcW w:w="1980" w:type="dxa"/>
            <w:shd w:val="clear" w:color="auto" w:fill="auto"/>
          </w:tcPr>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r w:rsidRPr="00B542B7">
              <w:rPr>
                <w:rFonts w:ascii="Times New Roman" w:hAnsi="Times New Roman"/>
                <w:sz w:val="18"/>
                <w:szCs w:val="18"/>
                <w:lang w:eastAsia="sq-AL" w:bidi="sq-AL"/>
              </w:rPr>
              <w:t>Neni3</w:t>
            </w: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r w:rsidRPr="00B542B7">
              <w:rPr>
                <w:rFonts w:ascii="Times New Roman" w:hAnsi="Times New Roman"/>
                <w:sz w:val="18"/>
                <w:szCs w:val="18"/>
                <w:lang w:eastAsia="sq-AL" w:bidi="sq-AL"/>
              </w:rPr>
              <w:t>Neni 6</w:t>
            </w:r>
          </w:p>
        </w:tc>
        <w:tc>
          <w:tcPr>
            <w:tcW w:w="2064" w:type="dxa"/>
            <w:shd w:val="clear" w:color="auto" w:fill="auto"/>
          </w:tcPr>
          <w:p w:rsidR="00431392" w:rsidRPr="00B542B7" w:rsidRDefault="00431392" w:rsidP="00431392">
            <w:pPr>
              <w:shd w:val="clear" w:color="auto" w:fill="FFFFFF"/>
              <w:jc w:val="both"/>
              <w:rPr>
                <w:rFonts w:ascii="Times New Roman" w:hAnsi="Times New Roman"/>
                <w:sz w:val="18"/>
                <w:szCs w:val="18"/>
                <w:lang w:eastAsia="sq-AL" w:bidi="sq-AL"/>
              </w:rPr>
            </w:pPr>
          </w:p>
          <w:p w:rsidR="00431392" w:rsidRPr="00B542B7" w:rsidRDefault="00431392" w:rsidP="00431392">
            <w:pPr>
              <w:jc w:val="both"/>
              <w:rPr>
                <w:rFonts w:ascii="Times New Roman" w:hAnsi="Times New Roman"/>
                <w:sz w:val="18"/>
                <w:szCs w:val="18"/>
                <w:lang w:eastAsia="sq-AL" w:bidi="sq-AL"/>
              </w:rPr>
            </w:pPr>
            <w:r w:rsidRPr="00B542B7">
              <w:rPr>
                <w:rFonts w:ascii="Times New Roman" w:hAnsi="Times New Roman"/>
                <w:sz w:val="18"/>
                <w:szCs w:val="18"/>
                <w:lang w:eastAsia="sq-AL" w:bidi="sq-AL"/>
              </w:rPr>
              <w:t>Në fund të nenit 2, shtohet togfjalëshi:… si dhe për garantimin e aksesit të menjëhershëm dhe të standardizuar të subjekteve të interesuara kombëtare dhe ndërkombëtare sipas niveleve të përcaktuara në këtë ligj ose në aktet nënligjore të tij.</w:t>
            </w:r>
          </w:p>
          <w:p w:rsidR="00431392" w:rsidRPr="00B542B7" w:rsidRDefault="00431392" w:rsidP="00B542B7">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5, pika 1, pas togfjalëshit: për çdo mbajtës të llogarive bankare, shtohet togfjalëshi:  , përfshirë IBAN-et virtuale, llogarive të titujve, llogarive të kripto aseteve”. </w:t>
            </w:r>
          </w:p>
          <w:p w:rsidR="00431392" w:rsidRPr="00B542B7" w:rsidRDefault="00431392" w:rsidP="00431392">
            <w:pPr>
              <w:jc w:val="both"/>
              <w:rPr>
                <w:rFonts w:ascii="Times New Roman" w:hAnsi="Times New Roman"/>
                <w:sz w:val="18"/>
                <w:szCs w:val="18"/>
                <w:lang w:eastAsia="sq-AL" w:bidi="sq-AL"/>
              </w:rPr>
            </w:pPr>
          </w:p>
          <w:p w:rsidR="00431392" w:rsidRPr="00B542B7" w:rsidRDefault="00431392" w:rsidP="00B542B7">
            <w:pPr>
              <w:rPr>
                <w:rFonts w:ascii="Times New Roman" w:hAnsi="Times New Roman"/>
                <w:sz w:val="18"/>
                <w:szCs w:val="18"/>
                <w:lang w:eastAsia="sq-AL" w:bidi="sq-AL"/>
              </w:rPr>
            </w:pPr>
            <w:r w:rsidRPr="00B542B7">
              <w:rPr>
                <w:rFonts w:ascii="Times New Roman" w:hAnsi="Times New Roman"/>
                <w:sz w:val="18"/>
                <w:szCs w:val="18"/>
                <w:lang w:eastAsia="sq-AL" w:bidi="sq-AL"/>
              </w:rPr>
              <w:t>Në neni 5, pika 2, pas togfjalëshit: Drejtoria e Përgjithshme e Parandalimit të Pastrimit të Parave, shtohet togfjalëshi: dhe AMLA.</w:t>
            </w:r>
          </w:p>
        </w:tc>
        <w:tc>
          <w:tcPr>
            <w:tcW w:w="1356" w:type="dxa"/>
            <w:shd w:val="clear" w:color="auto" w:fill="auto"/>
            <w:vAlign w:val="center"/>
          </w:tcPr>
          <w:p w:rsidR="00431392" w:rsidRPr="00F727DA" w:rsidRDefault="00431392" w:rsidP="00431392">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431392" w:rsidRPr="00F727DA" w:rsidRDefault="00431392" w:rsidP="00431392">
            <w:pPr>
              <w:snapToGrid w:val="0"/>
              <w:spacing w:after="0" w:line="240" w:lineRule="auto"/>
              <w:rPr>
                <w:rFonts w:ascii="Times New Roman" w:hAnsi="Times New Roman"/>
                <w:sz w:val="18"/>
                <w:szCs w:val="18"/>
              </w:rPr>
            </w:pPr>
          </w:p>
        </w:tc>
      </w:tr>
      <w:tr w:rsidR="00B542B7" w:rsidRPr="00F727DA" w:rsidTr="00D33FC1">
        <w:trPr>
          <w:trHeight w:val="578"/>
        </w:trPr>
        <w:tc>
          <w:tcPr>
            <w:tcW w:w="900" w:type="dxa"/>
            <w:shd w:val="clear" w:color="auto" w:fill="auto"/>
            <w:vAlign w:val="center"/>
          </w:tcPr>
          <w:p w:rsidR="00B542B7" w:rsidRPr="00F727DA" w:rsidRDefault="00B542B7" w:rsidP="00B542B7">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 (3)</w:t>
            </w:r>
          </w:p>
        </w:tc>
        <w:tc>
          <w:tcPr>
            <w:tcW w:w="3507" w:type="dxa"/>
            <w:shd w:val="clear" w:color="auto" w:fill="auto"/>
            <w:vAlign w:val="center"/>
          </w:tcPr>
          <w:p w:rsidR="00B542B7" w:rsidRPr="00F727DA" w:rsidRDefault="00B542B7" w:rsidP="00B542B7">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mëposhtëm është i aksesueshëm dhe i kërkueshëm nëpërmjet mekanizmave të centralizuar automatikë:</w:t>
            </w:r>
          </w:p>
        </w:tc>
        <w:tc>
          <w:tcPr>
            <w:tcW w:w="1266" w:type="dxa"/>
            <w:gridSpan w:val="2"/>
            <w:shd w:val="clear" w:color="auto" w:fill="auto"/>
            <w:vAlign w:val="center"/>
          </w:tcPr>
          <w:p w:rsidR="00B542B7" w:rsidRPr="00F727DA" w:rsidRDefault="00B542B7" w:rsidP="00B542B7">
            <w:pPr>
              <w:snapToGrid w:val="0"/>
              <w:spacing w:after="0" w:line="240" w:lineRule="auto"/>
              <w:rPr>
                <w:rFonts w:ascii="Times New Roman" w:hAnsi="Times New Roman"/>
                <w:sz w:val="18"/>
                <w:szCs w:val="18"/>
                <w:lang w:eastAsia="sq-AL" w:bidi="sq-AL"/>
              </w:rPr>
            </w:pPr>
          </w:p>
        </w:tc>
        <w:tc>
          <w:tcPr>
            <w:tcW w:w="1980" w:type="dxa"/>
            <w:shd w:val="clear" w:color="auto" w:fill="auto"/>
          </w:tcPr>
          <w:p w:rsidR="00B542B7" w:rsidRPr="00B542B7" w:rsidRDefault="00B542B7" w:rsidP="00D33FC1">
            <w:pPr>
              <w:rPr>
                <w:rFonts w:ascii="Times New Roman" w:hAnsi="Times New Roman"/>
                <w:sz w:val="18"/>
                <w:szCs w:val="18"/>
                <w:lang w:eastAsia="sq-AL" w:bidi="sq-AL"/>
              </w:rPr>
            </w:pPr>
            <w:r w:rsidRPr="00B542B7">
              <w:rPr>
                <w:rFonts w:ascii="Times New Roman" w:hAnsi="Times New Roman"/>
                <w:sz w:val="18"/>
                <w:szCs w:val="18"/>
                <w:lang w:eastAsia="sq-AL" w:bidi="sq-AL"/>
              </w:rPr>
              <w:t>Neni  7</w:t>
            </w:r>
          </w:p>
        </w:tc>
        <w:tc>
          <w:tcPr>
            <w:tcW w:w="2064" w:type="dxa"/>
            <w:shd w:val="clear" w:color="auto" w:fill="auto"/>
          </w:tcPr>
          <w:p w:rsidR="00B542B7" w:rsidRPr="00B542B7" w:rsidRDefault="00B542B7" w:rsidP="00D33FC1">
            <w:pPr>
              <w:rPr>
                <w:rFonts w:ascii="Times New Roman" w:hAnsi="Times New Roman"/>
                <w:sz w:val="18"/>
                <w:szCs w:val="18"/>
                <w:lang w:eastAsia="sq-AL" w:bidi="sq-AL"/>
              </w:rPr>
            </w:pPr>
            <w:r w:rsidRPr="00B542B7">
              <w:rPr>
                <w:rFonts w:ascii="Times New Roman" w:hAnsi="Times New Roman"/>
                <w:sz w:val="18"/>
                <w:szCs w:val="18"/>
                <w:lang w:eastAsia="sq-AL" w:bidi="sq-AL"/>
              </w:rPr>
              <w:t>Në Nenin 8 bëhen ndryshimet:</w:t>
            </w:r>
          </w:p>
          <w:p w:rsidR="00B542B7" w:rsidRPr="00B542B7" w:rsidRDefault="00B542B7" w:rsidP="00D33FC1">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Neni 8, pika 1 ndryshohet dhe bëhet: “Regjistri përmban të dhënat e mëposhtme për mbajtësit individualë të llogarive bankare, përfshirë IBAN-et virtuale, llogaritë e titujve, llogaritë e kripto aseteve dhe kasetat e sigurisë”;   </w:t>
            </w:r>
          </w:p>
        </w:tc>
        <w:tc>
          <w:tcPr>
            <w:tcW w:w="1356" w:type="dxa"/>
            <w:shd w:val="clear" w:color="auto" w:fill="auto"/>
            <w:vAlign w:val="center"/>
          </w:tcPr>
          <w:p w:rsidR="00B542B7" w:rsidRPr="00F727DA" w:rsidRDefault="00B542B7" w:rsidP="00B542B7">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B542B7" w:rsidRPr="00F727DA" w:rsidRDefault="00B542B7" w:rsidP="00B542B7">
            <w:pPr>
              <w:snapToGrid w:val="0"/>
              <w:spacing w:after="0" w:line="240" w:lineRule="auto"/>
              <w:rPr>
                <w:rFonts w:ascii="Times New Roman" w:hAnsi="Times New Roman"/>
                <w:sz w:val="18"/>
                <w:szCs w:val="18"/>
              </w:rPr>
            </w:pPr>
          </w:p>
        </w:tc>
      </w:tr>
      <w:tr w:rsidR="00B542B7" w:rsidRPr="00F727DA" w:rsidTr="00D33FC1">
        <w:trPr>
          <w:trHeight w:val="578"/>
        </w:trPr>
        <w:tc>
          <w:tcPr>
            <w:tcW w:w="900" w:type="dxa"/>
            <w:shd w:val="clear" w:color="auto" w:fill="auto"/>
            <w:vAlign w:val="center"/>
          </w:tcPr>
          <w:p w:rsidR="00B542B7" w:rsidRPr="00F727DA" w:rsidRDefault="00B542B7" w:rsidP="00B542B7">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 (3)(a)</w:t>
            </w:r>
          </w:p>
        </w:tc>
        <w:tc>
          <w:tcPr>
            <w:tcW w:w="3507" w:type="dxa"/>
            <w:shd w:val="clear" w:color="auto" w:fill="auto"/>
            <w:vAlign w:val="center"/>
          </w:tcPr>
          <w:p w:rsidR="00B542B7" w:rsidRPr="00F727DA" w:rsidRDefault="00B542B7" w:rsidP="00B542B7">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mbajtësit e llogarive të klientit dhe për çdo person që pretendon të veprojë në emër të mbajtësit të llogarisë së klientit: emri, i plotësuar nga të dhënat e tjera të identifikimit të kërkuara sipas nenit 22, paragrafi 1 të Rregullores (BE) 2024/1624 ose një numër unik identifikimi, si dhe, sipas rastit, datat kur ka nisur dhe kur ka përfunduar kompetenca për të vepruar në emër të klientit e personit që pretendon të veprojë në emër të tij;</w:t>
            </w:r>
          </w:p>
        </w:tc>
        <w:tc>
          <w:tcPr>
            <w:tcW w:w="1266" w:type="dxa"/>
            <w:gridSpan w:val="2"/>
            <w:shd w:val="clear" w:color="auto" w:fill="auto"/>
            <w:vAlign w:val="center"/>
          </w:tcPr>
          <w:p w:rsidR="00B542B7" w:rsidRPr="00F727DA" w:rsidRDefault="00B542B7" w:rsidP="00B542B7">
            <w:pPr>
              <w:snapToGrid w:val="0"/>
              <w:spacing w:after="0" w:line="240" w:lineRule="auto"/>
              <w:rPr>
                <w:rFonts w:ascii="Times New Roman" w:hAnsi="Times New Roman"/>
                <w:sz w:val="18"/>
                <w:szCs w:val="18"/>
                <w:lang w:eastAsia="sq-AL" w:bidi="sq-AL"/>
              </w:rPr>
            </w:pPr>
          </w:p>
        </w:tc>
        <w:tc>
          <w:tcPr>
            <w:tcW w:w="1980" w:type="dxa"/>
            <w:shd w:val="clear" w:color="auto" w:fill="auto"/>
          </w:tcPr>
          <w:p w:rsidR="00B542B7" w:rsidRPr="00B542B7" w:rsidRDefault="00B542B7" w:rsidP="00D33FC1">
            <w:pPr>
              <w:rPr>
                <w:rFonts w:ascii="Times New Roman" w:hAnsi="Times New Roman"/>
                <w:sz w:val="18"/>
                <w:szCs w:val="18"/>
                <w:lang w:eastAsia="sq-AL" w:bidi="sq-AL"/>
              </w:rPr>
            </w:pPr>
            <w:r w:rsidRPr="00B542B7">
              <w:rPr>
                <w:rFonts w:ascii="Times New Roman" w:hAnsi="Times New Roman"/>
                <w:sz w:val="18"/>
                <w:szCs w:val="18"/>
                <w:lang w:eastAsia="sq-AL" w:bidi="sq-AL"/>
              </w:rPr>
              <w:t>Neni  7</w:t>
            </w:r>
          </w:p>
        </w:tc>
        <w:tc>
          <w:tcPr>
            <w:tcW w:w="2064" w:type="dxa"/>
            <w:shd w:val="clear" w:color="auto" w:fill="auto"/>
          </w:tcPr>
          <w:p w:rsidR="00B542B7" w:rsidRPr="00B542B7" w:rsidRDefault="00B542B7" w:rsidP="00D33FC1">
            <w:pPr>
              <w:rPr>
                <w:rFonts w:ascii="Times New Roman" w:hAnsi="Times New Roman"/>
                <w:sz w:val="18"/>
                <w:szCs w:val="18"/>
                <w:lang w:eastAsia="sq-AL" w:bidi="sq-AL"/>
              </w:rPr>
            </w:pPr>
            <w:r w:rsidRPr="00B542B7">
              <w:rPr>
                <w:rFonts w:ascii="Times New Roman" w:hAnsi="Times New Roman"/>
                <w:sz w:val="18"/>
                <w:szCs w:val="18"/>
                <w:lang w:eastAsia="sq-AL" w:bidi="sq-AL"/>
              </w:rPr>
              <w:t>Në Nenin 8 bëhen ndryshimet:</w:t>
            </w:r>
          </w:p>
          <w:p w:rsidR="00B542B7" w:rsidRPr="00B542B7" w:rsidRDefault="00B542B7" w:rsidP="00D33FC1">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Neni 8, pika 1 ndryshohet dhe bëhet: “Regjistri përmban të dhënat e mëposhtme për mbajtësit individualë të llogarive bankare, përfshirë IBAN-et virtuale, llogaritë e titujve, llogaritë e kripto aseteve dhe kasetat e sigurisë”;   </w:t>
            </w:r>
          </w:p>
          <w:p w:rsidR="00B542B7" w:rsidRPr="00B542B7" w:rsidRDefault="00B542B7" w:rsidP="00D33FC1">
            <w:pPr>
              <w:spacing w:line="276" w:lineRule="auto"/>
              <w:rPr>
                <w:rFonts w:ascii="Times New Roman" w:hAnsi="Times New Roman"/>
                <w:sz w:val="18"/>
                <w:szCs w:val="18"/>
                <w:lang w:eastAsia="sq-AL" w:bidi="sq-AL"/>
              </w:rPr>
            </w:pPr>
          </w:p>
          <w:p w:rsidR="00B542B7" w:rsidRPr="00B542B7" w:rsidRDefault="00B542B7" w:rsidP="00D33FC1">
            <w:pPr>
              <w:rPr>
                <w:rFonts w:ascii="Times New Roman" w:hAnsi="Times New Roman"/>
                <w:sz w:val="18"/>
                <w:szCs w:val="18"/>
                <w:lang w:eastAsia="sq-AL" w:bidi="sq-AL"/>
              </w:rPr>
            </w:pPr>
          </w:p>
          <w:p w:rsidR="00B542B7" w:rsidRPr="00B542B7" w:rsidRDefault="00B542B7" w:rsidP="00D33FC1">
            <w:pPr>
              <w:rPr>
                <w:rFonts w:ascii="Times New Roman" w:hAnsi="Times New Roman"/>
                <w:sz w:val="18"/>
                <w:szCs w:val="18"/>
                <w:lang w:eastAsia="sq-AL" w:bidi="sq-AL"/>
              </w:rPr>
            </w:pPr>
          </w:p>
        </w:tc>
        <w:tc>
          <w:tcPr>
            <w:tcW w:w="1356" w:type="dxa"/>
            <w:shd w:val="clear" w:color="auto" w:fill="auto"/>
            <w:vAlign w:val="center"/>
          </w:tcPr>
          <w:p w:rsidR="00B542B7" w:rsidRPr="00F727DA" w:rsidRDefault="00B542B7" w:rsidP="00B542B7">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B542B7" w:rsidRPr="00F727DA" w:rsidRDefault="00B542B7" w:rsidP="00B542B7">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16(3)(b)</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pronarët përfitues të mbajtësve të llogarive të klientit: emri, i plotësuar nga të dhënat e tjera të identifikimit të kërkuara sipas nenit 22, paragrafi 1 të Rregullores (BE) 2024/1624 ose një numër unik identifikimi, si dhe datat kur personi fizik është bërë dhe, sipas rastit, ka pushuar së qeni pronari përfitues i mbajtësit të llogarisë së klientit;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1, gërma b) shtohet togfjalëshi:  ..si dhe llojin e llogarisë (bankare, pagese, titujsh, kripto-aseti); </w:t>
            </w:r>
          </w:p>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2, gërma b) shtohet togfjalëshi:  ..si dhe llojin e llogarisë (bankare, pagese, titujsh, kripto-aseti). </w:t>
            </w:r>
          </w:p>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2, gërma gj), shtohet togfjalëshi: .... identifikuesin e IBAN-it virtual, nëse aplikohet, si dhe lidhjen me llogarinë bazë. </w:t>
            </w:r>
          </w:p>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 </w:t>
            </w:r>
          </w:p>
          <w:p w:rsidR="00237303" w:rsidRPr="00B542B7" w:rsidRDefault="00237303" w:rsidP="00237303">
            <w:pPr>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 </w:t>
            </w:r>
          </w:p>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16(3)(c)</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bankare ose llogaritë e pagesave: numrin IBAN, ose kur llogaria e pagesës nuk identifikohet nga një numër IBAN, identifikuesin unik të llogarisë, datën e hapjes së llogarisë dhe, sipas rastit, datën e mbylljes së llogarisë;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Në Nenin 8, pika 4, pas fjalisë</w:t>
            </w:r>
            <w:r>
              <w:rPr>
                <w:rFonts w:ascii="Times New Roman" w:hAnsi="Times New Roman"/>
                <w:sz w:val="18"/>
                <w:szCs w:val="18"/>
                <w:lang w:eastAsia="sq-AL" w:bidi="sq-AL"/>
              </w:rPr>
              <w:t xml:space="preserve"> së parë shtohet togfjalëshi:</w:t>
            </w:r>
            <w:r w:rsidRPr="00B542B7">
              <w:rPr>
                <w:rFonts w:ascii="Times New Roman" w:hAnsi="Times New Roman"/>
                <w:sz w:val="18"/>
                <w:szCs w:val="18"/>
                <w:lang w:eastAsia="sq-AL" w:bidi="sq-AL"/>
              </w:rPr>
              <w:t xml:space="preserve"> as për sasinë ose vlerën e kripto-aseteve.</w:t>
            </w:r>
          </w:p>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16(3)(d)</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IBAN-ët virtualë të dhënë nga një institucion krediti ose një institucion financiar: numri i IBAN-it virtual, identifikuesi unik i llogarisë për llogarinë në të cilën ridrejtohen automatikisht pagesat e adresuara në IBAN-in virtual, si dhe datat e hapjes dhe mbylljes së llogarisë;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16(3)(e)</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e titujve: identifikuesi unik i llogarisë dhe datat e hapjes dhe mbylljes së llogarisë;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237303" w:rsidRPr="00B542B7" w:rsidRDefault="00237303" w:rsidP="00237303">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pas pikës 4, shtohen pikat 5 dhe 6 me përmbajtje si vijon: </w:t>
            </w:r>
          </w:p>
          <w:p w:rsidR="00237303" w:rsidRPr="00B542B7" w:rsidRDefault="00237303" w:rsidP="00237303">
            <w:pPr>
              <w:rPr>
                <w:rFonts w:ascii="Times New Roman" w:hAnsi="Times New Roman"/>
                <w:sz w:val="18"/>
                <w:szCs w:val="18"/>
                <w:lang w:eastAsia="sq-AL" w:bidi="sq-AL"/>
              </w:rPr>
            </w:pPr>
          </w:p>
          <w:p w:rsidR="00237303" w:rsidRPr="00B542B7" w:rsidRDefault="00237303" w:rsidP="00237303">
            <w:pPr>
              <w:rPr>
                <w:rFonts w:ascii="Times New Roman" w:hAnsi="Times New Roman"/>
                <w:sz w:val="18"/>
                <w:szCs w:val="18"/>
                <w:lang w:eastAsia="sq-AL" w:bidi="sq-AL"/>
              </w:rPr>
            </w:pPr>
            <w:r w:rsidRPr="00B542B7">
              <w:rPr>
                <w:rFonts w:ascii="Times New Roman" w:hAnsi="Times New Roman"/>
                <w:sz w:val="18"/>
                <w:szCs w:val="18"/>
                <w:lang w:eastAsia="sq-AL" w:bidi="sq-AL"/>
              </w:rPr>
              <w:t>5. Për të gjitha kategoritë e të dhënave të përcaktuara në pikat 1 dhe 2 të këtij neni, regjistri përmban edhe elementët si më poshtë:</w:t>
            </w:r>
            <w:r w:rsidRPr="00B542B7">
              <w:rPr>
                <w:rFonts w:ascii="Times New Roman" w:hAnsi="Times New Roman"/>
                <w:sz w:val="18"/>
                <w:szCs w:val="18"/>
                <w:lang w:eastAsia="sq-AL" w:bidi="sq-AL"/>
              </w:rPr>
              <w:br/>
              <w:t>a) datën e hapjes dhe të mbylljes së llogarisë bankare ose të kasetës së sigurisë;</w:t>
            </w:r>
            <w:r w:rsidRPr="00B542B7">
              <w:rPr>
                <w:rFonts w:ascii="Times New Roman" w:hAnsi="Times New Roman"/>
                <w:sz w:val="18"/>
                <w:szCs w:val="18"/>
                <w:lang w:eastAsia="sq-AL" w:bidi="sq-AL"/>
              </w:rPr>
              <w:br/>
              <w:t>b) datën e fillimit dhe të përfundimit të autorizimit për personat që veprojnë në emër të mbajtësit të llogarisë ose të qiramarrësit të kasetës së sigurisë;</w:t>
            </w:r>
            <w:r w:rsidRPr="00B542B7">
              <w:rPr>
                <w:rFonts w:ascii="Times New Roman" w:hAnsi="Times New Roman"/>
                <w:sz w:val="18"/>
                <w:szCs w:val="18"/>
                <w:lang w:eastAsia="sq-AL" w:bidi="sq-AL"/>
              </w:rPr>
              <w:br/>
              <w:t>c) datën e fitimit dhe datën e humbjes së statusit të pronarit përfitues, sipas regjistrit të pronarëve përfitues, kur është e aplikueshme.</w:t>
            </w:r>
          </w:p>
          <w:p w:rsidR="00237303" w:rsidRPr="00B542B7" w:rsidRDefault="00237303" w:rsidP="00237303">
            <w:pPr>
              <w:rPr>
                <w:rFonts w:ascii="Times New Roman" w:hAnsi="Times New Roman"/>
                <w:sz w:val="18"/>
                <w:szCs w:val="18"/>
                <w:lang w:eastAsia="sq-AL" w:bidi="sq-AL"/>
              </w:rPr>
            </w:pPr>
          </w:p>
          <w:p w:rsidR="00C36466" w:rsidRPr="00F727DA" w:rsidRDefault="00C36466" w:rsidP="0023730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16(3)(f)</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e kriptoaseteve: identifikuesi unik i llogarisë, dhe datat e hapjes dhe mbylljes së llogarisë;</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16(3)(g)</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kasafortat: emri i qiramarrësit i plotësuar nga të dhënat e tjera të identifikimit të kërkuara sipas nenit 22, paragrafi 1 të Rregullores (BE) 2024/1624, ose një numër unik identifikimi dhe data në të cilën ka filluar qiraja dhe, sipas rastit, data në të cilën ka përfunduar.</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IBAN-i virtual, mbajtësi i llogarisë së klientit i përmendur në germën "a" të nënparagrafit të parë është mbajtësi i llogarisë në të cilën ridrejtohen automatikisht pagesat e adresuara në IBAN-in virtual.</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germave "a" dhe "b" të nënparagrafit të parë, për personat fizikë emri përfshin të gjithë emrat dhe mbiemrat, dhe për subjektet juridike, organizimet ligjore ose organizata të tjera me zotësi juridike, emrin me të cilin janë regjistruar.</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tcPr>
          <w:p w:rsidR="00C36466" w:rsidRPr="00F727DA" w:rsidRDefault="00C36466" w:rsidP="00A87413">
            <w:pPr>
              <w:spacing w:after="0" w:line="240" w:lineRule="auto"/>
              <w:rPr>
                <w:sz w:val="18"/>
                <w:szCs w:val="18"/>
              </w:rPr>
            </w:pPr>
          </w:p>
        </w:tc>
        <w:tc>
          <w:tcPr>
            <w:tcW w:w="2064" w:type="dxa"/>
            <w:shd w:val="clear" w:color="auto" w:fill="auto"/>
            <w:vAlign w:val="center"/>
          </w:tcPr>
          <w:p w:rsidR="00C36466" w:rsidRPr="00F727DA" w:rsidRDefault="00237303" w:rsidP="00A87413">
            <w:pPr>
              <w:widowControl w:val="0"/>
              <w:spacing w:after="0" w:line="240" w:lineRule="auto"/>
              <w:rPr>
                <w:rFonts w:ascii="Times New Roman" w:hAnsi="Times New Roman"/>
                <w:sz w:val="18"/>
                <w:szCs w:val="18"/>
              </w:rPr>
            </w:pPr>
            <w:r w:rsidRPr="00B542B7">
              <w:rPr>
                <w:rFonts w:ascii="Times New Roman" w:hAnsi="Times New Roman"/>
                <w:sz w:val="18"/>
                <w:szCs w:val="18"/>
                <w:lang w:eastAsia="sq-AL" w:bidi="sq-AL"/>
              </w:rPr>
              <w:t>6. Të dhënat e parashikuara në këtë nen zbatohen, për aq sa është e aplikueshme sipas natyrës së tyre edhe për IBAN-et virtuale, llogaritë e titujve dhe llogaritë e kriptoaseteve</w:t>
            </w: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16(4)</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mund të përcaktojë, me anë të akteve zbatuese, formatin për dorëzimin e informacionit në mekanizmat e centralizuar automatikë. Këto akte zbatuese miratohen në përputhje me procedurën e shqyrtimit të përmendur në nenin 72, paragrafi 2.</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16(5)</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kërkojnë që të jenë të aksesueshme dhe të kërkueshme përmes mekanizmave të centralizuar automatikë informacione të mëtejshme që konsiderohen thelbësore për NjIF-të, për AMLA-n për qëllime të analizave të përbashkëta sipas nenit 32 të kësaj direktive dhe nenit 40 të Rregullores (BE) 2024/1620, si dhe për autoritetet mbikëqyrëse për përmbushjen e detyrimeve të tyre sipas kësaj direktive.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16(6)</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Mekanizmat e centralizuar automatikë ndërlidhen nëpërmjet sistemit të ndërlidhjes së regjistrave të llogarive bankare (“BARIS”), i cili do të zhvillohet dhe operohet nga Komisioni. Komisioni do ta garantojë këtë ndërlidhje në bashkëpunim me shtetet anëtare brenda 10 korrikut 2029.</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për lidhjen e mekanizmave të centralizuar automatikë të shteteve anëtare me BARIS. Këto akte zbatuese miratohen në përputhje me procedurën e shqyrtimit të përmendur në nenin 72, paragrafi 2.</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16(7)</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përmendur në paragrafin 3 të jetë i disponueshëm përmes BARIS. Shtetet anëtare marrin masat e duhura për të siguruar që përmes mekanizmave të tyre të centralizuar automatikë kombëtarë dhe përmes BARIS të vihet në dispozicion vetëm informacioni i përmendur në paragrafin 3 që është i përditësuar dhe që përkon me llogaritë reale bankare dhe të pagesës, duke përfshirë IBAN-ët virtualë, llogaritë e titujve, llogaritë e kriptoaseteve dhe kasafortat. Aksesi në këtë informacion garantohet në përputhje me rregullat për mbrojtjen e të dhënave.</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Informacionet e tjera që shtetet anëtare i konsiderojnë thelbësore për NjIF-të dhe për autoritetet e tjera kompetente në përputhje me paragrafin 4 nuk janë të aksesueshme dhe të kërkueshme nëpërmjet BARIS.</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16(8)</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mbi mbajtësit e llogarive bankare ose llogarive të pagesave, duke përfshirë IBAN-ët virtualë, llogaritë e titujve, llogaritë e kriptoaseteve dhe kasafortat, të vihet në dispozicion përmes mekanizmave të tyre të centralizuar automatikë kombëtarë dhe përmes BARIS gjatë një periudhe 5-vjeçare pas mbylljes së llogarisë.</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legjislacionin penal të brendshëm për provat e vlefshme për hetimet penale dhe procedurat ligjore të vazhdueshme, në raste specifike, shtetet anëtare mund të lejojnë që ky informacion të mbahet ose të kërkojnë që ky informacion të mbahet për një periudhë maksimale shtesë prej 5 vjetësh kur shtetet anëtare kanë përcaktuar se kjo mbajtje është e nevojshme dhe proporcionale me qëllim parandalimin, zbulimin, hetimin ose ndjekjen penale të veprës së dyshuar të pastrimit të parave ose financimit të terrorizmit.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16(9)</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NjIF-ve, por dhe AMLA-s për qëllime të analizave të përbashkëta sipas nenit 32 të kësaj direktive dhe nenit 40 të Rregullores (BE) 2024/1620, do t'u jepet akses i menjëhershëm dhe i </w:t>
            </w:r>
            <w:r w:rsidRPr="00431392">
              <w:rPr>
                <w:rFonts w:ascii="Times New Roman" w:hAnsi="Times New Roman"/>
                <w:sz w:val="18"/>
                <w:szCs w:val="18"/>
                <w:lang w:eastAsia="sq-AL" w:bidi="sq-AL"/>
              </w:rPr>
              <w:t xml:space="preserve">pafiltruar në informacionin e disponueshëm përmes BARIS mbi llogaritë e pagesave dhe llogaritë bankare të identifikuara përmes IBAN-it, duke përfshirë IBAN-in virtual, llogaritë e titujve, llogaritë e kriptoaseteve dhe kasafortat në shtetet e tjera anëtare. Autoriteteve mbikëqyrëse do t'u jepet akses pa vonesa në informacionin </w:t>
            </w:r>
            <w:r w:rsidRPr="00F727DA">
              <w:rPr>
                <w:rFonts w:ascii="Times New Roman" w:hAnsi="Times New Roman"/>
                <w:sz w:val="18"/>
                <w:szCs w:val="18"/>
                <w:lang w:eastAsia="sq-AL" w:bidi="sq-AL"/>
              </w:rPr>
              <w:t>e disponueshëm përmes BARIS. Shtetet anëtare bashkëpunojnë ndërmjet tyre dhe me Komisionin për zbatimin e këtij paragrafi.</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stafi i NjIF-ve kombëtare dhe autoriteteve mbikëqyrëse që kanë akses në BARIS të zbatojnë standarde të larta profesionale lidhur me konfidencialitetin dhe mbrojtjen e të dhënave, të kenë integritet të lartë dhe kualifikimin e duhur.</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parashtruara në nënparagrafin e dytë vlejnë edhe për AMLA-n në kontekstin e analizave të përbashkëta dhe kur vepron në cilësinë e mbikëqyrësit.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16(10)</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marrjen e masave teknike dhe organizative për të garantuar sigurinë e të dhënave sipas standardeve të larta teknologjike për qëllime të ushtrimit, nga NjIF-të dhe autoritetet mbikëqyrëse, të kompetencës së tyre për të aksesuar dhe kërkuar informacionin e disponueshëm përmes BARIS në përputhje me paragrafët 5 dhe 6.</w:t>
            </w:r>
          </w:p>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përcaktuara në nënparagrafin e parë vlejnë edhe për AMLA-n në kontekstin e analizave të përbashkëta dhe kur vepron në cilësinë e mbikëqyrësit.</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r>
      <w:tr w:rsidR="00C36466" w:rsidRPr="00F727DA" w:rsidTr="00E24C86">
        <w:trPr>
          <w:trHeight w:val="578"/>
        </w:trPr>
        <w:tc>
          <w:tcPr>
            <w:tcW w:w="14397" w:type="dxa"/>
            <w:gridSpan w:val="8"/>
            <w:shd w:val="clear" w:color="auto" w:fill="D9D9D9" w:themeFill="background1" w:themeFillShade="D9"/>
            <w:vAlign w:val="center"/>
          </w:tcPr>
          <w:p w:rsidR="00C36466" w:rsidRPr="00F727DA" w:rsidRDefault="00C36466"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17</w:t>
            </w:r>
          </w:p>
          <w:p w:rsidR="00C36466" w:rsidRPr="00F727DA" w:rsidRDefault="00C36466"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Aktet zbatuese për ndërveprimin e regjistrave</w:t>
            </w:r>
          </w:p>
        </w:tc>
      </w:tr>
      <w:tr w:rsidR="00C36466" w:rsidRPr="00F727DA" w:rsidTr="00E24C86">
        <w:trPr>
          <w:trHeight w:val="578"/>
        </w:trPr>
        <w:tc>
          <w:tcPr>
            <w:tcW w:w="900" w:type="dxa"/>
            <w:shd w:val="clear" w:color="auto" w:fill="auto"/>
            <w:vAlign w:val="center"/>
          </w:tcPr>
          <w:p w:rsidR="00C36466" w:rsidRPr="00F727DA" w:rsidRDefault="00C36466"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 (1)</w:t>
            </w:r>
          </w:p>
        </w:tc>
        <w:tc>
          <w:tcPr>
            <w:tcW w:w="3507"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e nevojshme për të siguruar ndërlidhjen e regjistrave qendrorë të shteteve anëtare sipas nenit 10, paragrafi 19 në lidhje me:</w:t>
            </w:r>
          </w:p>
        </w:tc>
        <w:tc>
          <w:tcPr>
            <w:tcW w:w="1266" w:type="dxa"/>
            <w:gridSpan w:val="2"/>
            <w:shd w:val="clear" w:color="auto" w:fill="auto"/>
            <w:vAlign w:val="center"/>
          </w:tcPr>
          <w:p w:rsidR="00C36466" w:rsidRPr="00F727DA" w:rsidRDefault="00C3646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C36466" w:rsidRPr="00F727DA" w:rsidRDefault="00C36466"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C36466" w:rsidRPr="00F727DA" w:rsidRDefault="00C36466"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Komisionit Evropian dhe rregullon akte zbatuese teknike për ndërlidhjen e regjistrave të shteteve anëtare të Bashkimit Evropian; nuk kërkon transpozim në legjislacionin kombëtar.</w:t>
            </w:r>
          </w:p>
          <w:p w:rsidR="00C36466" w:rsidRPr="00F727DA" w:rsidRDefault="00C36466"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17 i Direktives rregullon kompetencat e Komisionit Evropian për miratimin e akteve zbatuese teknike në lidhje me ndërlidhjen e regjistrave qendrorë të shteteve anëtare të Bashkimit Evropian. Ajo nuk krijon detyrime për ligjin kombëtar shqiptar dhe, për rrjedhojë, nuk kërkon transpozim.</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 (1)(a)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specifikimet teknike që përcaktojnë grupin e të dhënave të nevojshme teknike që platforma të kryejë funksionet e saj, si dhe metodën e ruajtjes, përdorimit dhe mbrojtjes së këtyre të dhënave;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përbashkëta sipas të cilave informacioni mbi pronësinë përfituese është i disponueshëm përmes sistemit të ndërlidhjes së regjistrave qendrorë, në varësi të nivelit të aksesit të dhënë nga shtetet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detajet teknike për mënyrën se si duhet të vihet në dispozicion informacioni mbi pronarët përfitues;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teknike të disponueshmërisë së shërbimeve të ofruara nga sistemi i ndërlidhjes së regjistrave qendrorë;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modalitetet teknike për zbatimin e llojeve të ndryshme të aksesit në informacionin mbi pronësinë përfituese në përputhje me nenet 11 dhe 12 të kësaj direktive, duke përfshirë autentikimin e përdoruesve përmes përdorimit të mjeteve të identifikimit elektronik dhe shërbimeve të besuara përkatëse siç përcaktohet në Rregulloren (BE) nr. 910/2014;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mënyrat e pagesave kur aksesi në informacionin mbi pronësinë përfituese është subjekt i pagesës së një tarife sipas nenit 11, paragrafi 4 dhe nenit 13, paragrafi 12, duke marrë parasysh sistemet e disponueshme të pagesave, siç janë transaksionet në distancë.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akte zbatuese miratohen në përputhje me procedurën e shqyrtimit të përmendur në nenin 72, paragrafi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e nevojshme për të siguruar ndërlidhjen e mekanizmave të centralizuar automatikë të shteteve anëtare siç përmendet në nenin 16, paragrafi 6 në lidhje 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specifikimin teknik që përcakton metodat e komunikimit përmes mjeteve elektronike për qëllime të sistemit BARIS;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specifikimin teknik për protokollet e komunikimit;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specifikimet teknike që përcaktojnë sigurinë e të dhënave, masat për mbrojtjen e të dhënave, përdorimin dhe mbrojtjen e informacionit që është i kërkueshëm dhe i aksesueshëm përmes BARIS;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përbashkëta sipas të cilave informacioni i llogarisë bankare është i kërkueshëm përmes BARIS;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detajet teknike për mënyrën se si vihet në dispozicion informacioni nëpërmjet BARIS, duke përfshirë autentikimin e përdoruesve përmes përdorimit të mjeteve të identifikimit elektronik dhe shërbimeve të besuara përkatëse siç përcaktohet në Rregulloren (BE) nr. 910/2014;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teknike të disponueshmërisë së shërbimeve të ofruara përmes BARIS.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akte zbatuese miratohen në përputhje me procedurën e shqyrtimit të përmendur në nenin 72, paragrafi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miratimin e akteve zbatuese të përmendura në paragrafët 1 dhe 2, Komisioni merr në konsideratë teknologjinë e provuar dhe praktikat ekzistuese. Komisioni garanton që zhvillimi dhe operimi i BARIS të mos sjellin kosto përtej masës absolutisht të nevojshme për zbatimin e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val="sq-AL"/>
              </w:rPr>
            </w:pPr>
            <w:r w:rsidRPr="00F727DA">
              <w:rPr>
                <w:rFonts w:ascii="Times New Roman" w:hAnsi="Times New Roman"/>
                <w:b/>
                <w:sz w:val="18"/>
                <w:szCs w:val="18"/>
                <w:lang w:val="sq-AL"/>
              </w:rPr>
              <w:t>Seksioni 3</w:t>
            </w:r>
          </w:p>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b/>
                <w:sz w:val="18"/>
                <w:szCs w:val="18"/>
              </w:rPr>
              <w:t>Pika e vetme e aksesit për informacionin mbi pasuritë e paluajtshme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val="sq-AL"/>
              </w:rPr>
            </w:pPr>
            <w:r w:rsidRPr="00F727DA">
              <w:rPr>
                <w:rFonts w:ascii="Times New Roman" w:hAnsi="Times New Roman"/>
                <w:b/>
                <w:sz w:val="18"/>
                <w:szCs w:val="18"/>
                <w:lang w:val="sq-AL"/>
              </w:rPr>
              <w:t>Neni 18</w:t>
            </w:r>
          </w:p>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b/>
                <w:sz w:val="18"/>
                <w:szCs w:val="18"/>
              </w:rPr>
              <w:t>Pika e vetme e aksesit për informacionin mbi pasuritë e paluajtshme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 (1)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w:t>
            </w:r>
            <w:r w:rsidRPr="00100D67">
              <w:rPr>
                <w:rFonts w:ascii="Times New Roman" w:hAnsi="Times New Roman"/>
                <w:sz w:val="18"/>
                <w:szCs w:val="18"/>
                <w:lang w:eastAsia="sq-AL" w:bidi="sq-AL"/>
              </w:rPr>
              <w:t xml:space="preserve">që autoritetet kompetente të kenë akses të menjëhershëm dhe të drejtpërdrejtë pa pagesë në </w:t>
            </w:r>
            <w:r w:rsidRPr="00F727DA">
              <w:rPr>
                <w:rFonts w:ascii="Times New Roman" w:hAnsi="Times New Roman"/>
                <w:sz w:val="18"/>
                <w:szCs w:val="18"/>
                <w:lang w:eastAsia="sq-AL" w:bidi="sq-AL"/>
              </w:rPr>
              <w:t xml:space="preserve">informacionin që lejon identifikimin pa vonesa të çdo pasurie të paluajtshme dhe të personave fizikë ose subjekteve juridike apo organizimeve ligjore që zotërojnë atë pasuri, si dhe në informacionin që lejon identifikimin dhe analizën e transaksioneve që përfshijnë pasuri të paluajtshme. </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akses sigurohet nëpërmjet një pike të vetme aksesi që do të ngrihet në secilin shtet anëtar dhe që do t’u mundësojë autoriteteve kompetente të aksesojnë, përmes mjeteve elektronike, informacionin në format dixhital, i cili, kur është e mundur, është i lexueshëm nga pajisjet.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Aksesi në pikat e vetme të aksesit të </w:t>
            </w:r>
            <w:r w:rsidRPr="00B8488E">
              <w:rPr>
                <w:rFonts w:ascii="Times New Roman" w:hAnsi="Times New Roman"/>
                <w:sz w:val="18"/>
                <w:szCs w:val="18"/>
                <w:lang w:eastAsia="sq-AL" w:bidi="sq-AL"/>
              </w:rPr>
              <w:t xml:space="preserve">përmendura në nënparagrafin e parë i sigurohet gjithashtu AMLA-s për qëllime </w:t>
            </w:r>
            <w:r w:rsidRPr="00F727DA">
              <w:rPr>
                <w:rFonts w:ascii="Times New Roman" w:hAnsi="Times New Roman"/>
                <w:sz w:val="18"/>
                <w:szCs w:val="18"/>
                <w:lang w:eastAsia="sq-AL" w:bidi="sq-AL"/>
              </w:rPr>
              <w:t>të analizave të përbashkëta sipas nenit 32 të kësaj direktive dhe nenit 40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FC4618" w:rsidRPr="00FC4618" w:rsidRDefault="00FC4618" w:rsidP="00A87413">
            <w:pPr>
              <w:suppressAutoHyphens w:val="0"/>
              <w:spacing w:after="0" w:line="240" w:lineRule="auto"/>
              <w:rPr>
                <w:rFonts w:ascii="Times New Roman" w:hAnsi="Times New Roman"/>
                <w:b/>
                <w:bCs/>
                <w:sz w:val="18"/>
                <w:szCs w:val="18"/>
                <w:lang w:val="sq-AL" w:eastAsia="sq-AL" w:bidi="sq-AL"/>
              </w:rPr>
            </w:pPr>
            <w:r w:rsidRPr="00FC4618">
              <w:rPr>
                <w:rFonts w:ascii="Times New Roman" w:hAnsi="Times New Roman"/>
                <w:bCs/>
                <w:sz w:val="18"/>
                <w:szCs w:val="18"/>
                <w:lang w:val="sq-AL" w:eastAsia="sq-AL" w:bidi="sq-AL"/>
              </w:rPr>
              <w:t>Neni 12</w:t>
            </w:r>
            <w:r w:rsidRPr="00FC4618">
              <w:rPr>
                <w:rFonts w:ascii="Times New Roman" w:hAnsi="Times New Roman"/>
                <w:b/>
                <w:bCs/>
                <w:sz w:val="18"/>
                <w:szCs w:val="18"/>
                <w:lang w:val="sq-AL" w:eastAsia="sq-AL" w:bidi="sq-AL"/>
              </w:rPr>
              <w:br/>
            </w:r>
            <w:r w:rsidRPr="00100D67">
              <w:rPr>
                <w:rFonts w:ascii="Times New Roman" w:hAnsi="Times New Roman"/>
                <w:bCs/>
                <w:sz w:val="18"/>
                <w:szCs w:val="18"/>
                <w:lang w:val="sq-AL" w:eastAsia="sq-AL" w:bidi="sq-AL"/>
              </w:rPr>
              <w:t>E drejta e aksesit dhe krijimi i pikës së vetme të aksesit</w:t>
            </w:r>
          </w:p>
          <w:p w:rsidR="00FC4618" w:rsidRPr="00FC4618" w:rsidRDefault="00FC4618" w:rsidP="00A87413">
            <w:pPr>
              <w:suppressAutoHyphens w:val="0"/>
              <w:spacing w:after="0" w:line="240" w:lineRule="auto"/>
              <w:rPr>
                <w:rFonts w:ascii="Times New Roman" w:hAnsi="Times New Roman"/>
                <w:b/>
                <w:bCs/>
                <w:sz w:val="18"/>
                <w:szCs w:val="18"/>
                <w:lang w:val="sq-AL" w:eastAsia="sq-AL" w:bidi="sq-AL"/>
              </w:rPr>
            </w:pPr>
          </w:p>
          <w:p w:rsidR="006E5B5B" w:rsidRPr="00F727DA" w:rsidRDefault="00FC4618" w:rsidP="00A87413">
            <w:pPr>
              <w:widowControl w:val="0"/>
              <w:snapToGrid w:val="0"/>
              <w:spacing w:after="0" w:line="240" w:lineRule="auto"/>
              <w:rPr>
                <w:rFonts w:ascii="Times New Roman" w:hAnsi="Times New Roman"/>
                <w:sz w:val="18"/>
                <w:szCs w:val="18"/>
                <w:lang w:eastAsia="sq-AL" w:bidi="sq-AL"/>
              </w:rPr>
            </w:pPr>
            <w:r w:rsidRPr="00FC4618">
              <w:rPr>
                <w:rFonts w:ascii="Times New Roman" w:hAnsi="Times New Roman"/>
                <w:sz w:val="18"/>
                <w:szCs w:val="18"/>
                <w:lang w:eastAsia="sq-AL" w:bidi="sq-AL"/>
              </w:rPr>
              <w:t xml:space="preserve"> </w:t>
            </w:r>
          </w:p>
        </w:tc>
        <w:tc>
          <w:tcPr>
            <w:tcW w:w="2064" w:type="dxa"/>
            <w:shd w:val="clear" w:color="auto" w:fill="auto"/>
            <w:vAlign w:val="center"/>
          </w:tcPr>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1. Autoritetet kompetente, për qëllime të parandalimit të pastrimit të parave, financimit të terrorizmit dhe financimit të përhapjes të armëve të dëmtimit në masë, kanë akses të menjëhershëm dhe të drejtpërdrejtë, pa pagesë, në informacionin ekzistues dhe të dhënat që mundësojnë identifikimin në kohë të:</w:t>
            </w:r>
          </w:p>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a) çdo pasurie të paluajtshme;</w:t>
            </w:r>
          </w:p>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b) personave fizikë ose juridikë, si dhe organizimeve ligjore, që zotërojnë këto pasuri;</w:t>
            </w:r>
          </w:p>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c) transaksioneve që lidhen me pasuritë e paluajtshme, për qëllime identifikimi dhe analize.</w:t>
            </w:r>
          </w:p>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2. Aksesi i parashikuar në pikën 1 të këtij neni sigurohet nëpërmjet një sistemi të vetëm aksesi, e krijuar në nivel kombëtar, i cili i mundëson autoriteteve kompetente, nëpërmjet mjeteve elektronike, akses në informacion në format digjital, i cili, kur është e mundur, duhet të jetë në format të strukturuar dhe të përpunueshëm elektronikisht.</w:t>
            </w:r>
          </w:p>
          <w:p w:rsidR="00FC4618" w:rsidRPr="00FC4618" w:rsidRDefault="00FC4618" w:rsidP="00A87413">
            <w:pPr>
              <w:spacing w:after="0"/>
              <w:rPr>
                <w:rFonts w:ascii="Times New Roman" w:hAnsi="Times New Roman"/>
                <w:sz w:val="18"/>
                <w:szCs w:val="18"/>
                <w:lang w:val="sq-AL"/>
              </w:rPr>
            </w:pPr>
            <w:r w:rsidRPr="00FC4618">
              <w:rPr>
                <w:rFonts w:ascii="Times New Roman" w:hAnsi="Times New Roman"/>
                <w:sz w:val="18"/>
                <w:szCs w:val="18"/>
                <w:lang w:val="sq-AL"/>
              </w:rPr>
              <w:t xml:space="preserve">3. Autoriteti përgjegjës për krijimin, administrimin dhe funksionimin e </w:t>
            </w:r>
            <w:r w:rsidRPr="00FC4618">
              <w:rPr>
                <w:rFonts w:ascii="Times New Roman" w:hAnsi="Times New Roman"/>
                <w:bCs/>
                <w:sz w:val="18"/>
                <w:szCs w:val="18"/>
                <w:lang w:val="sq-AL"/>
              </w:rPr>
              <w:t>pikës së vetme të aksesit</w:t>
            </w:r>
            <w:r w:rsidRPr="00FC4618">
              <w:rPr>
                <w:rFonts w:ascii="Times New Roman" w:hAnsi="Times New Roman"/>
                <w:sz w:val="18"/>
                <w:szCs w:val="18"/>
                <w:lang w:val="sq-AL"/>
              </w:rPr>
              <w:t>, në bashkëpunim me autoritetet që administrojnë burimet e informacionit, vendos mekanizma organizativë dhe teknikë për garantimin e përditësimit dhe saktësisë së informacionit.</w:t>
            </w:r>
          </w:p>
          <w:p w:rsidR="00FC4618" w:rsidRPr="00FC4618" w:rsidRDefault="00FC4618" w:rsidP="00A87413">
            <w:pPr>
              <w:spacing w:after="0"/>
              <w:rPr>
                <w:rFonts w:ascii="Times New Roman" w:hAnsi="Times New Roman"/>
                <w:sz w:val="18"/>
                <w:szCs w:val="18"/>
                <w:lang w:val="sq-AL"/>
              </w:rPr>
            </w:pPr>
          </w:p>
          <w:p w:rsidR="006E5B5B" w:rsidRPr="00F727DA" w:rsidRDefault="00FC4618" w:rsidP="00A87413">
            <w:pPr>
              <w:widowControl w:val="0"/>
              <w:spacing w:after="0" w:line="240" w:lineRule="auto"/>
              <w:rPr>
                <w:rFonts w:ascii="Times New Roman" w:hAnsi="Times New Roman"/>
                <w:sz w:val="18"/>
                <w:szCs w:val="18"/>
              </w:rPr>
            </w:pPr>
            <w:r w:rsidRPr="00FC4618">
              <w:rPr>
                <w:rFonts w:ascii="Times New Roman" w:hAnsi="Times New Roman"/>
                <w:sz w:val="18"/>
                <w:szCs w:val="18"/>
              </w:rPr>
              <w:t xml:space="preserve"> </w:t>
            </w:r>
          </w:p>
        </w:tc>
        <w:tc>
          <w:tcPr>
            <w:tcW w:w="1356"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Neni 18 i Direktivës kërkon që autoritetet kompetente të kenë akses të menjëhershëm, të drejtpërdrejtë dhe pa pagese në informacionin mbi pasuritë e paluajtshme dhe pronësinë e tyre, përmes një pike të vetme aksesi të krijuar në nivel kombëtar, për qëllime të parandalimit të pastrimit të parave dhe financimit të terrorizmit.</w:t>
            </w:r>
          </w:p>
          <w:p w:rsidR="006E5B5B" w:rsidRPr="00F727DA" w:rsidRDefault="006E5B5B" w:rsidP="00A87413">
            <w:pPr>
              <w:snapToGrid w:val="0"/>
              <w:spacing w:after="0" w:line="240" w:lineRule="auto"/>
              <w:rPr>
                <w:rFonts w:ascii="Times New Roman" w:hAnsi="Times New Roman"/>
                <w:sz w:val="18"/>
                <w:szCs w:val="18"/>
                <w:lang w:val="sq-AL"/>
              </w:rPr>
            </w:pPr>
          </w:p>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Në Shqipëri, regjistri i pasurive të paluajtshme administrohet nga Agjencia Shtetërore e Kadastrës, e cila, në bazë të legjislacionit ekzistues, siguron akses të drejtpërdrejtë në të dhënat kadastrale për institucione të caktuara shtetërore. Megjithatë, këto dispozita nuk krijojnë një mekanizëm horizontal dhe të integruar aksesi në kuptim të nenit 18 të Direktivës, pasi ato parashikojnë akses të drejtpërdrejtë në sistemin e Kadastrës dhe jo një pikë të vetme aksesi për qëllime AML/CFT.</w:t>
            </w:r>
          </w:p>
          <w:p w:rsidR="006E5B5B" w:rsidRPr="00F727DA" w:rsidRDefault="006E5B5B" w:rsidP="00A87413">
            <w:pPr>
              <w:snapToGrid w:val="0"/>
              <w:spacing w:after="0" w:line="240" w:lineRule="auto"/>
              <w:rPr>
                <w:rFonts w:ascii="Times New Roman" w:hAnsi="Times New Roman"/>
                <w:sz w:val="18"/>
                <w:szCs w:val="18"/>
                <w:lang w:val="sq-AL"/>
              </w:rPr>
            </w:pPr>
          </w:p>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Për këtë arsye, transpozimi i nenit 18 realizohet në mënyrë parësore në ligjin për parandalimin e pastrimit të parave dhe financimit të terrorizmit, i cili parashikon krijimin e një pike të vetme aksesi në nivel kombëtar. Ndërkohë, për të siguruar zbatimin efektiv të këtij mekanizmi dhe për të garantuar aksesin në burimin kryesor të të dhënave mbi pasuritë e paluajtshme, ligji për Kadastrën plotësohet me një dispozitë lidhëse, e cila detyron Agjencinë Shtetërore të Kadastrës të sigurojë shkëmbimin elektronik dhe të automatizuar të të dhënave për autoritetet kompetente AML/CFT.</w:t>
            </w:r>
          </w:p>
          <w:p w:rsidR="006E5B5B" w:rsidRPr="00F727DA" w:rsidRDefault="006E5B5B" w:rsidP="00A87413">
            <w:pPr>
              <w:snapToGrid w:val="0"/>
              <w:spacing w:after="0" w:line="240" w:lineRule="auto"/>
              <w:rPr>
                <w:rFonts w:ascii="Times New Roman" w:hAnsi="Times New Roman"/>
                <w:sz w:val="18"/>
                <w:szCs w:val="18"/>
                <w:lang w:val="sq-AL"/>
              </w:rPr>
            </w:pPr>
          </w:p>
          <w:p w:rsidR="006E5B5B" w:rsidRPr="00F727DA" w:rsidRDefault="006E5B5B" w:rsidP="00A87413">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Kjo qasje siguron një ndarje të qartë të kompetencave ndërmjet ligjit sektorial për Kadastrën dhe legjislacionit AML/CFT, shmang mbivendosjen institucionale dhe garanton përputhshmëri të plotë me kërkesat e nenit 18 të Direktivës, duke respektuar parimin e proporcionalitetit dhe mbrojtjen e të dhënave personale.</w:t>
            </w:r>
          </w:p>
          <w:p w:rsidR="006E5B5B" w:rsidRPr="00F727DA" w:rsidRDefault="006E5B5B" w:rsidP="00A87413">
            <w:pPr>
              <w:snapToGrid w:val="0"/>
              <w:spacing w:after="0" w:line="240" w:lineRule="auto"/>
              <w:rPr>
                <w:rFonts w:ascii="Times New Roman" w:hAnsi="Times New Roman"/>
                <w:sz w:val="18"/>
                <w:szCs w:val="18"/>
                <w:lang w:val="sq-AL"/>
              </w:rPr>
            </w:pPr>
          </w:p>
          <w:p w:rsidR="006E5B5B" w:rsidRPr="00F727DA" w:rsidRDefault="006E5B5B" w:rsidP="00A87413">
            <w:pPr>
              <w:widowControl w:val="0"/>
              <w:spacing w:after="0" w:line="240" w:lineRule="auto"/>
              <w:rPr>
                <w:rFonts w:ascii="Times New Roman" w:hAnsi="Times New Roman"/>
                <w:sz w:val="18"/>
                <w:szCs w:val="18"/>
                <w:lang w:val="sq-AL"/>
              </w:rPr>
            </w:pPr>
          </w:p>
          <w:p w:rsidR="006E5B5B" w:rsidRPr="00F727DA" w:rsidRDefault="006E5B5B"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Projektligj “Per disa shtesa dhe ndryshime me Ligjin nr. 111/2018 “Për Kadastrën”</w:t>
            </w:r>
          </w:p>
          <w:p w:rsidR="006E5B5B" w:rsidRPr="00F727DA" w:rsidRDefault="006E5B5B"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Neni X</w:t>
            </w:r>
          </w:p>
          <w:p w:rsidR="006E5B5B" w:rsidRPr="00F727DA" w:rsidRDefault="006E5B5B"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Shkëmbimi i të dhënave kadastrale për qëllime të parandalimit të pastrimit të parave, fianncimit të terrorizmit dhe financimit të armëve të dëmtimit në masë</w:t>
            </w:r>
          </w:p>
          <w:p w:rsidR="006E5B5B" w:rsidRPr="00F727DA" w:rsidRDefault="006E5B5B" w:rsidP="00A87413">
            <w:pPr>
              <w:widowControl w:val="0"/>
              <w:spacing w:after="0" w:line="240" w:lineRule="auto"/>
              <w:rPr>
                <w:rFonts w:ascii="Times New Roman" w:hAnsi="Times New Roman"/>
                <w:sz w:val="18"/>
                <w:szCs w:val="18"/>
                <w:lang w:val="sq-AL"/>
              </w:rPr>
            </w:pPr>
          </w:p>
          <w:p w:rsidR="006E5B5B" w:rsidRPr="00F727DA" w:rsidRDefault="006E5B5B" w:rsidP="00A87413">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1. Agjencia Shtetërore e Kadastrës siguron shkëmbimin elektronik dhe të automatizuar të të dhënave që administron mbi pasuritë e paluajtshme dhe pronësinë e tyre, për autoritetet kompetente, për qëllime të parandalimit të pastrimit të parave, fianncimit të terrorizmit dhe financimit të armëve të dëmtimit në masë.</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val="sq-AL"/>
              </w:rPr>
              <w:t xml:space="preserve">2. Shkëmbimi i të dhënave sipas pikës 1 të këtij neni realizohet përmes sistemit të vetëm </w:t>
            </w:r>
            <w:r w:rsidRPr="00F727DA">
              <w:rPr>
                <w:rFonts w:ascii="Times New Roman" w:hAnsi="Times New Roman"/>
                <w:sz w:val="18"/>
                <w:szCs w:val="18"/>
                <w:lang w:eastAsia="sq-AL" w:bidi="sq-AL"/>
              </w:rPr>
              <w:t xml:space="preserve"> për marrjen e informacionit mbi pasuritë e paluajtshme</w:t>
            </w:r>
            <w:r w:rsidRPr="00F727DA">
              <w:rPr>
                <w:rFonts w:ascii="Times New Roman" w:hAnsi="Times New Roman"/>
                <w:sz w:val="18"/>
                <w:szCs w:val="18"/>
                <w:lang w:val="sq-AL"/>
              </w:rPr>
              <w:t xml:space="preserve"> të krijuar në nivel kombëtar, nëpërmjet platformës elektronike ndërinstitucionale, sipas rregullave të përcaktuara në legjislacionin për parandalimin e pastrimit të parave dhe aktet nënligjore në zbatim të tij.</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të vihet në dispozicion përmes pikës së vetme të aksesit të përmendur në paragrafin 1 të paktën informacioni i mëposhtëm: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FC4618" w:rsidRPr="00FC4618" w:rsidRDefault="00FC4618" w:rsidP="00A87413">
            <w:pPr>
              <w:suppressAutoHyphens w:val="0"/>
              <w:spacing w:after="0" w:line="276" w:lineRule="auto"/>
              <w:rPr>
                <w:rFonts w:ascii="Times New Roman" w:eastAsia="Times New Roman" w:hAnsi="Times New Roman"/>
                <w:bCs/>
                <w:sz w:val="18"/>
                <w:szCs w:val="18"/>
                <w:lang w:val="sq-AL" w:eastAsia="en-US"/>
              </w:rPr>
            </w:pPr>
            <w:r w:rsidRPr="00FC4618">
              <w:rPr>
                <w:rFonts w:ascii="Times New Roman" w:eastAsia="Times New Roman" w:hAnsi="Times New Roman"/>
                <w:bCs/>
                <w:sz w:val="18"/>
                <w:szCs w:val="18"/>
                <w:lang w:val="sq-AL" w:eastAsia="en-US"/>
              </w:rPr>
              <w:t>Neni 13</w:t>
            </w:r>
          </w:p>
          <w:p w:rsidR="00FC4618" w:rsidRPr="00FC4618" w:rsidRDefault="00FC4618" w:rsidP="00A87413">
            <w:pPr>
              <w:suppressAutoHyphens w:val="0"/>
              <w:spacing w:after="0" w:line="276" w:lineRule="auto"/>
              <w:rPr>
                <w:rFonts w:ascii="Times New Roman" w:eastAsia="Times New Roman" w:hAnsi="Times New Roman"/>
                <w:bCs/>
                <w:sz w:val="18"/>
                <w:szCs w:val="18"/>
                <w:lang w:val="sq-AL" w:eastAsia="en-US"/>
              </w:rPr>
            </w:pPr>
            <w:r w:rsidRPr="00FC4618">
              <w:rPr>
                <w:rFonts w:ascii="Times New Roman" w:eastAsia="Times New Roman" w:hAnsi="Times New Roman"/>
                <w:bCs/>
                <w:sz w:val="18"/>
                <w:szCs w:val="18"/>
                <w:lang w:val="sq-AL" w:eastAsia="en-US"/>
              </w:rPr>
              <w:t>Përmbajtja e informacionit dhe funksionimi i pikës së vetme të aksesit</w:t>
            </w:r>
          </w:p>
          <w:p w:rsidR="006E5B5B" w:rsidRPr="00F727DA" w:rsidRDefault="006E5B5B" w:rsidP="00A87413">
            <w:pPr>
              <w:spacing w:after="0"/>
              <w:rPr>
                <w:rFonts w:ascii="Times New Roman" w:hAnsi="Times New Roman"/>
                <w:sz w:val="18"/>
                <w:szCs w:val="18"/>
              </w:rPr>
            </w:pPr>
          </w:p>
        </w:tc>
        <w:tc>
          <w:tcPr>
            <w:tcW w:w="2064" w:type="dxa"/>
            <w:shd w:val="clear" w:color="auto" w:fill="auto"/>
            <w:vAlign w:val="center"/>
          </w:tcPr>
          <w:p w:rsidR="00C70E83" w:rsidRPr="00C70E83" w:rsidRDefault="00C70E83" w:rsidP="00A87413">
            <w:pPr>
              <w:spacing w:after="0"/>
              <w:rPr>
                <w:rFonts w:ascii="Times New Roman" w:hAnsi="Times New Roman"/>
                <w:sz w:val="18"/>
                <w:szCs w:val="18"/>
                <w:lang w:val="sq-AL"/>
              </w:rPr>
            </w:pPr>
            <w:r w:rsidRPr="00C70E83">
              <w:rPr>
                <w:rFonts w:ascii="Times New Roman" w:hAnsi="Times New Roman"/>
                <w:sz w:val="18"/>
                <w:szCs w:val="18"/>
                <w:lang w:val="sq-AL"/>
              </w:rPr>
              <w:t>1. Përmes pikës të vetme të aksesit, sipas këtij neni, bëhet i disponueshëm të paktën informacioni i mëposhtëm:</w:t>
            </w:r>
          </w:p>
          <w:p w:rsidR="006E5B5B" w:rsidRPr="00F727DA" w:rsidRDefault="00C70E83" w:rsidP="00A87413">
            <w:pPr>
              <w:widowControl w:val="0"/>
              <w:spacing w:after="0" w:line="240" w:lineRule="auto"/>
              <w:rPr>
                <w:rFonts w:ascii="Times New Roman" w:hAnsi="Times New Roman"/>
                <w:sz w:val="18"/>
                <w:szCs w:val="18"/>
              </w:rPr>
            </w:pPr>
            <w:r w:rsidRPr="00C70E83">
              <w:rPr>
                <w:rFonts w:ascii="Times New Roman" w:hAnsi="Times New Roman"/>
                <w:sz w:val="18"/>
                <w:szCs w:val="18"/>
              </w:rPr>
              <w:t xml:space="preserve"> </w:t>
            </w:r>
          </w:p>
        </w:tc>
        <w:tc>
          <w:tcPr>
            <w:tcW w:w="1356" w:type="dxa"/>
            <w:shd w:val="clear" w:color="auto" w:fill="auto"/>
            <w:vAlign w:val="center"/>
          </w:tcPr>
          <w:p w:rsidR="006E5B5B" w:rsidRPr="00F842AC" w:rsidRDefault="006E5B5B" w:rsidP="00A8741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643"/>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pronën: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pacing w:after="0"/>
              <w:rPr>
                <w:rFonts w:ascii="Times New Roman" w:hAnsi="Times New Roman"/>
                <w:sz w:val="18"/>
                <w:szCs w:val="18"/>
                <w:lang w:val="sq-AL"/>
              </w:rPr>
            </w:pPr>
            <w:r w:rsidRPr="00F727DA">
              <w:rPr>
                <w:rFonts w:ascii="Times New Roman" w:hAnsi="Times New Roman"/>
                <w:sz w:val="18"/>
                <w:szCs w:val="18"/>
                <w:lang w:val="sq-AL"/>
              </w:rPr>
              <w:t>a) informacion mbi pasurinë e paluajtshme, përfshirë: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842AC" w:rsidRDefault="00C70E83" w:rsidP="00A8741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parcela kadastrale dhe referenca kadastrale;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spacing w:after="0"/>
              <w:rPr>
                <w:rFonts w:ascii="Times New Roman" w:hAnsi="Times New Roman"/>
                <w:sz w:val="18"/>
                <w:szCs w:val="18"/>
              </w:rPr>
            </w:pPr>
            <w:r w:rsidRPr="00F727DA">
              <w:rPr>
                <w:rFonts w:ascii="Times New Roman" w:hAnsi="Times New Roman"/>
                <w:sz w:val="18"/>
                <w:szCs w:val="18"/>
                <w:lang w:val="sq-AL"/>
              </w:rPr>
              <w:t>i. parcelën kadastrale dhe referencën kadastrale;</w:t>
            </w:r>
          </w:p>
        </w:tc>
        <w:tc>
          <w:tcPr>
            <w:tcW w:w="1356" w:type="dxa"/>
            <w:shd w:val="clear" w:color="auto" w:fill="auto"/>
            <w:vAlign w:val="center"/>
          </w:tcPr>
          <w:p w:rsidR="006E5B5B" w:rsidRPr="00F842AC" w:rsidRDefault="00C70E83" w:rsidP="00A8741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jc w:val="center"/>
              <w:rPr>
                <w:rFonts w:ascii="Times New Roman" w:hAnsi="Times New Roman"/>
                <w:sz w:val="18"/>
                <w:szCs w:val="18"/>
              </w:rPr>
            </w:pPr>
            <w:r w:rsidRPr="00F727DA">
              <w:rPr>
                <w:rFonts w:ascii="Times New Roman" w:hAnsi="Times New Roman"/>
                <w:sz w:val="18"/>
                <w:szCs w:val="18"/>
              </w:rPr>
              <w:t>18(2)(a)(ii)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vendndodhja gjeografike, duke përfshirë adresën e pronës;</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rPr>
            </w:pPr>
            <w:r w:rsidRPr="00F727DA">
              <w:rPr>
                <w:rFonts w:ascii="Times New Roman" w:hAnsi="Times New Roman"/>
                <w:sz w:val="18"/>
                <w:szCs w:val="18"/>
                <w:lang w:val="sq-AL"/>
              </w:rPr>
              <w:t>ii. vendndodhjen gjeografike, përfshirë adresën e pasurisë;</w:t>
            </w: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sipërfaqja/madhësia e pronës;</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lang w:val="sq-AL"/>
              </w:rPr>
            </w:pPr>
            <w:r w:rsidRPr="00F727DA">
              <w:rPr>
                <w:rFonts w:ascii="Times New Roman" w:hAnsi="Times New Roman"/>
                <w:sz w:val="18"/>
                <w:szCs w:val="18"/>
                <w:lang w:val="sq-AL"/>
              </w:rPr>
              <w:t>iii. sipërfaqen/ madhësinë e pasurisë;</w:t>
            </w:r>
          </w:p>
          <w:p w:rsidR="00F842AC" w:rsidRPr="00F727DA"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1147"/>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18(2)(a)(iv)</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lloji i pronës, duke përfshirë nëse është pronë e ndërtuar ose e pandërtuar dhe destinacionin e përdorimit;</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lang w:val="sq-AL"/>
              </w:rPr>
            </w:pPr>
            <w:r w:rsidRPr="00F727DA">
              <w:rPr>
                <w:rFonts w:ascii="Times New Roman" w:hAnsi="Times New Roman"/>
                <w:sz w:val="18"/>
                <w:szCs w:val="18"/>
                <w:lang w:val="sq-AL"/>
              </w:rPr>
              <w:t>iv. llojin e pasurisë, duke përfshirë nëse është pronë e ndërtuar ose e pa ndërtuar, si dhe destinacionin e përdorimit të saj;</w:t>
            </w:r>
          </w:p>
          <w:p w:rsidR="00F842AC" w:rsidRPr="00F727DA"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pronësinë:</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lang w:val="sq-AL"/>
              </w:rPr>
            </w:pPr>
            <w:r w:rsidRPr="00F727DA">
              <w:rPr>
                <w:rFonts w:ascii="Times New Roman" w:hAnsi="Times New Roman"/>
                <w:sz w:val="18"/>
                <w:szCs w:val="18"/>
                <w:lang w:val="sq-AL"/>
              </w:rPr>
              <w:t>b) informacion mbi pronësinë, përfshirë:</w:t>
            </w:r>
          </w:p>
          <w:p w:rsidR="00F842AC" w:rsidRPr="00F727DA" w:rsidRDefault="00F842AC" w:rsidP="00A87413">
            <w:pPr>
              <w:spacing w:after="0"/>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emri i pronarit dhe i çdo personi që pretendon të veprojë në emër të pronarit;</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lang w:val="sq-AL"/>
              </w:rPr>
            </w:pPr>
            <w:r w:rsidRPr="00F727DA">
              <w:rPr>
                <w:rFonts w:ascii="Times New Roman" w:hAnsi="Times New Roman"/>
                <w:sz w:val="18"/>
                <w:szCs w:val="18"/>
                <w:lang w:val="sq-AL"/>
              </w:rPr>
              <w:t>i. emrin e pronarit dhe të çdo personi që vepron në emër të tij;</w:t>
            </w:r>
          </w:p>
          <w:p w:rsidR="00F842AC" w:rsidRPr="00F727DA" w:rsidRDefault="00F842AC" w:rsidP="00A87413">
            <w:pPr>
              <w:spacing w:after="0"/>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pronari është subjekt juridik, emri dhe forma ligjore e subjektit juridik, si dhe numri unik i identifikimit të shoqërisë dhe numri i identifikimit tatimor;</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lang w:val="sq-AL"/>
              </w:rPr>
            </w:pPr>
            <w:r w:rsidRPr="00F727DA">
              <w:rPr>
                <w:rFonts w:ascii="Times New Roman" w:hAnsi="Times New Roman"/>
                <w:sz w:val="18"/>
                <w:szCs w:val="18"/>
                <w:lang w:val="sq-AL"/>
              </w:rPr>
              <w:t>ii. kur pronari është person juridik, emrin dhe formën ligjore, si dhe numrin unik të identifikimit dhe numrin e identifikimit tatimor (NIPT);</w:t>
            </w:r>
          </w:p>
          <w:p w:rsidR="00F842AC" w:rsidRPr="00F727DA" w:rsidRDefault="00F842AC" w:rsidP="00A87413">
            <w:pPr>
              <w:spacing w:after="0"/>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pronari është organizim ligjor, emri i organizimit ligjor dhe numri i identifikimit tatimor;</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727DA" w:rsidRDefault="00F842AC" w:rsidP="00A87413">
            <w:pPr>
              <w:spacing w:after="0"/>
              <w:rPr>
                <w:rFonts w:ascii="Times New Roman" w:hAnsi="Times New Roman"/>
                <w:sz w:val="18"/>
                <w:szCs w:val="18"/>
              </w:rPr>
            </w:pPr>
            <w:r w:rsidRPr="00F727DA">
              <w:rPr>
                <w:rFonts w:ascii="Times New Roman" w:hAnsi="Times New Roman"/>
                <w:sz w:val="18"/>
                <w:szCs w:val="18"/>
                <w:lang w:val="sq-AL"/>
              </w:rPr>
              <w:t>iii. kur pronari është organizim ligjor, emrin e organizmit ligjor dhe numrin e identifikimit tatimor;</w:t>
            </w: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18(2)(b)(iv)</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çmimi me të cilin është blerë prona;</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iv. çmimin e përfitimit të pasurisë;</w:t>
            </w:r>
          </w:p>
          <w:p w:rsidR="00F842AC" w:rsidRPr="00F842AC"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18(2)(b)(v)</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sipas rastit, çdo e drejtë ose kufizim;</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v. të drejtat, kufizimet ose detyrimet që lidhen me pasurinë, kur është e aplikueshme;</w:t>
            </w:r>
          </w:p>
          <w:p w:rsidR="00F842AC" w:rsidRPr="00F842AC"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barrët në lidhje me:</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c) informacion mbi barrët dhe kufizimet mbi pasurinë, përfshirë:</w:t>
            </w:r>
          </w:p>
          <w:p w:rsidR="00F842AC" w:rsidRPr="00F842AC" w:rsidRDefault="00F842AC" w:rsidP="00A87413">
            <w:pPr>
              <w:spacing w:after="0"/>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hipotekat;</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i. hipotekat/  të drejtat e të tretëve mbi pasurinë;</w:t>
            </w:r>
          </w:p>
          <w:p w:rsidR="00F842AC" w:rsidRPr="00F842AC"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kufizimet gjyqësore;</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rPr>
            </w:pPr>
            <w:r w:rsidRPr="00F842AC">
              <w:rPr>
                <w:rFonts w:ascii="Times New Roman" w:hAnsi="Times New Roman"/>
                <w:sz w:val="18"/>
                <w:szCs w:val="18"/>
                <w:lang w:val="sq-AL"/>
              </w:rPr>
              <w:t>ii. kufizimet gjyqësore/ çdo akt tjetër që ndryshon regjimin juridik të pronës apo krijon të drejta dhe detyrime mbi pasurinë;</w:t>
            </w: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18(2)(c)(iii)</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drejtat e pronësisë;</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rPr>
            </w:pPr>
            <w:r w:rsidRPr="00F842AC">
              <w:rPr>
                <w:rFonts w:ascii="Times New Roman" w:hAnsi="Times New Roman"/>
                <w:sz w:val="18"/>
                <w:szCs w:val="18"/>
                <w:lang w:val="sq-AL"/>
              </w:rPr>
              <w:t>iii. të drejtat reale mbi pasurinë;</w:t>
            </w: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18(2)(c)(iv)</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garanci të tjera, nëse ka të tilla;</w:t>
            </w: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iv. garancitë e tjera, nëse ka;</w:t>
            </w:r>
          </w:p>
          <w:p w:rsidR="00F842AC" w:rsidRPr="00F842AC" w:rsidRDefault="00F842AC" w:rsidP="00A87413">
            <w:pPr>
              <w:spacing w:after="0"/>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F842AC" w:rsidRPr="00F727DA" w:rsidTr="00E24C86">
        <w:trPr>
          <w:trHeight w:val="578"/>
        </w:trPr>
        <w:tc>
          <w:tcPr>
            <w:tcW w:w="900" w:type="dxa"/>
            <w:shd w:val="clear" w:color="auto" w:fill="auto"/>
            <w:vAlign w:val="center"/>
          </w:tcPr>
          <w:p w:rsidR="00F842AC" w:rsidRPr="00F727DA" w:rsidRDefault="00F842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18(2)(d)</w:t>
            </w:r>
          </w:p>
        </w:tc>
        <w:tc>
          <w:tcPr>
            <w:tcW w:w="3507" w:type="dxa"/>
            <w:shd w:val="clear" w:color="auto" w:fill="auto"/>
            <w:vAlign w:val="center"/>
          </w:tcPr>
          <w:p w:rsidR="00F842AC" w:rsidRPr="00F727DA" w:rsidRDefault="00F842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historiku i pronësisë, çmimi dhe barrët e lidhura me pronën; dokumentet përkatëse.</w:t>
            </w:r>
          </w:p>
          <w:p w:rsidR="00F842AC" w:rsidRPr="00F727DA" w:rsidRDefault="00F842AC"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c>
          <w:tcPr>
            <w:tcW w:w="1980" w:type="dxa"/>
            <w:shd w:val="clear" w:color="auto" w:fill="auto"/>
          </w:tcPr>
          <w:p w:rsidR="00F842AC" w:rsidRPr="00F727DA" w:rsidRDefault="00F842AC" w:rsidP="00A87413">
            <w:pPr>
              <w:spacing w:after="0" w:line="240" w:lineRule="auto"/>
              <w:rPr>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ç) historiku i pronësisë së pasurisë së paluajtshme, çmimi dhe barrët përkatëse; dokumentacioni përkatës;</w:t>
            </w:r>
          </w:p>
          <w:p w:rsidR="00F842AC" w:rsidRPr="00F842AC" w:rsidRDefault="00F842AC" w:rsidP="00A87413">
            <w:pPr>
              <w:widowControl w:val="0"/>
              <w:spacing w:after="0" w:line="240" w:lineRule="auto"/>
              <w:rPr>
                <w:rFonts w:ascii="Times New Roman" w:hAnsi="Times New Roman"/>
                <w:sz w:val="18"/>
                <w:szCs w:val="18"/>
              </w:rPr>
            </w:pPr>
          </w:p>
        </w:tc>
        <w:tc>
          <w:tcPr>
            <w:tcW w:w="1356" w:type="dxa"/>
            <w:shd w:val="clear" w:color="auto" w:fill="auto"/>
          </w:tcPr>
          <w:p w:rsidR="00F842AC" w:rsidRPr="00F842AC" w:rsidRDefault="00F842AC" w:rsidP="00A8741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rsidR="00F842AC" w:rsidRPr="00F727DA" w:rsidRDefault="00F842AC"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një parcelë kadastrale përfshin disa prona, informacioni i përmendur në nënparagrafin e parë të jepet në lidhje me secilën pronë në atë parcelë kadastrale.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historik sipas nënparagrafit të parë, germa "d", të mbulojë të paktën periudhën nga data 8 korrik 2019.</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d) Kur një parcelë kadastrale përfshin më shumë se një pasuri, informacioni i përcaktuar në pikën 3 të këtij neni bëhet i disponueshëm për secilën pasuri që përfshihet në atë parcelë.</w:t>
            </w:r>
          </w:p>
        </w:tc>
        <w:tc>
          <w:tcPr>
            <w:tcW w:w="1356" w:type="dxa"/>
            <w:shd w:val="clear" w:color="auto" w:fill="auto"/>
            <w:vAlign w:val="center"/>
          </w:tcPr>
          <w:p w:rsidR="006E5B5B" w:rsidRPr="00F727DA" w:rsidRDefault="00F842AC"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ngrenë mekanizma për të siguruar që informacioni i ofruar përmes pikës së vetme të aksesit të përmendur në paragrafin 1 të jetë i përditësuar dhe i saktë.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F842AC" w:rsidRPr="00F842AC" w:rsidRDefault="00F842AC" w:rsidP="00A87413">
            <w:pPr>
              <w:spacing w:after="0"/>
              <w:rPr>
                <w:rFonts w:ascii="Times New Roman" w:hAnsi="Times New Roman"/>
                <w:sz w:val="18"/>
                <w:szCs w:val="18"/>
                <w:lang w:val="sq-AL"/>
              </w:rPr>
            </w:pPr>
            <w:r w:rsidRPr="00F842AC">
              <w:rPr>
                <w:rFonts w:ascii="Times New Roman" w:hAnsi="Times New Roman"/>
                <w:sz w:val="18"/>
                <w:szCs w:val="18"/>
                <w:lang w:val="sq-AL"/>
              </w:rPr>
              <w:t>2. Autoriteti përgjegjës për krijimin, administrimin dhe funksionimin e pikës të vetme të aksesit, në bashkëpunim me autoritetet që administrojnë burimet e informacionit, vendos mekanizma organizativë dhe teknikë për garantimin e përditësimit dhe saktësisë së informacionit që bëhet i disponueshëm përmes kësaj pike aksesi.</w:t>
            </w:r>
          </w:p>
          <w:p w:rsidR="006E5B5B" w:rsidRPr="00F727DA" w:rsidRDefault="006E5B5B" w:rsidP="00A87413">
            <w:pPr>
              <w:spacing w:after="0"/>
              <w:rPr>
                <w:rFonts w:ascii="Times New Roman" w:hAnsi="Times New Roman"/>
                <w:sz w:val="18"/>
                <w:szCs w:val="18"/>
              </w:rPr>
            </w:pPr>
          </w:p>
        </w:tc>
        <w:tc>
          <w:tcPr>
            <w:tcW w:w="1356" w:type="dxa"/>
            <w:shd w:val="clear" w:color="auto" w:fill="auto"/>
            <w:vAlign w:val="center"/>
          </w:tcPr>
          <w:p w:rsidR="006E5B5B" w:rsidRPr="00F727DA" w:rsidRDefault="00F842AC"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marrin masa për të garantuar që informacioni i ruajtur në mënyrë elektronike t'i sigurohet menjëherë autoritetit kompetent kërkues. Kur ky informacion nuk ruhet në mënyrë elektronike, shtetet anëtare garantojnë që ai të sigurohet pa vonesa dhe në mënyrë të tillë që të mos cenojë veprimtaritë e autoritetit kompetent kërkues.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B61F93" w:rsidRPr="00B61F93" w:rsidRDefault="00B61F93" w:rsidP="00A87413">
            <w:pPr>
              <w:spacing w:after="0"/>
              <w:rPr>
                <w:rFonts w:ascii="Times New Roman" w:hAnsi="Times New Roman"/>
                <w:sz w:val="18"/>
                <w:szCs w:val="18"/>
                <w:lang w:val="sq-AL"/>
              </w:rPr>
            </w:pPr>
            <w:r w:rsidRPr="00B61F93">
              <w:rPr>
                <w:rFonts w:ascii="Times New Roman" w:hAnsi="Times New Roman"/>
                <w:sz w:val="18"/>
                <w:szCs w:val="18"/>
                <w:lang w:val="sq-AL"/>
              </w:rPr>
              <w:t>3. Autoritetet që administrojnë burimet e informacionit që furnizojnë pikën e vetme të aksesit për informacionin mbi pasuritë e paluajtshme sigurojnë masa organizative dhe procedurale që informacioni i disponueshëm në format elektronik t’i vihet në dispozicion menjëherë autoritetit kompetent kërkues.</w:t>
            </w:r>
          </w:p>
          <w:p w:rsidR="00B61F93" w:rsidRPr="00B61F93" w:rsidRDefault="00B61F93" w:rsidP="00A87413">
            <w:pPr>
              <w:spacing w:after="0"/>
              <w:rPr>
                <w:rFonts w:ascii="Times New Roman" w:hAnsi="Times New Roman"/>
                <w:sz w:val="18"/>
                <w:szCs w:val="18"/>
                <w:lang w:val="sq-AL"/>
              </w:rPr>
            </w:pPr>
            <w:r w:rsidRPr="00B61F93">
              <w:rPr>
                <w:rFonts w:ascii="Times New Roman" w:hAnsi="Times New Roman"/>
                <w:sz w:val="18"/>
                <w:szCs w:val="18"/>
                <w:lang w:val="sq-AL"/>
              </w:rPr>
              <w:t>Në rastet kur informacioni nuk administrohet në format elektronik, ai vihet në dispozicion brenda një afati të arsyeshëm dhe në një mënyrë që nuk pengon ushtrimin e funksioneve ligjore të autoritetit kompetent kërkues.</w:t>
            </w:r>
          </w:p>
          <w:p w:rsidR="00B61F93" w:rsidRPr="00B61F93" w:rsidRDefault="00B61F93" w:rsidP="00A87413">
            <w:pPr>
              <w:spacing w:after="0"/>
              <w:rPr>
                <w:rFonts w:ascii="Times New Roman" w:hAnsi="Times New Roman"/>
                <w:sz w:val="18"/>
                <w:szCs w:val="18"/>
                <w:lang w:val="sq-AL"/>
              </w:rPr>
            </w:pPr>
            <w:r w:rsidRPr="00B61F93">
              <w:rPr>
                <w:rFonts w:ascii="Times New Roman" w:hAnsi="Times New Roman"/>
                <w:sz w:val="18"/>
                <w:szCs w:val="18"/>
                <w:lang w:val="sq-AL"/>
              </w:rPr>
              <w:t>4. Autoriteti përgjegjës për pikën e vetëm të aksesit, autoritetet përgjegjëse për burimet e informacionit, autoritetet kompetente që përfitojnë akses, si dhe rregullat e bashkërendimit ndërinstitucional, procedurat e aksesit, përditësimit dhe kontrollit të cilësisë së të dhënave përcaktohen me vendim të Këshillit të Ministrave.</w:t>
            </w:r>
          </w:p>
          <w:p w:rsidR="006E5B5B" w:rsidRPr="00B61F93" w:rsidRDefault="00B61F93" w:rsidP="00A87413">
            <w:pPr>
              <w:spacing w:after="0"/>
              <w:rPr>
                <w:rFonts w:ascii="Times New Roman" w:hAnsi="Times New Roman"/>
                <w:sz w:val="18"/>
                <w:szCs w:val="18"/>
                <w:lang w:val="sq-AL"/>
              </w:rPr>
            </w:pPr>
            <w:r w:rsidRPr="00B61F93">
              <w:rPr>
                <w:rFonts w:ascii="Times New Roman" w:hAnsi="Times New Roman"/>
                <w:sz w:val="18"/>
                <w:szCs w:val="18"/>
                <w:lang w:val="sq-AL"/>
              </w:rPr>
              <w:t>5.  Akses në pikën e vetme të aksesit i jepet gjithashtu Autoritetit për Luftën kundër Pastrimit të Parave (AMLA), për qëllime të kryerjes së analizave të përbashkëta, në përputhje me legjislacionin kombëtar në fuqi, marrëveshjet ndërkombëtare dhe standardet e Bashkimit Evropian.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tetor 2029, shtetet anëtare duhet të njoftojnë Komisionin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Pika 5 e nenit 18 parashikon një detyrim proceduror për shtetet anëtare për njoftimin e Komisionit Evropian lidhur me karakteristikat e pikës së vetme të aksesit dhe autoritetet kompetente. Kjo dispozitë nuk kërkon transpozim normativ në legjislacionin kombëtar dhe do të zbatohet në kuadër të detyrimeve institucionale pas anëtarësimit.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karakteristikat e pikës së vetme të aksesit të përmendur në paragrafin 1, të ngritur në nivel kombëtar, duke përfshirë faqen e internetit ku mund të aksesohet;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autoriteteve kompetente të cilave u është dhënë akses në pikën e vetme të aksesit të përmendur në paragrafin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të dhënë që u është vënë në dispozicion autoriteteve kompetente krahas atyre të renditura në paragrafin 2.</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e përditësojnë këtë njoftim kur ka ndryshime në listën e autoriteteve kompetente ose në masën e aksesit të dhënë në informacion. Komisioni e vë këtë informacion, duke përfshirë çdo ndryshim të tij, në dispozicion të shteteve të tjera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2032, Komisioni i paraqet Parlamentit Evropian dhe Këshillit një raport që vlerëson kushtet, specifikimet teknike dhe procedurat për sigurimin e ndërlidhjes së sigurt dhe efikase të pikave të vetme të aksesit të përmendura në paragrafin 1. Raporti shoqërohet, sipas rastit, nga një propozim legjislativ.</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Pika 6 e nenit 18 i drejtohet Komisionit Evropian dhe parashikon raportimin e tij ndaj Parlamentit Evropian dhe Këshillit. Kjo dispozitë nuk kërkon transpozim në legjislacionin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Kapitulli III</w:t>
            </w:r>
          </w:p>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Njësitë e Inteligjencës Financiare </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19 </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Themelimi i Njësisë për Inteligjencë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ngre një NjIF me qëllim parandalimin, zbulimin dhe luftimin efektiv të pastrimit të parave dhe financimit të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Neni 14</w:t>
            </w:r>
          </w:p>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Organizimi dhe funksionimi i Agjencisë së Inteligjencës Financiare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1. Agjencia e Inteligjencës Financiare (AIF) organizohet si drejtori e përgjithshme në varësi të ministrit përgjegjës për financat dhe ushtron funksionet e autoritetit përgjegjës sipas këtij ligji. </w:t>
            </w:r>
          </w:p>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2. Marrëdhëniet e punës së drejtorit të përgjithshëm, nëpunësve dhe punonjësve administrativë rregullohen në bazë të Kodit të Punës.</w:t>
            </w:r>
          </w:p>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bCs/>
                <w:sz w:val="18"/>
                <w:szCs w:val="18"/>
                <w:lang w:val="sq-AL"/>
              </w:rPr>
              <w:t xml:space="preserve"> Drejtori i përgjithshëm i Agjencisë së Inteligjencës Financiare emërohet, lirohet ose shkarkohet nga detyra me vendim të Këshillit të Ministrave, me propozimin e ministrit përgjegjës për financat.</w:t>
            </w:r>
          </w:p>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Mënyra e organizimit dhe e funksionimit të </w:t>
            </w:r>
            <w:r w:rsidRPr="0011515C">
              <w:rPr>
                <w:rFonts w:ascii="Times New Roman" w:hAnsi="Times New Roman"/>
                <w:bCs/>
                <w:sz w:val="18"/>
                <w:szCs w:val="18"/>
                <w:lang w:val="sq-AL"/>
              </w:rPr>
              <w:t xml:space="preserve">Agjencisë së Inteligjencës Financiare </w:t>
            </w:r>
            <w:r w:rsidRPr="0011515C">
              <w:rPr>
                <w:rFonts w:ascii="Times New Roman" w:hAnsi="Times New Roman"/>
                <w:sz w:val="18"/>
                <w:szCs w:val="18"/>
                <w:lang w:val="sq-AL"/>
              </w:rPr>
              <w:t>përcaktohen me vendim të Këshillit të Ministrave.</w:t>
            </w:r>
          </w:p>
          <w:p w:rsidR="006E5B5B"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3. Në zbatim të këtij ligji, Agjencia e Inteligjencës Financiare shërben si njësi e specializuar financiare për parandalimin dhe luftën kundër pastrimit të parave, financimit të terrorizmit dhe financimin të përhapjes të armëve të dëmtimit në masë.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ngritjen e Agjencisë të Inteligjencës Financiare, i cili ushtron funksionet e autoritetit pergjegjes për parandalimin, zbulimin dhe luftimin e pastrimit të parave, financimit të terrorizmit dhe financimin e armëve të dëmtimit në masë.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është njësia e vetme qendrore kombëtare përgjegjëse për marrjen dhe analizimin e raporteve të dorëzuara nga subjektet e detyruara në përputhje me nenin 69 të Rregullores (BE) 2024/1624, të raporteve të dorëzuara nga subjektet e detyruara në përputhje me nenin 74 dhe nenin 80, paragrafi 4, nënparagrafi i dytë të asaj rregulloreje, si dhe të çdo informacioni tjetër që lidhet me pastrimin e parave, veprat penale bazë të lidhura me të ose financimin e terrorizmit, duke përfshirë informacionin e përcjellë nga autoritetet doganore në përputhje me nenin 9 të Rregullores (BE) 2018/1672, si dhe informacionin e dorëzuar nga autoritetet mbikëqyrëse ose nga autoritetet e tjera.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4. Agjencia e Inteligjencës Financiare është njësia e vetme qendrore kombëtare përgjegjëse për marrjen dhe analizimin e raportimeve të paraqitura nga subjektet e detyruara, si dhe të çdo informacioni tjetër që lidhet me pastrimin e parave, dhe të produkteve që burojnë nga veprat penale, financimin e terrorizmit dhe financimin e përhapjes së armëve të shkatërrimit në masë.</w:t>
            </w:r>
          </w:p>
          <w:p w:rsidR="0011515C" w:rsidRPr="0011515C" w:rsidRDefault="0011515C" w:rsidP="00A87413">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legjislacionin në fuqi.</w:t>
            </w:r>
          </w:p>
          <w:p w:rsidR="006E5B5B" w:rsidRPr="00F727DA" w:rsidRDefault="006E5B5B" w:rsidP="00A87413">
            <w:pPr>
              <w:widowControl w:val="0"/>
              <w:snapToGrid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përcakton AIF si njësinë e vetme qendrore kombëtare për marrjen dhe analizimin e raporteve dhe informacionit relevant për pastrimin e parave dhe financimin e terrorizmit, përfshirë informacionin nga autoritetet doganore, mbikëqyrëse dhe autoritete të tjera publike.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është përgjegjëse për shpërndarjen e rezultateve të analizave të saj dhe të çdo informacioni shtesë tek autoritetet kompetente përkatëse, kur ka arsye për të dyshuar për pastrim parash, për vepra penale bazë të lidhura me të ose për financim terrorizmi. Ajo është në gjendje të marrë informacion shtesë nga subjektet e detyruara.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11515C" w:rsidRPr="0011515C" w:rsidRDefault="0011515C" w:rsidP="00A87413">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5. Agjencia e Inteligjencës Financiare është përgjegjëse për shpërndarjen e rezultateve të analizave të saj, si dhe të çdo informacioni tjetër përkatës, pranë autoriteteve kompetente përkatëse, kur ekzistojnë dyshime të arsyeshme për pastrim parash, dhe të produkteve që burojnë nga veprat penale, financim të terrorizmit apo financimin e përhapjes të armëve të dëmtimit në masë.</w:t>
            </w:r>
          </w:p>
          <w:p w:rsidR="006E5B5B" w:rsidRPr="0011515C" w:rsidRDefault="0011515C" w:rsidP="00A87413">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Për ushtrimin e këtyre funksioneve, Agjencia e Inteligjencës Financiare ka të drejtë të kërkojë dhe të marrë informacion shtesë nga subjektet e detyruara, në përputhje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19, pika 3 të Direktivës, duke përcaktuar detyrimin e Agjencisë së Inteligjencës Financiare për shpërndarjen e të rezultateve të analizës dhe duke konsoliduar të drejtën për të kërkuar informacion shtesë nga subjektet e detyruara.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Funksioni i analizës financiare të NjIF-së konsiston në sa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11515C" w:rsidRPr="0011515C" w:rsidRDefault="0011515C" w:rsidP="00A87413">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6. Agjencia e Inteligjencës Financiare ushtron funksionin e analizës financiare, i cili përbëhet nga sa më poshtë: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11515C"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analizë operacionale me fokus te raste individuale dhe objektiva specifike ose tek informacione të përzgjedhura të përshtatshme, të prioritizuara në bazë të rrezikut, llojit dhe volumit të zbulimeve të marra dhe përdorimit të pritshëm të informacionit pas shpërndarjes;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analizën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nenin 19, pika 3, shkronjat “a” dhe “b” të Direktivës, duke përcaktuar komponentët e funksionit të analizës financiare të Agjencisë së Inteligjencës Financiare. Teksti është përshtatur për legjislacionin shqiptar duke përdorur terminologji juridike të konsoliduar dhe duke reflektuar qasjen e bazuar në rrezik, në përputhje me standardet ndërkombëtare AML/CFT dhe PF.</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analizë strategjike që adreson tendencat e pastrimit të parave dhe financimit të terrorizmit, si dhe modelet dhe evolucionin e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analizën strategjike, e cila trajton tendencat, modelet dhe zhvillimet e pastrimit të parave, financimit të terrorizmit dhe financimit të përhapjes së armëve të shkatërrimit në masë.</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NjIF është e pavarur dhe autonome në aspektin operacional, çka do të thotë se ka autoritetin dhe kapacitetin për të kryer lirisht funksionet e saj, duke përfshirë kapacitetin për të marrë vendime autonome për të analizuar, kërkuar dhe, në përputhje me paragrafin 3, shpërndarë informacione specifike. Ato janë të lira nga çdo ndikim ose ndërhyrje e panevojshme politike, qeveritare ose industriale.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NjIF ndodhet brenda strukturës ekzistuese të një autoriteti tjetër, funksionet kryesore të NjIF-së janë të pavarura dhe të ndara në aspektin operacional nga funksionet e tjera të autoritetit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63191A" w:rsidRPr="0063191A" w:rsidRDefault="0063191A" w:rsidP="00A87413">
            <w:pPr>
              <w:widowControl w:val="0"/>
              <w:spacing w:after="0" w:line="240" w:lineRule="auto"/>
              <w:rPr>
                <w:rFonts w:ascii="Times New Roman" w:hAnsi="Times New Roman"/>
                <w:sz w:val="18"/>
                <w:szCs w:val="18"/>
                <w:lang w:val="sq-AL"/>
              </w:rPr>
            </w:pPr>
            <w:r w:rsidRPr="0063191A">
              <w:rPr>
                <w:rFonts w:ascii="Times New Roman" w:hAnsi="Times New Roman"/>
                <w:sz w:val="18"/>
                <w:szCs w:val="18"/>
                <w:lang w:val="sq-AL"/>
              </w:rPr>
              <w:t>7. Agjencia e Inteligjencës Financiare ushtron kompetencat e saj në mënyrë të pavarur dhe autonome, pavarësisht nga varësia e saj institucionale. Në ushtrimin e funksioneve të parashikuara në këtë ligj, ajo ka autoritetin e plotë për të marrë vendime të pavarura lidhur me analizimin, kërkimin dhe shpërndarjen e informacionit, në përputhje me pikën 3 të këtij neni.</w:t>
            </w:r>
          </w:p>
          <w:p w:rsidR="006E5B5B" w:rsidRPr="0063191A" w:rsidRDefault="0063191A" w:rsidP="00A87413">
            <w:pPr>
              <w:widowControl w:val="0"/>
              <w:spacing w:after="0" w:line="240" w:lineRule="auto"/>
              <w:rPr>
                <w:rFonts w:ascii="Times New Roman" w:hAnsi="Times New Roman"/>
                <w:sz w:val="18"/>
                <w:szCs w:val="18"/>
                <w:lang w:val="sq-AL"/>
              </w:rPr>
            </w:pPr>
            <w:r w:rsidRPr="0063191A">
              <w:rPr>
                <w:rFonts w:ascii="Times New Roman" w:hAnsi="Times New Roman"/>
                <w:sz w:val="18"/>
                <w:szCs w:val="18"/>
                <w:lang w:val="sq-AL"/>
              </w:rPr>
              <w:t>Ndalohet çdo formë ndikimi, ndërhyrjeje apo ushtrimi presioni të papërshtatshëm politik, qeveritar ose sektorë ekonomikë, në ushtrimin e kompetencave të Agjencisë së Inteligjencës Financiare.</w:t>
            </w:r>
            <w:r w:rsidR="006E5B5B" w:rsidRPr="00F727DA">
              <w:rPr>
                <w:rFonts w:ascii="Times New Roman" w:hAnsi="Times New Roman"/>
                <w:sz w:val="18"/>
                <w:szCs w:val="18"/>
              </w:rPr>
              <w:t>.</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kërkesën e Direktivës për pavarësinë funksionale dhe ndarjen operacionale të funksioneve thelbësore të FIU-së, në rastet kur ajo funksionon brenda strukturës së një autoriteti tjetër. Formulimi është përshtatur për realitetin institucional shqiptar, duke ruajtur varësinë administrative, por duke garantuar ndarjen e plotë operacionale dhe ushtrimin e pavarur të kompetencave të Agjencisë së Inteligjencës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sigurojnë NjIF-ve të tyre burime të mjaftueshme financiare, njerëzore dhe teknike për të përmbushur detyrat përkatëse. NjIF-të kanë mundësinë të përfitojnë dhe të mobilizojnë burimet e nevojshme për kryerjen e funksioneve të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2064" w:type="dxa"/>
            <w:shd w:val="clear" w:color="auto" w:fill="auto"/>
            <w:vAlign w:val="center"/>
          </w:tcPr>
          <w:p w:rsidR="00713996" w:rsidRPr="00713996" w:rsidRDefault="00713996" w:rsidP="00A87413">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8. Agjencia e Inteligjencës Financiare pajiset me burime financiare, njerëzore dhe teknike të mjaftueshme për ushtrimin efektiv të funksioneve dhe kompetencave të parashikuara në këtë ligj.</w:t>
            </w:r>
          </w:p>
          <w:p w:rsidR="00713996" w:rsidRPr="00713996" w:rsidRDefault="00713996" w:rsidP="00A87413">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Për këtë qëllim, Agjencia e Inteligjencës Financiare ka kapacitetin për të siguruar, menaxhuar dhe përdorur në mënyrë autonome burimet e nevojshme për përmbushjen e detyrave të saj, në përputhje me legjislacionin në fuqi.</w:t>
            </w:r>
          </w:p>
          <w:p w:rsidR="006E5B5B" w:rsidRPr="00713996" w:rsidRDefault="00713996" w:rsidP="00A87413">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Mënyra e sigurimit, administrimit dhe përdorimit të këtyre burimeve, si dhe kriteret përkatëse, përcaktohen me akt nënligjor.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5 të Direktivës, duke garantuar pajisjen e FIU-së me burime financiare, njerëzore dhe teknike të mjaftueshme dhe aftësinë për t’i përdorur ato në mënyrë efektive. Formulimi është përshtatur për legjislacionin shqiptar duke deleguar rregullimin e detajuar përmes akteve nënligjore dhe duke ruajtur autonominë funksionale të Agjencisë së Inteligjencës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stafi i NjIF-ve të tyre t'u përmbahet kërkesave të sekretit profesional të barasvlershme me ato të përcaktuara në nenin 67, të zbatojë standarde të larta profesionale, duke përfshirë standardet e larta të mbrojtjes së të dhënave, si </w:t>
            </w:r>
            <w:r w:rsidRPr="00F727DA">
              <w:rPr>
                <w:rFonts w:ascii="Times New Roman" w:hAnsi="Times New Roman"/>
                <w:color w:val="000000" w:themeColor="text1"/>
                <w:sz w:val="18"/>
                <w:szCs w:val="18"/>
                <w:lang w:eastAsia="sq-AL" w:bidi="sq-AL"/>
              </w:rPr>
              <w:t>dhe të ketë integritet të lartë dhe kualifikimin e duhur në lidhje me trajtimin etik të grupeve voluminoze të të dhënave. Shtetet anëtare garantojnë që NjIF-të të kenë procedura në dispozicion për parandalimin dhe menaxhimin e konflikteve të interesit.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9. Personeli i Agjencisë së Inteligjencës Financiare i nënshtrohet detyrimit për ruajtjen e sekretit profesional, në nivel të barasvlershëm me standardet e parashikuara nga legjislacioni përkatës në fuqi.</w:t>
            </w:r>
          </w:p>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Agjencia e Inteligjencës Financiare siguron që personeli i saj të përmbushë standarde të larta profesionale, përfshirë standarde të larta për mbrojtjen e të dhënave, integritetin profesional dhe aftësitë e nevojshme për trajtimin etik dhe të sigurt të vëllimeve të mëdha të të dhënave.</w:t>
            </w:r>
          </w:p>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Agjencia e Inteligjencës Financiare vendos dhe zbaton procedura të brendshme për parandalimin, identifikimin dhe menaxhimin e konflikteve të interesit.</w:t>
            </w:r>
          </w:p>
          <w:p w:rsidR="006E5B5B"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Kriteret, procedurat dhe masat për zbatimin e kësaj pike përcaktohen me akt nënligjor.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6 të Direktivës, duke parashikuar detyrimin për sekret profesional të personelit të FIU-së, standarde të larta profesionale dhe të mbrojtjes së të dhënave, si dhe vendosjen e procedurave për parandalimin dhe menaxhimin e konflikteve të interesit. Teksti është përshtatur për legjislacionin shqiptar dhe delegon rregullimin e detajuar përmes akteve nënligjore, në përputhje me kërkesat për autonomi funksionale dhe integritet institucional të Agjencisë së Inteligjencës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rregulla në dispozicion për sigurinë dhe konfidencialitetin e informacionit.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10.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rsidR="006E5B5B"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Rregullat dhe masat përkatëse për sigurinë fizike, teknike dhe organizative të informacionit, si dhe procedurat për aksesin dhe përdorimin e tij, përcaktohen me akt nënligjor.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7 të Direktivës, duke parashikuar detyrimin e FIU-së për vendosjen dhe zbatimin e rregullave që garantojnë sigurinë dhe konfidencialitetin e informacionit. Teksti është përshtatur për legjislacionin shqiptar dhe delegon rregullimin e detajuar përmes akteve nënligjore, në përputhje me kuadrin për mbrojtjen e të dhënave dhe informacionit të ndjeshëm.</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19(8)</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kanale të sigurta dhe të mbrojtura për komunikimin dhe shkëmbimin e informacionit me anë të mjeteve elektronike me autoritetet kompetente dhe subjektet e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11. Agjencia e Inteligjencës Financiare siguron vendosjen dhe funksionimin e kanaleve të sigurta dhe të mbrojtura për komunikimin dhe shkëmbimin elektronik të informacionit me autoritetet kompetente dhe subjektet e detyruara.</w:t>
            </w:r>
          </w:p>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Këto kanale garantojnë integritetin, konfidencialitetin dhe gjurmueshmërinë e informacionit të shkëmbyer dhe përputhshmërinë me kërkesat për mbrojtjen e të dhënave dhe sigurinë e informacionit.</w:t>
            </w:r>
          </w:p>
          <w:p w:rsidR="00EA2260" w:rsidRPr="00EA2260" w:rsidRDefault="00EA2260" w:rsidP="00A87413">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Rregullat teknike dhe procedurale për krijimin, përdorimin dhe administrimin e këtyre kanaleve përcaktohen me akt nënligjor.</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8 të Direktivës, duke parashikuar detyrimin e FIU-së për të vendosur dhe përdorur kanale të sigurta dhe të mbrojtura për komunikimin elektronik dhe shkëmbimin e informacionit me autoritetet kompetente dhe subjektet e detyruara. Teksti është përshtatur për legjislacionin shqiptar dhe delegon rregullimin e detajuar përmes akteve nënligjore, në përputhje me standardet për sigurinë e informacionit dhe mbrojtjen e të dhënave.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lidhin marrëveshje me autoritete të tjera kompetente vendase sipas nenit 46 për sa i përket shkëmbimit të informacionit.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7464C8" w:rsidRDefault="007464C8" w:rsidP="00A87413">
            <w:pPr>
              <w:spacing w:after="0" w:line="240" w:lineRule="auto"/>
              <w:rPr>
                <w:rFonts w:ascii="Times New Roman" w:hAnsi="Times New Roman"/>
                <w:sz w:val="18"/>
                <w:szCs w:val="18"/>
                <w:lang w:val="sq-AL"/>
              </w:rPr>
            </w:pPr>
            <w:r w:rsidRPr="007464C8">
              <w:rPr>
                <w:rFonts w:ascii="Times New Roman" w:hAnsi="Times New Roman"/>
                <w:sz w:val="18"/>
                <w:szCs w:val="18"/>
                <w:lang w:val="sq-AL"/>
              </w:rPr>
              <w:t>12. Agjencia e Inteligjencës Financiare në ushtrim të funksioneve të saj sipas këtij ligji shkëmben informacion me prokuroritë e juridiksionit të përgjithshëm, Prokurorinë e Posaçme,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përhapjes të armëve të dëmtimit në masë. si dhe mund të nënshkruajë marrëveshje bashkëpunimi dy ose shumëpalëshe me to në përputhje me kompetencat e secilit autoritet dhe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9 të Direktivës, duke garantuar aftësinë e FIU-së për të vendosur mekanizma bashkëpunimi me autoritetet e</w:t>
            </w:r>
            <w:r w:rsidRPr="00F727DA">
              <w:rPr>
                <w:sz w:val="18"/>
                <w:szCs w:val="18"/>
              </w:rPr>
              <w:t xml:space="preserve"> </w:t>
            </w:r>
            <w:r w:rsidRPr="00F727DA">
              <w:rPr>
                <w:rFonts w:ascii="Times New Roman" w:hAnsi="Times New Roman"/>
                <w:sz w:val="18"/>
                <w:szCs w:val="18"/>
              </w:rPr>
              <w:t>tjera kompetente kombëtare për shkëmbimin e informacionit. Teksti është përshtatur për legjislacionin shqiptar, duke shmangur referencat direkte ndaj dispozitave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udhëzime adresuar NjIF-ve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7464C8" w:rsidRPr="007464C8" w:rsidRDefault="007464C8" w:rsidP="00A87413">
            <w:pPr>
              <w:widowControl w:val="0"/>
              <w:spacing w:after="0" w:line="240" w:lineRule="auto"/>
              <w:rPr>
                <w:rFonts w:ascii="Times New Roman" w:hAnsi="Times New Roman"/>
                <w:sz w:val="18"/>
                <w:szCs w:val="18"/>
                <w:lang w:val="sq-AL"/>
              </w:rPr>
            </w:pPr>
            <w:r w:rsidRPr="007464C8">
              <w:rPr>
                <w:rFonts w:ascii="Times New Roman" w:hAnsi="Times New Roman"/>
                <w:sz w:val="18"/>
                <w:szCs w:val="18"/>
                <w:lang w:val="sq-AL"/>
              </w:rPr>
              <w:t>15. Agjencia e Inteligjencës Financiare, në ushtrimin e kompetencave të saj, merr parasysh udhëzimet, standardet dhe praktikat më të mira të miratuara në nivel ndërkombëtar dhe evropian në fushën e parandalimit të pastrimit të parave, financimit të terrorizmit dhe financimit të përhapjes së armëve të shkatërrimit në masë, për aq sa këto janë të zbatueshme dhe në përputhje me legjislacionin kombëtar në fuqi.</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7464C8" w:rsidP="00A87413">
            <w:pPr>
              <w:spacing w:after="0" w:line="240" w:lineRule="auto"/>
              <w:rPr>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Por nepermjet pikes 10 te ketij neni sigurohet transpozimin substancial I kërkesave të Direktivës lidhur me udhëzimet e miratuara në nivel të Bashkimit Evropian për FIU-të, duke parashikuar marrjen në konsideratë dhe zbatimin e tyre përmes legjislacionit kombëtar. Formulimi shmang referencat direkte ndaj institucioneve të BE-së dhe garanton fleksibilitet dhe përputhshmëri të vazhdueshme me zhvillimet evropiane dhe ndërkombëtare.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që duhet të merren për ruajtjen e autonomisë dhe pavarësisë operacionale të NjIF-së, duke përfshirë masat për parandalimin e konflikteve të interesit që prekin autonominë dhe pavarësinë operacionale të saj;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 xml:space="preserve">N/A </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natyrën, karakteristikat dhe objektivat e analizës operacionale dhe strategjike;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rPr>
                <w:sz w:val="18"/>
                <w:szCs w:val="18"/>
              </w:rPr>
            </w:pPr>
            <w:r w:rsidRPr="00F727DA">
              <w:rPr>
                <w:rFonts w:ascii="Times New Roman" w:hAnsi="Times New Roman"/>
                <w:sz w:val="18"/>
                <w:szCs w:val="18"/>
              </w:rPr>
              <w:t xml:space="preserve">N/A – </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mjetet dhe metodat për përdorimin dhe kontrollin e tërthortë të informacionit financiar, administrativ dhe atij mbi zbatimin e ligjit në të cilin NjIF-të kanë akses; dhe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rPr>
                <w:sz w:val="18"/>
                <w:szCs w:val="18"/>
              </w:rPr>
            </w:pPr>
            <w:r w:rsidRPr="00F727DA">
              <w:rPr>
                <w:rFonts w:ascii="Times New Roman" w:hAnsi="Times New Roman"/>
                <w:sz w:val="18"/>
                <w:szCs w:val="18"/>
              </w:rPr>
              <w:t xml:space="preserve">N/A – </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praktikat dhe procedurat për ushtrimin e pezullimit ose mosdhënies së pëlqimit për transaksionet, si dhe për pezullimin ose monitorimin e një llogarie ose marrëdhënieje biznesi në përputhje me nenet 24 dhe 25.</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186188" w:rsidRPr="00F727DA" w:rsidTr="00E24C86">
        <w:trPr>
          <w:trHeight w:val="578"/>
        </w:trPr>
        <w:tc>
          <w:tcPr>
            <w:tcW w:w="900" w:type="dxa"/>
            <w:shd w:val="clear" w:color="auto" w:fill="auto"/>
            <w:vAlign w:val="center"/>
          </w:tcPr>
          <w:p w:rsidR="00186188" w:rsidRPr="00F727DA" w:rsidRDefault="00186188"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186188" w:rsidRPr="00F727DA" w:rsidRDefault="00186188"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186188" w:rsidRPr="00F727DA" w:rsidRDefault="00186188"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A97F43" w:rsidRPr="00A97F43" w:rsidRDefault="00A97F43" w:rsidP="00A87413">
            <w:pPr>
              <w:widowControl w:val="0"/>
              <w:snapToGrid w:val="0"/>
              <w:spacing w:after="0" w:line="240" w:lineRule="auto"/>
              <w:rPr>
                <w:rFonts w:ascii="Times New Roman" w:hAnsi="Times New Roman"/>
                <w:sz w:val="18"/>
                <w:szCs w:val="18"/>
                <w:lang w:val="sq-AL"/>
              </w:rPr>
            </w:pPr>
            <w:r w:rsidRPr="00A97F43">
              <w:rPr>
                <w:rFonts w:ascii="Times New Roman" w:hAnsi="Times New Roman"/>
                <w:sz w:val="18"/>
                <w:szCs w:val="18"/>
                <w:lang w:val="sq-AL"/>
              </w:rPr>
              <w:t>Neni 15</w:t>
            </w:r>
          </w:p>
          <w:p w:rsidR="00A97F43" w:rsidRPr="00A97F43" w:rsidRDefault="00A97F43" w:rsidP="00A87413">
            <w:pPr>
              <w:widowControl w:val="0"/>
              <w:snapToGrid w:val="0"/>
              <w:spacing w:after="0" w:line="240" w:lineRule="auto"/>
              <w:rPr>
                <w:rFonts w:ascii="Times New Roman" w:hAnsi="Times New Roman"/>
                <w:sz w:val="18"/>
                <w:szCs w:val="18"/>
                <w:lang w:val="sq-AL"/>
              </w:rPr>
            </w:pPr>
            <w:r w:rsidRPr="00A97F43">
              <w:rPr>
                <w:rFonts w:ascii="Times New Roman" w:hAnsi="Times New Roman"/>
                <w:sz w:val="18"/>
                <w:szCs w:val="18"/>
                <w:lang w:val="sq-AL"/>
              </w:rPr>
              <w:t>Strukturat TIK</w:t>
            </w:r>
          </w:p>
          <w:p w:rsidR="00186188" w:rsidRPr="00F727DA" w:rsidRDefault="00186188"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 xml:space="preserve">Agjencia e Inteligjencës Financiare, për sa i përket strukturës së teknologjisë së informacionit dhe komunikimit (TIK) që ka në përdorim, ka kompetencat e mëposhtme: </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a) ngre, mirëmban dhe administron sistemet, aplikacionet dhe infrastrukturën TIK, përfshirë edhe ato të klasifikuara si “sekret shtetëror”;</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b) administron strukturën përkatëse të punonjësve të teknologjisë së informacionit në institucion;</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c) administron kodin përkatës të çdo sistemi që përdoret për qëllime të funksionimit të institucionit;</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d) përdor, aq sa është e mundur, shkëmbimin e të dhënave në mënyrë elektronike me bazat e të dhënave të ndërlidhura në platformën qeveritare të ndërveprimit;</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dh) bashkëpunon me Agjencinë Kombëtare të Shoqërisë së Informacionit (AKSHI):</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i) duke bashkërenduar projektet në fushën shoqërisë së informacionit;</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ii) duke përdorur, aq sa është e mundur, standardet shqiptare në fushën TIK, të miratuara nga AKSHI, në përputhje me standardet ndërkombëtare, si dhe shërbimet e përqendruara të TIK-ut, për institucionet dhe organet e administratës shtetërore nën përgjegjësinë e Këshillit të Ministrave;</w:t>
            </w:r>
          </w:p>
          <w:p w:rsidR="00A97F43" w:rsidRPr="00A97F43" w:rsidRDefault="00A97F43" w:rsidP="00A87413">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iii) për të garantuar një nivel të lartë të sigurisë kibernetike dhe zgjidhjet ndaj incidenteve të sigurisë kompjuterike.</w:t>
            </w:r>
          </w:p>
          <w:p w:rsidR="00186188" w:rsidRPr="00F727DA" w:rsidRDefault="00186188"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186188" w:rsidRPr="00F727DA" w:rsidRDefault="00186188"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186188" w:rsidRPr="00F727DA" w:rsidRDefault="001A0665" w:rsidP="00A87413">
            <w:pPr>
              <w:snapToGrid w:val="0"/>
              <w:spacing w:after="0" w:line="240" w:lineRule="auto"/>
              <w:rPr>
                <w:rFonts w:ascii="Times New Roman" w:hAnsi="Times New Roman"/>
                <w:sz w:val="18"/>
                <w:szCs w:val="18"/>
              </w:rPr>
            </w:pPr>
            <w:r>
              <w:rPr>
                <w:rFonts w:ascii="Times New Roman" w:hAnsi="Times New Roman"/>
                <w:sz w:val="18"/>
                <w:szCs w:val="18"/>
              </w:rPr>
              <w:t>Shtim neni per nevoja te AIF</w:t>
            </w:r>
          </w:p>
        </w:tc>
      </w:tr>
      <w:tr w:rsidR="001A0665" w:rsidRPr="00F727DA" w:rsidTr="00E24C86">
        <w:trPr>
          <w:trHeight w:val="578"/>
        </w:trPr>
        <w:tc>
          <w:tcPr>
            <w:tcW w:w="900" w:type="dxa"/>
            <w:shd w:val="clear" w:color="auto" w:fill="auto"/>
            <w:vAlign w:val="center"/>
          </w:tcPr>
          <w:p w:rsidR="001A0665" w:rsidRPr="00F727DA" w:rsidRDefault="001A0665"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1A0665" w:rsidRPr="00F727DA" w:rsidRDefault="001A0665"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1A0665" w:rsidRPr="00F727DA" w:rsidRDefault="001A0665"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1A0665" w:rsidRPr="001A0665" w:rsidRDefault="001A0665" w:rsidP="00A87413">
            <w:pPr>
              <w:widowControl w:val="0"/>
              <w:snapToGrid w:val="0"/>
              <w:spacing w:after="0" w:line="240" w:lineRule="auto"/>
              <w:rPr>
                <w:rFonts w:ascii="Times New Roman" w:hAnsi="Times New Roman"/>
                <w:sz w:val="18"/>
                <w:szCs w:val="18"/>
                <w:lang w:val="sq-AL"/>
              </w:rPr>
            </w:pPr>
            <w:r w:rsidRPr="001A0665">
              <w:rPr>
                <w:rFonts w:ascii="Times New Roman" w:hAnsi="Times New Roman"/>
                <w:sz w:val="18"/>
                <w:szCs w:val="18"/>
                <w:lang w:val="sq-AL"/>
              </w:rPr>
              <w:t>Neni 16</w:t>
            </w:r>
          </w:p>
          <w:p w:rsidR="001A0665" w:rsidRPr="006044AD" w:rsidRDefault="001A0665" w:rsidP="00A87413">
            <w:pPr>
              <w:widowControl w:val="0"/>
              <w:snapToGrid w:val="0"/>
              <w:spacing w:after="0" w:line="240" w:lineRule="auto"/>
              <w:rPr>
                <w:rFonts w:ascii="Times New Roman" w:hAnsi="Times New Roman"/>
                <w:bCs/>
                <w:sz w:val="18"/>
                <w:szCs w:val="18"/>
                <w:lang w:val="sq-AL"/>
              </w:rPr>
            </w:pPr>
            <w:r w:rsidRPr="006044AD">
              <w:rPr>
                <w:rFonts w:ascii="Times New Roman" w:hAnsi="Times New Roman"/>
                <w:bCs/>
                <w:sz w:val="18"/>
                <w:szCs w:val="18"/>
                <w:lang w:val="sq-AL"/>
              </w:rPr>
              <w:t xml:space="preserve">Përdorimi i të dhënave </w:t>
            </w:r>
          </w:p>
          <w:p w:rsidR="001A0665" w:rsidRPr="00A97F43" w:rsidRDefault="001A0665" w:rsidP="00A87413">
            <w:pPr>
              <w:widowControl w:val="0"/>
              <w:snapToGrid w:val="0"/>
              <w:spacing w:after="0" w:line="240" w:lineRule="auto"/>
              <w:rPr>
                <w:rFonts w:ascii="Times New Roman" w:hAnsi="Times New Roman"/>
                <w:sz w:val="18"/>
                <w:szCs w:val="18"/>
                <w:lang w:val="sq-AL"/>
              </w:rPr>
            </w:pPr>
          </w:p>
        </w:tc>
        <w:tc>
          <w:tcPr>
            <w:tcW w:w="2064" w:type="dxa"/>
            <w:shd w:val="clear" w:color="auto" w:fill="auto"/>
            <w:vAlign w:val="center"/>
          </w:tcPr>
          <w:p w:rsidR="006044AD" w:rsidRPr="006044AD" w:rsidRDefault="006044AD" w:rsidP="00A87413">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Çdo informacion apo e dhënë, e dërguar nga Agjencia e Inteligjencës Financiare për organet e zbatimit të ligjit, i nënshtrohet ligjit për informacionin e klasifikuar sekret shtetëror dhe nuk përbën provë në kuptimin e Kodit të Procedurës Penale.</w:t>
            </w:r>
          </w:p>
          <w:p w:rsidR="006044AD" w:rsidRPr="006044AD" w:rsidRDefault="006044AD" w:rsidP="00A87413">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Organet ligj zbatuese informojnë Agjencia e Inteligjencës Financiare për përdorimin e informacionit apo të dhënave të dërguara kryesisht nga kjo e fundit, si dhe për rezultatet e hetimeve apo të inspektimeve të bazuara mbi të dhënat dhe informacionin e dërguar në mënyrë periodike çdo 6 (gjashtë) muaj.</w:t>
            </w:r>
          </w:p>
          <w:p w:rsidR="001A0665" w:rsidRPr="00A97F43" w:rsidRDefault="006044AD" w:rsidP="00A87413">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Informacioni apo të dhënat e dërguara në zbatim të ligjit “Për rivlerësimin kalimtar të gjyqtarëve dhe prokurorëve në Republikën e Shqipërisë” trajtohen në përputhje me parashikimet e atij ligji.</w:t>
            </w:r>
          </w:p>
        </w:tc>
        <w:tc>
          <w:tcPr>
            <w:tcW w:w="1356" w:type="dxa"/>
            <w:shd w:val="clear" w:color="auto" w:fill="auto"/>
            <w:vAlign w:val="center"/>
          </w:tcPr>
          <w:p w:rsidR="001A0665" w:rsidRPr="00F727DA" w:rsidRDefault="001A0665"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1A0665" w:rsidRDefault="001A0665"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20</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Zyrtari për të Drejtat Themelore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caktojnë një Përgjegjës për të Drejtat Themelore. Përgjegjësi për të Drejtat Themelore mund të jetë anëtar i stafit ekzistues të NjIF-së.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044AD" w:rsidRPr="006044AD" w:rsidRDefault="006044AD" w:rsidP="00A87413">
            <w:pPr>
              <w:widowControl w:val="0"/>
              <w:snapToGrid w:val="0"/>
              <w:spacing w:after="0" w:line="240" w:lineRule="auto"/>
              <w:rPr>
                <w:rFonts w:ascii="Times New Roman" w:hAnsi="Times New Roman"/>
                <w:sz w:val="18"/>
                <w:szCs w:val="18"/>
                <w:lang w:val="sq-AL"/>
              </w:rPr>
            </w:pPr>
            <w:r w:rsidRPr="006044AD">
              <w:rPr>
                <w:rFonts w:ascii="Times New Roman" w:hAnsi="Times New Roman"/>
                <w:sz w:val="18"/>
                <w:szCs w:val="18"/>
                <w:lang w:val="sq-AL"/>
              </w:rPr>
              <w:t>Neni 17</w:t>
            </w:r>
          </w:p>
          <w:p w:rsidR="006044AD" w:rsidRPr="006044AD" w:rsidRDefault="006044AD" w:rsidP="00A87413">
            <w:pPr>
              <w:widowControl w:val="0"/>
              <w:snapToGrid w:val="0"/>
              <w:spacing w:after="0" w:line="240" w:lineRule="auto"/>
              <w:rPr>
                <w:rFonts w:ascii="Times New Roman" w:hAnsi="Times New Roman"/>
                <w:sz w:val="18"/>
                <w:szCs w:val="18"/>
                <w:lang w:val="sq-AL"/>
              </w:rPr>
            </w:pPr>
            <w:r w:rsidRPr="006044AD">
              <w:rPr>
                <w:rFonts w:ascii="Times New Roman" w:hAnsi="Times New Roman"/>
                <w:sz w:val="18"/>
                <w:szCs w:val="18"/>
                <w:lang w:val="sq-AL"/>
              </w:rPr>
              <w:t>Oficeri për Garantimin e të Drejtave Themelore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Cs/>
                <w:sz w:val="18"/>
                <w:szCs w:val="18"/>
              </w:rPr>
              <w:t>1.</w:t>
            </w:r>
            <w:r w:rsidRPr="00F727DA">
              <w:rPr>
                <w:rFonts w:ascii="Times New Roman" w:hAnsi="Times New Roman"/>
                <w:sz w:val="18"/>
                <w:szCs w:val="18"/>
              </w:rPr>
              <w:t xml:space="preserve"> </w:t>
            </w:r>
            <w:r w:rsidRPr="00F727DA">
              <w:rPr>
                <w:sz w:val="18"/>
                <w:szCs w:val="18"/>
              </w:rPr>
              <w:t xml:space="preserve"> </w:t>
            </w:r>
            <w:r w:rsidRPr="00F727DA">
              <w:rPr>
                <w:rFonts w:ascii="Times New Roman" w:hAnsi="Times New Roman"/>
                <w:sz w:val="18"/>
                <w:szCs w:val="18"/>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Ky funksion mund të ushtrohet nga një anëtar i personelit ekzistues të Agjencisë.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Parashikimi i caktimit te një Përgjegjësi për të Drejtat Themelore brenda Agjencisë së Inteligjencës Financiare, siç kërkohet nga neni 20 i Direktivës.</w:t>
            </w:r>
          </w:p>
          <w:p w:rsidR="006E5B5B" w:rsidRPr="00F727DA" w:rsidRDefault="006E5B5B" w:rsidP="00A87413">
            <w:pPr>
              <w:snapToGrid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20 të Direktivës, duke parashikuar caktimin e një Oficeri për Mbrojtjen e të Drejtave Themelore brenda FIU-së si mekanizëm i brendshëm këshillimor dhe monitorues. Teksti siguron pavarësinë funksionale të këtij roli, përcakton qartë detyrat e tij dhe garanton që ushtrimi i funksioneve të mos pengojë veprimtarinë operative të FIU-së. Dispozita është përshtatur për legjislacionin shqiptar duke shmangur krijimin e strukturave të reja dhe duke lejuar ushtrimin e funksionit nga personel ekzistues, në përputhje të plotë me kërkesat e Direktivës.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2.</w:t>
            </w:r>
            <w:r w:rsidRPr="00F727DA">
              <w:rPr>
                <w:rFonts w:ascii="Times New Roman" w:hAnsi="Times New Roman"/>
                <w:sz w:val="18"/>
                <w:szCs w:val="18"/>
                <w:lang w:eastAsia="sq-AL" w:bidi="sq-AL"/>
              </w:rPr>
              <w:t xml:space="preserve"> Oficeri për Mbrojtjen e të Drejtave Themelore ushtron, në veçanti, këto detyra: detyrat si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2.</w:t>
            </w:r>
            <w:r w:rsidRPr="00F727DA">
              <w:rPr>
                <w:rFonts w:ascii="Times New Roman" w:hAnsi="Times New Roman"/>
                <w:sz w:val="18"/>
                <w:szCs w:val="18"/>
                <w:lang w:eastAsia="sq-AL" w:bidi="sq-AL"/>
              </w:rPr>
              <w:t xml:space="preserve"> Oficeri për Mbrojtjen e të Drejtave Themelore ushtron, në veçanti, këto detyra:</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Përgjegjësi për të Drejtat Themelore kryen detyrat si më poshtë: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këshillon stafin e NjIF-së për çdo veprimtari të kryer nga NjIF-ja, kur Përgjegjësi për të Drejtat Themelore e gjykon të nevojshme ose kur kërkohet nga stafi, pa penguar ose vonuar këto veprimtari;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këshillon personelin e Agjencisë së Inteligjencës Financiare për veprimtaritë e saj, kur e vlerëson të nevojshme ose me kërkesë të personelit, pa penguar ose vonuar ushtrimin e këtyre veprimtarive;</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Këshillon stafin e Agjencisë së Inteligjencës Financiare për çdo veprimtari të kryer prej saj, kur e gjykon të nevojshme ose kur kërkohet nga stafi, pa penguar ose vonuar ushtrimin e këtyre veprimtarive.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nxit dhe monitoron pajtueshmërinë e NjIF-së me të drejtat themelore;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promovon dhe monitoron përputhshmërinë e veprimtarisë së Agjencisë së Inteligjencës Financiare me të drejtat themelore;</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Nxit dhe monitoron respektimin e të drejtave themelore në veprimtarinë e  Agjencisë së Inteligjencës Financiare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jep opinione jo detyruese lidhur me pajtueshmërinë e veprimtarive të NjIF-së me të drejtat themelore;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jep opinione këshillimore, jo detyruese, mbi përputhshmërinë e veprimtarisë së Agjencisë së Inteligjencës Financiare me të drejtat themelore;</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Jep opinione jo-detyruese lidhur me pajtueshmërinë e veprimtarive të  Agjencisë së Inteligjencës Financiare  me të drejtat themelore.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informon drejtuesin e NjIF-së rreth shkeljeve të mundshme të të drejtave themelore gjatë veprimtarive TË NJIF-SË.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d) informon drejtuesin e Agjencisë së Inteligjencës Financiare për çdo rrezik ose rast të mundshëm të shkeljes së të drejtave themelore gjatë ushtrimit të veprimtarisë së saj.</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Informon drejtuesin e  Agjencisë së Inteligjencës Financiare për shkelje të mundshme të të drejtave themelore gjatë ushtrimit të veprimtarisë së saj.</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garanton që Përgjegjësi për të Drejtat Themelore të mos marrë asnjë udhëzim në lidhje me ushtrimin e detyrave të Përgjegjësit për të Drejtat Themelore.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2C0CB8" w:rsidRPr="002C0CB8" w:rsidRDefault="002C0CB8" w:rsidP="00A87413">
            <w:pPr>
              <w:widowControl w:val="0"/>
              <w:spacing w:after="0" w:line="240" w:lineRule="auto"/>
              <w:rPr>
                <w:rFonts w:ascii="Times New Roman" w:hAnsi="Times New Roman"/>
                <w:bCs/>
                <w:sz w:val="18"/>
                <w:szCs w:val="18"/>
                <w:lang w:val="sq-AL" w:eastAsia="sq-AL" w:bidi="sq-AL"/>
              </w:rPr>
            </w:pPr>
            <w:r w:rsidRPr="002C0CB8">
              <w:rPr>
                <w:rFonts w:ascii="Times New Roman" w:hAnsi="Times New Roman"/>
                <w:bCs/>
                <w:sz w:val="18"/>
                <w:szCs w:val="18"/>
                <w:lang w:val="sq-AL" w:eastAsia="sq-AL" w:bidi="sq-AL"/>
              </w:rPr>
              <w:t>3. Oficeri për Mbrojtjen e të Drejtave Themelore ushtron funksionet e tij në mënyrë të pavarur dhe nuk merr udhëzime në lidhje me ushtrimin e këtyre funksioneve.</w:t>
            </w:r>
          </w:p>
          <w:p w:rsidR="002C0CB8" w:rsidRPr="002C0CB8" w:rsidRDefault="002C0CB8" w:rsidP="00A87413">
            <w:pPr>
              <w:widowControl w:val="0"/>
              <w:spacing w:after="0" w:line="240" w:lineRule="auto"/>
              <w:rPr>
                <w:rFonts w:ascii="Times New Roman" w:hAnsi="Times New Roman"/>
                <w:bCs/>
                <w:sz w:val="18"/>
                <w:szCs w:val="18"/>
                <w:lang w:val="sq-AL" w:eastAsia="sq-AL" w:bidi="sq-AL"/>
              </w:rPr>
            </w:pPr>
            <w:r w:rsidRPr="002C0CB8">
              <w:rPr>
                <w:rFonts w:ascii="Times New Roman" w:hAnsi="Times New Roman"/>
                <w:bCs/>
                <w:sz w:val="18"/>
                <w:szCs w:val="18"/>
                <w:lang w:val="sq-AL" w:eastAsia="sq-AL" w:bidi="sq-AL"/>
              </w:rPr>
              <w:t>4. Ushtrimi i funksioneve të Oficerit për Mbrojtjen e të Drejtave Themelore nuk pengon, nuk vonon dhe nuk ndërhyn në veprimtarinë operative të Agjencisë së Inteligjencës Financiare.</w:t>
            </w:r>
          </w:p>
          <w:p w:rsidR="002C0CB8" w:rsidRPr="002C0CB8" w:rsidRDefault="002C0CB8" w:rsidP="00A87413">
            <w:pPr>
              <w:widowControl w:val="0"/>
              <w:spacing w:after="0" w:line="240" w:lineRule="auto"/>
              <w:rPr>
                <w:rFonts w:ascii="Times New Roman" w:hAnsi="Times New Roman"/>
                <w:b/>
                <w:bCs/>
                <w:sz w:val="18"/>
                <w:szCs w:val="18"/>
                <w:lang w:val="sq-AL" w:eastAsia="sq-AL" w:bidi="sq-AL"/>
              </w:rPr>
            </w:pPr>
            <w:r w:rsidRPr="002C0CB8">
              <w:rPr>
                <w:rFonts w:ascii="Times New Roman" w:hAnsi="Times New Roman"/>
                <w:bCs/>
                <w:sz w:val="18"/>
                <w:szCs w:val="18"/>
                <w:lang w:val="sq-AL" w:eastAsia="sq-AL" w:bidi="sq-AL"/>
              </w:rPr>
              <w:t>5. Mënyra e caktimit, statusi funksional, kriteret e pavarësisë dhe procedurat e ushtrimit të kompetencave të Oficerit për Mbrojtjen e të Drejtave Themelore përcaktohen me akt nënligjor</w:t>
            </w:r>
            <w:r w:rsidRPr="002C0CB8">
              <w:rPr>
                <w:rFonts w:ascii="Times New Roman" w:hAnsi="Times New Roman"/>
                <w:b/>
                <w:bCs/>
                <w:sz w:val="18"/>
                <w:szCs w:val="18"/>
                <w:lang w:val="sq-AL" w:eastAsia="sq-AL" w:bidi="sq-AL"/>
              </w:rPr>
              <w:t>.</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Përgjegjësi për të Drejtat Themelore ushtron detyrat e tij në mënyrë të pavarur dhe nuk merr asnjë udhëzim në lidhje me ushtrimin e këtyre detyrave.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21</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Akses në informacion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pavarësisht nga statusi i tyre organizativ, të kenë akses në informacionin që u nevojitet për të përmbushur detyrat e tyre, duke përfshirë informacionin financiar, administrativ dhe atë mbi zbatimin e ligjit. </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të paktën: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2C0CB8" w:rsidRPr="002C0CB8" w:rsidRDefault="002C0CB8" w:rsidP="00A87413">
            <w:pPr>
              <w:pStyle w:val="NormalWeb"/>
              <w:spacing w:before="0" w:beforeAutospacing="0" w:after="0" w:afterAutospacing="0"/>
              <w:rPr>
                <w:b/>
                <w:bCs/>
                <w:sz w:val="18"/>
                <w:szCs w:val="18"/>
                <w:lang w:val="sq-AL"/>
              </w:rPr>
            </w:pPr>
            <w:r w:rsidRPr="002C0CB8">
              <w:rPr>
                <w:rFonts w:eastAsia="Calibri"/>
                <w:bCs/>
                <w:sz w:val="18"/>
                <w:szCs w:val="18"/>
                <w:lang w:val="sq-AL"/>
              </w:rPr>
              <w:t>Neni18</w:t>
            </w:r>
            <w:r w:rsidRPr="002C0CB8">
              <w:rPr>
                <w:rFonts w:eastAsia="Calibri"/>
                <w:bCs/>
                <w:sz w:val="18"/>
                <w:szCs w:val="18"/>
                <w:lang w:val="sq-AL"/>
              </w:rPr>
              <w:br/>
              <w:t>Aksesi në informacion</w:t>
            </w:r>
          </w:p>
          <w:p w:rsidR="002C0CB8" w:rsidRPr="002C0CB8" w:rsidRDefault="002C0CB8" w:rsidP="00A87413">
            <w:pPr>
              <w:pStyle w:val="NormalWeb"/>
              <w:spacing w:before="0" w:beforeAutospacing="0" w:after="0" w:afterAutospacing="0"/>
              <w:rPr>
                <w:rFonts w:eastAsia="Calibri"/>
                <w:bCs/>
                <w:sz w:val="18"/>
                <w:szCs w:val="18"/>
                <w:lang w:val="sq-AL"/>
              </w:rPr>
            </w:pPr>
          </w:p>
          <w:p w:rsidR="006E5B5B" w:rsidRPr="00F727DA" w:rsidRDefault="002C0CB8" w:rsidP="00A87413">
            <w:pPr>
              <w:spacing w:after="0" w:line="240" w:lineRule="auto"/>
              <w:jc w:val="center"/>
              <w:rPr>
                <w:rFonts w:ascii="Times New Roman" w:hAnsi="Times New Roman"/>
                <w:sz w:val="18"/>
                <w:szCs w:val="18"/>
              </w:rPr>
            </w:pPr>
            <w:r w:rsidRPr="002C0CB8">
              <w:rPr>
                <w:rFonts w:ascii="Times New Roman" w:hAnsi="Times New Roman"/>
                <w:bCs/>
                <w:sz w:val="18"/>
                <w:szCs w:val="18"/>
              </w:rPr>
              <w:t xml:space="preserve"> </w:t>
            </w: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1.</w:t>
            </w:r>
            <w:r w:rsidRPr="00F727DA">
              <w:rPr>
                <w:rFonts w:eastAsia="Calibri"/>
                <w:sz w:val="18"/>
                <w:szCs w:val="18"/>
                <w:lang w:val="en-GB" w:eastAsia="ar-SA"/>
              </w:rPr>
              <w:t xml:space="preserve"> Agjencia e Inteligjencës Financiare, pavarësisht statusit të saj organizativ, ka akses në informacionin e nevojshëm për përmbushjen e detyrave dhe funksioneve të saj, përfshirë informacion financiar, informacion administrativ dhe informacion që disponohet nga autoritetet ligjzbatuese, në përputhje me legjislacionin në fuqi.</w:t>
            </w: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Agjencia e Inteligjencës Financiare ka akses në kategoritë e mëposhtme të informacionit:</w:t>
            </w:r>
          </w:p>
          <w:p w:rsidR="006E5B5B" w:rsidRPr="00F727DA" w:rsidRDefault="006E5B5B" w:rsidP="00A87413">
            <w:pPr>
              <w:pStyle w:val="NormalWeb"/>
              <w:spacing w:before="0" w:beforeAutospacing="0" w:after="0" w:afterAutospacing="0"/>
              <w:rPr>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të Direktivës, duke garantuar të drejtën e Agjencisë së Inteligjencës Financiare për akses të menjëhershëm dhe të drejtpërdrejtë në informacionin financiar, administrativ dhe informacionin e disponuar nga autoritetet ligjzbatuese, të nevojshëm për ushtrimin e funksioneve të saj analitike. Teksti është përshtatur për legjislacionin shqiptar duke ruajtur ndarjen ndërmjet funksioneve analitike dhe atyre hetimore, duke respektuar kuadrin për mbrojtjen e të dhënave dhe informacionit, si dhe duke deleguar vetëm aspektet procedurale dhe teknike përmes akteve nënligjore.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menjëhershëm dhe të drejtpërdrejtë në informacionin financiar si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a)</w:t>
            </w:r>
            <w:r w:rsidRPr="00F727DA">
              <w:rPr>
                <w:rFonts w:eastAsia="Calibri"/>
                <w:sz w:val="18"/>
                <w:szCs w:val="18"/>
                <w:lang w:val="en-GB" w:eastAsia="ar-SA"/>
              </w:rPr>
              <w:t xml:space="preserve"> akses të menjëhershëm dhe të drejtpërdrejtë në informacionin financiar si më poshtë: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2C0CB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mekanizmat e centralizuar automatikë kombëtarë në përputhje me nenin 16;</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2C0CB8" w:rsidRDefault="002C0CB8" w:rsidP="00A87413">
            <w:pPr>
              <w:pStyle w:val="NormalWeb"/>
              <w:spacing w:before="0" w:beforeAutospacing="0" w:after="0" w:afterAutospacing="0"/>
              <w:rPr>
                <w:bCs/>
                <w:sz w:val="18"/>
                <w:szCs w:val="18"/>
                <w:lang w:val="sq-AL" w:eastAsia="sq-AL" w:bidi="sq-AL"/>
              </w:rPr>
            </w:pPr>
            <w:r w:rsidRPr="002C0CB8">
              <w:rPr>
                <w:rFonts w:eastAsia="Calibri"/>
                <w:bCs/>
                <w:sz w:val="18"/>
                <w:szCs w:val="18"/>
                <w:lang w:val="sq-AL" w:eastAsia="sq-AL" w:bidi="sq-AL"/>
              </w:rPr>
              <w:t>i) informacionin qe administrohet në mekanizmat kombëtarë të automatizuar dhe të centralizuar të mbajtjes dhe përpunimit të të dhënave financiare mbi llogaritë bankare dhe marrëdhëniet përkatëse financiare, në përputhje me legjislacionin në fuqi dhe sipas përcaktimeve të këtij ligji;</w:t>
            </w:r>
          </w:p>
        </w:tc>
        <w:tc>
          <w:tcPr>
            <w:tcW w:w="1356" w:type="dxa"/>
            <w:shd w:val="clear" w:color="auto" w:fill="auto"/>
            <w:vAlign w:val="center"/>
          </w:tcPr>
          <w:p w:rsidR="006E5B5B" w:rsidRPr="00F727DA" w:rsidRDefault="002C0CB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Referenca ndaj nenit 16 të Direktivës është transpozuar në mënyrë funksionale përmes përcaktimit të aksesit të FIU-së në mekanizmat kombëtarë të automatizuar dhe të centralizuar të informacionit financiar, duke shmangur citimin e drejtpërdrejtë të dispozitave të së drejtës së Bashkimit Evropian, në përputhje me teknikën legjislative kombëtare.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nga subjektet e detyruara, duke përfshirë informacionin mbi transferimet e fondeve siç përcaktohet në nenin 3, paragrafi 9 të Rregullores (BE) 2023/1113 dhe mbi transferimet e kriptoaseteve siç përcaktohet në nenin 3, paragrafi 10 të kësaj rregulloreje;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b/>
                <w:bCs/>
                <w:sz w:val="18"/>
                <w:szCs w:val="18"/>
                <w:lang w:val="en-GB" w:eastAsia="sq-AL" w:bidi="sq-AL"/>
              </w:rPr>
            </w:pPr>
          </w:p>
          <w:p w:rsidR="006E5B5B" w:rsidRPr="00F727DA" w:rsidRDefault="006E5B5B" w:rsidP="00A87413">
            <w:pPr>
              <w:pStyle w:val="NormalWeb"/>
              <w:spacing w:before="0" w:beforeAutospacing="0" w:after="0" w:afterAutospacing="0"/>
              <w:rPr>
                <w:sz w:val="18"/>
                <w:szCs w:val="18"/>
              </w:rPr>
            </w:pPr>
            <w:r w:rsidRPr="00F727DA">
              <w:rPr>
                <w:rFonts w:eastAsia="Calibri"/>
                <w:b/>
                <w:bCs/>
                <w:sz w:val="18"/>
                <w:szCs w:val="18"/>
                <w:lang w:val="en-GB" w:eastAsia="sq-AL" w:bidi="sq-AL"/>
              </w:rPr>
              <w:t>ii)</w:t>
            </w:r>
            <w:r w:rsidRPr="00F727DA">
              <w:rPr>
                <w:rFonts w:eastAsia="Calibri"/>
                <w:sz w:val="18"/>
                <w:szCs w:val="18"/>
                <w:lang w:val="en-GB" w:eastAsia="sq-AL" w:bidi="sq-AL"/>
              </w:rPr>
              <w:t xml:space="preserve"> informacionin nga subjektet e detyruara, përfshirë informacionin mbi transferet e fondeve dhe transferet e kripto-aseteve, sipas përcaktimeve të këtij ligji dhe legjislacionit përkatës në fuqi;</w:t>
            </w:r>
          </w:p>
        </w:tc>
        <w:tc>
          <w:tcPr>
            <w:tcW w:w="1356" w:type="dxa"/>
            <w:shd w:val="clear" w:color="auto" w:fill="auto"/>
            <w:vAlign w:val="center"/>
          </w:tcPr>
          <w:p w:rsidR="006E5B5B" w:rsidRPr="00F727DA" w:rsidRDefault="002C0CB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marrjen e informacionit nga subjektet e detyruara, përfshirë informacionin mbi transferimet e fondeve. Si dhe marrjen e informacionit mbi transferimet e kriptoaseteve dhe nuk përfshin kërkesat përkatëse sipas Rregullores (BE) 2023/1113, siç kërkohet nga neni 21(1)(ii) i Direktivës.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1881"/>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hipotekat dhe huatë;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sz w:val="18"/>
                <w:szCs w:val="18"/>
              </w:rPr>
            </w:pPr>
            <w:r w:rsidRPr="00F727DA">
              <w:rPr>
                <w:rFonts w:eastAsia="Calibri"/>
                <w:b/>
                <w:bCs/>
                <w:sz w:val="18"/>
                <w:szCs w:val="18"/>
                <w:lang w:val="en-GB" w:eastAsia="sq-AL" w:bidi="sq-AL"/>
              </w:rPr>
              <w:t>iii)</w:t>
            </w:r>
            <w:r w:rsidRPr="00F727DA">
              <w:rPr>
                <w:rFonts w:eastAsia="Calibri"/>
                <w:sz w:val="18"/>
                <w:szCs w:val="18"/>
                <w:lang w:val="en-GB" w:eastAsia="sq-AL" w:bidi="sq-AL"/>
              </w:rPr>
              <w:t xml:space="preserve"> informacionin </w:t>
            </w:r>
            <w:r w:rsidRPr="00F727DA">
              <w:rPr>
                <w:sz w:val="18"/>
                <w:szCs w:val="18"/>
              </w:rPr>
              <w:t>mbi regjistrat publikë dhe bazat e të dhënave që përmbajnë pasuritë, të drejtat reale, kontratat dhe detyrimet financiare, duke përfshirë hipotekat dhe huatë</w:t>
            </w:r>
            <w:r w:rsidRPr="00F727DA">
              <w:rPr>
                <w:rFonts w:eastAsia="Calibri"/>
                <w:sz w:val="18"/>
                <w:szCs w:val="18"/>
                <w:lang w:val="en-GB" w:eastAsia="sq-AL" w:bidi="sq-AL"/>
              </w:rPr>
              <w: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regjistrat publikë dhe bazat e të dhënave që përmbajnë informacion mbi pasuritë, të drejtat reale, kontratat dhe detyrimet financiare, duke përfshirë hipotekat dhe huatë, në përputhje me kërkesat e nenit 21(1)(iii)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të monedhës kombëtare dhe këmbimit valutor;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iv) informacionin e përmbajtur në bazat kombëtare të të dhënave financiare dhe valutore të administruara nga institucionet publike, përfshirë informacionin mbi transaksionet e monedhës kombëtare dhe këmbimit valutor,</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bazat e të dhënave financiare dhe valutore të administruara nga institucionet publike, përfshirë informacionin mbi transaksionet e monedhës kombëtare dhe këmbimit valutor, në përputhje me nenin 21(1)(iv)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titujt;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v)</w:t>
            </w:r>
            <w:r w:rsidRPr="00F727DA">
              <w:rPr>
                <w:rFonts w:eastAsia="Calibri"/>
                <w:sz w:val="18"/>
                <w:szCs w:val="18"/>
                <w:lang w:val="en-GB" w:eastAsia="sq-AL" w:bidi="sq-AL"/>
              </w:rPr>
              <w:t xml:space="preserve"> informacionin </w:t>
            </w:r>
            <w:r w:rsidRPr="00F727DA">
              <w:rPr>
                <w:sz w:val="18"/>
                <w:szCs w:val="18"/>
              </w:rPr>
              <w:t xml:space="preserve">në bazat e të dhënave dhe regjistrat financiarë të administruar nga institucionet publike, duke përfshirë informacionin mbi titujt, </w:t>
            </w:r>
            <w:r w:rsidRPr="00F727DA">
              <w:rPr>
                <w:rFonts w:eastAsia="Calibri"/>
                <w:sz w:val="18"/>
                <w:szCs w:val="18"/>
                <w:lang w:val="en-GB" w:eastAsia="sq-AL" w:bidi="sq-AL"/>
              </w:rPr>
              <w:t>instrumentet e tregut të kapitaleve dhe letrat me vlerë.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bazat e të dhënave dhe regjistrat financiarë të administruar nga institucionet publike, duke përfshirë informacionin mbi titujt, në përputhje me kërkesat e nenit 21(1)(v)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menjëhershëm dhe të drejtpërdrejtë në informacionin administrativ si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eastAsia="Times New Roman" w:hAnsi="Times New Roman"/>
                <w:b/>
                <w:bCs/>
                <w:sz w:val="18"/>
                <w:szCs w:val="18"/>
                <w:lang w:val="en-US" w:eastAsia="en-US"/>
              </w:rPr>
              <w:t>b)</w:t>
            </w:r>
            <w:r w:rsidRPr="00F727DA">
              <w:rPr>
                <w:rFonts w:ascii="Times New Roman" w:eastAsia="Times New Roman" w:hAnsi="Times New Roman"/>
                <w:sz w:val="18"/>
                <w:szCs w:val="18"/>
                <w:lang w:val="en-US" w:eastAsia="en-US"/>
              </w:rPr>
              <w:t xml:space="preserve"> akses të menjëhershëm dhe të drejtpërdrejtë në informacionin administrativ si më poshtë: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menjëhershëm dhe të drejtpërdrejtë të  Autoritetit të Përgjegjës   në një gamë të gjerë informacioni administrativ të administruar nga institucionet publike, përfshirë regjistrat civilë, gjyqësorë, fiskalë dhe të pronësisë, në përputhje me kërkesat e nenit 21(1)(b)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fiskale, duke përfshirë të dhënat e zotëruara nga autoritetet tatimore dhe autoritetet e të ardhurave, si dhe të dhënat e përftuara në përputhje me nenin 8, paragrafi 3a të Direktivës së Këshillit 2011/16/BE (40</w:t>
            </w:r>
            <w:r w:rsidRPr="00F727DA">
              <w:rPr>
                <w:rStyle w:val="FootnoteReference"/>
                <w:rFonts w:ascii="Times New Roman" w:hAnsi="Times New Roman"/>
                <w:sz w:val="18"/>
                <w:szCs w:val="18"/>
                <w:lang w:eastAsia="sq-AL" w:bidi="sq-AL"/>
              </w:rPr>
              <w:footnoteReference w:id="7"/>
            </w:r>
            <w:r w:rsidRPr="00F727DA">
              <w:rPr>
                <w:rFonts w:ascii="Times New Roman" w:hAnsi="Times New Roman"/>
                <w:sz w:val="18"/>
                <w:szCs w:val="18"/>
                <w:lang w:eastAsia="sq-AL" w:bidi="sq-AL"/>
              </w:rPr>
              <w:t xml:space="preserve"> );</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rPr>
              <w:t>i)</w:t>
            </w:r>
            <w:r w:rsidRPr="00F727DA">
              <w:rPr>
                <w:rFonts w:ascii="Times New Roman" w:hAnsi="Times New Roman"/>
                <w:sz w:val="18"/>
                <w:szCs w:val="18"/>
              </w:rPr>
              <w:t xml:space="preserve">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(i) të Direktivës, duke garantuar aksesin e FIU-së në të dhëna fiskale të administruara nga autoritetet tatimore dhe autoritetet përgjegjëse për administrimin e të ardhurave publike, si dhe në të dhëna të përftuara përmes mekanizmave të shkëmbimit automatik të informacionit për qëllime tatimore. Formulimi ruan terminologjinë materiale të Direktivës dhe është përshtatur në përputhje me teknikën legjislative kombëtare.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procedurat e prokurimit publik për mallra apo shërbime, ose koncesione;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rPr>
              <w:t>ii)</w:t>
            </w:r>
            <w:r w:rsidRPr="00F727DA">
              <w:rPr>
                <w:rFonts w:ascii="Times New Roman" w:hAnsi="Times New Roman"/>
                <w:sz w:val="18"/>
                <w:szCs w:val="18"/>
              </w:rPr>
              <w:t xml:space="preserve"> informacion mbi procedurat e prokurimit publik për mallra ose shërbime, si dhe mbi kontratat koncesionare ose format e tjera të partneritetit publik-privat, në përputhje me legjislacionin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informacionin e administruar nga institucionet publike, përfshirë regjistrat dhe bazat e të dhënave që lidhen me procedurat e prokurimit publik, kontratat për mallra dhe shërbime, si dhe koncesionet, në përputhje me nenin 21(1)(b)(ii)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nga BARIS siç përmendet në nenin 16, si dhe nga regjistrat kombëtarë të pasurive të paluajtshme ose sistemet elektronike të rikuperimit të të dhënave dhe nga regjistrat e tokave dhe atyre kadastralë;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2C0CB8" w:rsidRDefault="002C0CB8" w:rsidP="00A87413">
            <w:pPr>
              <w:widowControl w:val="0"/>
              <w:spacing w:after="0" w:line="240" w:lineRule="auto"/>
              <w:rPr>
                <w:rFonts w:ascii="Times New Roman" w:hAnsi="Times New Roman"/>
                <w:sz w:val="18"/>
                <w:szCs w:val="18"/>
                <w:lang w:val="sq-AL"/>
              </w:rPr>
            </w:pPr>
            <w:r w:rsidRPr="002C0CB8">
              <w:rPr>
                <w:rFonts w:ascii="Times New Roman" w:hAnsi="Times New Roman"/>
                <w:sz w:val="18"/>
                <w:szCs w:val="18"/>
                <w:lang w:val="sq-AL"/>
              </w:rPr>
              <w:t>iii) informacionin e përmbajtur në Regjistrin e centralizuar të llogarive bankare si edhe parashikohet në ligjin për regjistrin e centralizuar të llogarive bankare, si dhe informacionin e mbajtur në regjistrat kombëtarë të pasurive të paluajtshme ose në sisteme elektronike të marrjes së të dhënave, përfshirë regjistrat e tokës dhe regjistrat kadastralë;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(iii) të Direktivës, duke garantuar aksesin e menjëhershëm dhe të drejtpërdrejtë të FIU-së në informacionin e përmbajtur në Regjistrin e centralizuar të llogarive bankare, si dhe në informacionin e regjistrave të pasurive të paluajtshme, regjistrave të tokës dhe regjistrave kadastralë. Referenca ndaj sistemit BARIS është transpozuar përmes terminologjisë kombëtare përkatëse, në përputhje me teknikën legjislative shqiptare.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shtetësisë dhe popullsisë për personat fizikë;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iv) informacionin e përmbajtur në regjistrat kombëtarë të shtetësisë dhe gjendjes civile të individëve;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regjistrin e gjendjes civile dhe në të dhënat identifikuese të personave fizikë, duke përfshirë informacionin mbi shtetësinë dhe popullsinë, në përputhje me nenin 21(1)(b)(iv)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pasaportave dhe të vizave;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v) informacionin e përmbajtur në regjistrat kombëtarë të pasaportave dhe vizave, përmes aksesit në të dhënat e dokumenteve të identifikimit dhe regjistrin e të huajve;</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e pasaportave dhe vizave, përmes aksesit në të dhënat e dokumenteve të identifikimit dhe regjistrin e të huajve, në përputhje me nenin 21(1)(b)(v)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të udhëtimeve ndërkufitare;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vi) informacionin e përmbajtur në bazat e të dhënave për udhëtimet ndërkufitare nëpermjet aksesit ne rregjistrat dhe të dhënat për hyrje–daljet në kufi dhe në bazat e të dhënave të administruara nga autoritetet perkatese;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të dhënat për hyrje–daljet në kufi dhe në bazat e të dhënave të administruara nga autoritetet perkatese, duke përmbushur kërkesat e nenit 21(1)(b)(vi)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tregtare, duke përfshirë regjistrat e bizneseve dhe shoqërive dhe bazat e të dhënave për personat e ekspozuar politikisht;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vii) informacionin e përmbajtur në bazat e të dhënave tregtare, përfshirë regjistrat e biznesit dhe të shoqërive tregtare, si dhe bazat e të dhënave për personat e ekspozuar politikisht;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Autoritetit në regjistrat e bizneseve dhe shoqërive dhe në të dhëna tregtare, si dhe akses në një bazë të dhënash të strukturuar për personat e ekspozuar politikisht, siç kërkohet nga neni 21(1)(b)(vii) i Direktivës.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21(1)(b)(viii)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mjeteve motorike, mjeteve ajrore dhe mjeteve ujore;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2C0CB8"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viii)</w:t>
            </w:r>
            <w:r w:rsidRPr="00F727DA">
              <w:rPr>
                <w:rFonts w:eastAsia="Calibri"/>
                <w:sz w:val="18"/>
                <w:szCs w:val="18"/>
                <w:lang w:val="en-GB" w:eastAsia="ar-SA"/>
              </w:rPr>
              <w:t xml:space="preserve"> informacionin e përmbajtur në regjistrat kombëtarë të mjeteve motorike, të mjeteve ajrore dhe të mjeteve lundruese;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kombëtarë të mjeteve motorike dhe në regjistra publikë që përmbajnë informacion mbi pasuri të luajtshme, duke përfshirë mjetet ajrore dhe ujore, në përputhje me nenin 21(1)(b)(viii)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21(1)(b)(ix)</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sigurimeve shoqërore;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2C0CB8"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ix)</w:t>
            </w:r>
            <w:r w:rsidRPr="00F727DA">
              <w:rPr>
                <w:rFonts w:eastAsia="Calibri"/>
                <w:sz w:val="18"/>
                <w:szCs w:val="18"/>
                <w:lang w:val="en-GB" w:eastAsia="ar-SA"/>
              </w:rPr>
              <w:t xml:space="preserve"> informacionin e përmbajtur në regjistrat kombëtarë të sigurimeve shoqërore;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informacionin e administruar nga institucionet publike, përfshirë regjistrat kombëtarë të sigurimeve shoqërore, në përputhje me nenin 21(1)(b)(ix)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doganore, duke përfshirë transferimet fizike ndërkufitare të parave;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 të dhëna doganore, përfshirë informacionin mbi transferet ndërkufitare fizike të parave në dorë;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të dhënat doganore, duke përfshirë informacionin mbi transferimet fizike ndërkufitare të parave, në përputhje me nenin 21(1)(b)(x)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armëve;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xi)</w:t>
            </w:r>
            <w:r w:rsidRPr="00F727DA">
              <w:rPr>
                <w:rFonts w:eastAsia="Calibri"/>
                <w:sz w:val="18"/>
                <w:szCs w:val="18"/>
                <w:lang w:val="en-GB" w:eastAsia="ar-SA"/>
              </w:rPr>
              <w:t xml:space="preserve"> informacionin e përmbajtur në regjistrat kombëtarë të armëve dhe municioneve;</w:t>
            </w:r>
          </w:p>
          <w:p w:rsidR="006E5B5B" w:rsidRPr="00F727DA" w:rsidRDefault="006E5B5B" w:rsidP="00A87413">
            <w:pPr>
              <w:pStyle w:val="NormalWeb"/>
              <w:spacing w:before="0" w:beforeAutospacing="0" w:after="0" w:afterAutospacing="0"/>
              <w:rPr>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publikë të administruar nga institucionet kompetente, përfshirë regjistrin kombëtarë të armëve, në përputhje me nenin 21(1)(b)(xi)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pronësisë përfituese;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xii) informacionin e përmbajtur në regjistrin kombëtar të pronarëve përfitues;</w:t>
            </w:r>
          </w:p>
          <w:p w:rsidR="006E5B5B" w:rsidRPr="00F727DA" w:rsidRDefault="006E5B5B" w:rsidP="00A87413">
            <w:pPr>
              <w:pStyle w:val="NormalWeb"/>
              <w:spacing w:before="0" w:beforeAutospacing="0" w:after="0" w:afterAutospacing="0"/>
              <w:rPr>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regjistrin e pronareve perfitues, në përputhje me nenin 21(1)(b)(xiI)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disponueshme nëpërmjet ndërlidhjes së regjistrave qendrorë në përputhje me nenin 10, paragrafi 19;</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xiii) të dhëna të disponueshme përmes mekanizmave të ndërlidhjes së regjistrave qendrorë kombëtarë, në përputhje me ligjin per rregjistriin e pronareve perfitues;</w:t>
            </w:r>
          </w:p>
          <w:p w:rsidR="006E5B5B" w:rsidRPr="00F727DA" w:rsidRDefault="006E5B5B" w:rsidP="00A87413">
            <w:pPr>
              <w:pStyle w:val="NormalWeb"/>
              <w:spacing w:before="0" w:beforeAutospacing="0" w:after="0" w:afterAutospacing="0"/>
              <w:rPr>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Shqipëria ka ngritur regjistra qendrorë kombëtarë dhe Autoriteti ka akses të drejtpërdrejtë në këto regjistra. Ndërlidhja e regjistrave qendrorë sipas nenit 10(19) të Direktivës lidhet me mekanizma të BE-së dhe nuk është e drejtpërdrejt e aplikueshme për Shqipërinë në këtë fazë.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e organizatave jofitimprurëse;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xiv)</w:t>
            </w:r>
            <w:r w:rsidRPr="00F727DA">
              <w:rPr>
                <w:rFonts w:eastAsia="Calibri"/>
                <w:sz w:val="18"/>
                <w:szCs w:val="18"/>
                <w:lang w:val="en-GB" w:eastAsia="ar-SA"/>
              </w:rPr>
              <w:t xml:space="preserve"> informacionin e përmbajtur në regjistrat e organizatave jofitimprurëse.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nr. 9917/2008 parashikon akses të drejtpërdrejtë dhe pa pagesë të Autoritetit të Përgjegjshëm në regjistrat publikë të administruar nga institucionet kompetente, përfshirë regjistrat e organizatave jofitimprurëse, në përputhje me nenin 21(1)(b)(xiv)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zotërohet nga mbikëqyrësit financiarë dhe autoritetet rregullatore kombëtare, në përputhje me nenin 61 dhe nenin 67, paragrafi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2C0CB8" w:rsidRDefault="002C0CB8" w:rsidP="00A87413">
            <w:pPr>
              <w:widowControl w:val="0"/>
              <w:spacing w:after="0" w:line="240" w:lineRule="auto"/>
              <w:rPr>
                <w:rFonts w:ascii="Times New Roman" w:hAnsi="Times New Roman"/>
                <w:sz w:val="18"/>
                <w:szCs w:val="18"/>
                <w:lang w:val="sq-AL"/>
              </w:rPr>
            </w:pPr>
            <w:r w:rsidRPr="002C0CB8">
              <w:rPr>
                <w:rFonts w:ascii="Times New Roman" w:hAnsi="Times New Roman"/>
                <w:sz w:val="18"/>
                <w:szCs w:val="18"/>
                <w:lang w:val="sq-AL"/>
              </w:rPr>
              <w:t>xv) informacionin e disponuar nga autoritetet kombëtare mbikëqyrëse dhe rregullatore financiare, në përputhje me kuadrin ligjor në fuqi;</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Aksesimi dhe shkëmbimi i informacionit ndërmjet Autoritetit dhe mbikëqyrësve financiarë dhe autoriteteve rregullatore parashikohet në ligj duke garantuar që informacioni i nevojshëm për qëllime AML/CFT të vihet në dispozicion të AIF.</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bazat e të dhënave ku ruhen të dhënat për tregtimin e emetimeve të CO2, të ngritura në përputhje me Rregulloren e Komisionit (BE) nr. 389/2013 (41</w:t>
            </w:r>
            <w:r w:rsidRPr="00F727DA">
              <w:rPr>
                <w:rStyle w:val="FootnoteReference"/>
                <w:rFonts w:ascii="Times New Roman" w:hAnsi="Times New Roman"/>
                <w:sz w:val="18"/>
                <w:szCs w:val="18"/>
                <w:lang w:eastAsia="sq-AL" w:bidi="sq-AL"/>
              </w:rPr>
              <w:footnoteReference w:id="8"/>
            </w:r>
            <w:r w:rsidRPr="00F727DA">
              <w:rPr>
                <w:rFonts w:ascii="Times New Roman" w:hAnsi="Times New Roman"/>
                <w:sz w:val="18"/>
                <w:szCs w:val="18"/>
                <w:lang w:eastAsia="sq-AL" w:bidi="sq-AL"/>
              </w:rPr>
              <w:t xml:space="preserve"> );</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xvi) informacionin e përmbajtur në bazat e të dhënave për tregtimin e kuotave të emetimeve të dioksidit të karbonit (CO₂), të krijuara dhe të administruara sipas legjislacionit përkatës;</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2C0CB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lidhet me bazat e të dhënave për tregtimin e kuotave të emetimeve të CO₂, të ngritura në kuadër të sistemit të Bashkimit Evropian për tregtimin e emetimeve (EU ETS), i cili aktualisht nuk zbatohet në Republikën e Shqipërisë. Për këtë arsye, dispozita nuk është e aplikueshme në këtë fazë.</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Megjithatë, kuadri ligjor kombëtar parashikon që, në rast të përfshirjes së Shqipërisë në një sistem të tregtimit të emetimeve ose në mekanizma të ngjashëm, Agjencia e Inteligjencës Financiare do të ketë akses në informacionin përkatës, në përputhje me legjislacionin që do të miratohet për këtë qëllim.</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pasqyrat financiare vjetore nga shoqëritë;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xvii) informacion mbi pasqyrat financiare vjetore të shoqërive tregtare;</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informacionin financiar të administruar nga institucionet publike, përfshirë pasqyrat financiare vjetore të shoqërive, në përputhje me nenin 21(1)(b)(xvii)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21(1)(b)(XVIII)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regjistrat kombëtarë të emigracionit dhe imigracionit;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xviii) informacionin e përmbajtur në regjistrat kombëtarë të migracionit dhe imigracionit;</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e hyrje-daljeve në kufi, regjistrin e të huajve, pasaportat dhe vizat, duke mbuluar regjistrat kombëtarë të emigracionit dhe imigracionit, në përputhje me nenin 21(1)(b)(xviii)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21(1)(b)(XIX)</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zotëruar nga gjykatat tregtare;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xix) informacionin e disponuar nga gjykatat kompetente për çështjet tregtare dhe ekonomike;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Autoritetit të në informacionin e administruar nga gjykatat kompetente për çështjet tregtare dhe ekonomike, për qëllime AML/CFT, në përputhje me nenin 21(1)(b)(xix)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21(1)(b)(XX)</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mbajtur në bazat e të dhënave të falimentit dhe nga administratorët e falimentit;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rPr>
              <w:t>xx)</w:t>
            </w:r>
            <w:r w:rsidRPr="00F727DA">
              <w:rPr>
                <w:rFonts w:ascii="Times New Roman" w:hAnsi="Times New Roman"/>
                <w:sz w:val="18"/>
                <w:szCs w:val="18"/>
              </w:rPr>
              <w:t xml:space="preserve"> informacionin e përmbajtur në regjistrat dhe bazat e të dhënave për procedurat e falimentimit, si dhe informacionin e mbajtur nga </w:t>
            </w:r>
            <w:r w:rsidRPr="00F727DA">
              <w:rPr>
                <w:rFonts w:ascii="Times New Roman" w:hAnsi="Times New Roman"/>
                <w:bCs/>
                <w:sz w:val="18"/>
                <w:szCs w:val="18"/>
              </w:rPr>
              <w:t>administratori i falimentimit</w:t>
            </w:r>
            <w:r w:rsidRPr="00F727DA">
              <w:rPr>
                <w:rFonts w:ascii="Times New Roman" w:hAnsi="Times New Roman"/>
                <w:sz w:val="18"/>
                <w:szCs w:val="18"/>
              </w:rPr>
              <w:t>, sipas legjislacionit në fuqi për falimentimin;</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(xx) të Direktivës, duke garantuar aksesin e AIF  në informacionin e disponuar në kuadër të procedurave të falimentimit dhe informacionin e mbajtur nga administratori i falimentimit, në përputhje me legjislacionin shqiptar për falimentimin. Formulimi është përshtatur për të reflektuar terminologjinë ligjore kombëtare dhe organizimin institucional përkatës.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21(1)(b)(XXI)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për fondet dhe asetet e tjera të ngrira ose të bllokuara në zbatim të sanksioneve financiare të targetuara;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xxi) informacion mbi fondet dhe pasuritë e tjera të ngrira ose të bllokuara në zbatim të masave shtrenguese nderkombetare.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Autoritetit në informacionin mbi fondet dhe asetet e ngrira ose të bllokuara nga subjektet dhe autoritetet kompetente në zbatim të sanksioneve financiare të targetuara, në përputhje me nenin 21(1)(b)(xxi)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drejtpërdrejtë ose të tërthortë në informacionin mbi zbatimin e ligjit si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rPr>
              <w:t>c)</w:t>
            </w:r>
            <w:r w:rsidRPr="00F727DA">
              <w:rPr>
                <w:rFonts w:ascii="Times New Roman" w:hAnsi="Times New Roman"/>
                <w:sz w:val="18"/>
                <w:szCs w:val="18"/>
              </w:rPr>
              <w:t xml:space="preserve"> akses të drejtpërdrejtë ose të tërthortë në informacionin e mbajtur nga autoritetet ligjzbatuese, si më poshtë: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ose të tërthortë të Autoritetit në informacionin e autoriteteve ligjzbatuese përmes mekanizmave të bashkëpunimit dhe kërkesave zyrtare, në përputhje me nenin 21(1)(c) të Direktivës./2008</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21(1)(c)(I)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lloj informacioni ose e dhëne që zotërohet aktualisht nga autoritetet kompetente në kontekstin e parandalimit, zbulimit, hetimit ose procedimit të veprave penale;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2064" w:type="dxa"/>
            <w:shd w:val="clear" w:color="auto" w:fill="auto"/>
            <w:vAlign w:val="center"/>
          </w:tcPr>
          <w:p w:rsidR="006E5B5B" w:rsidRPr="002C0CB8"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i)</w:t>
            </w:r>
            <w:r w:rsidRPr="00F727DA">
              <w:rPr>
                <w:rFonts w:eastAsia="Calibri"/>
                <w:sz w:val="18"/>
                <w:szCs w:val="18"/>
                <w:lang w:val="en-GB" w:eastAsia="ar-SA"/>
              </w:rPr>
              <w:t xml:space="preserve"> çdo lloj informacioni ose të dhëne që disponohet nga autoritetet kompetente në kuadër të parandalimit, zbulimit, hetimit ose ndjekjes penale të veprave penale;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nenin 21, pika 1, shkronja “c”, nënshkronjat (i) dhe (ii) të Direktivës, duke garantuar aksesin e drejtpërdrejtë ose të tërthortë të FIU-së në informacionin e mbajtur nga autoritetet ligjzbatuese, autoritetet publike dhe subjektet private, për aq sa ky informacion është i disponueshëm për autoritetet kompetente pa përdorimin e masave shtrënguese. Teksti respekton ndarjen ndërmjet funksioneve analitike të FIU-së dhe kompetencave hetimore</w:t>
            </w:r>
            <w:r w:rsidRPr="00F727DA">
              <w:rPr>
                <w:sz w:val="18"/>
                <w:szCs w:val="18"/>
              </w:rPr>
              <w:t xml:space="preserve"> </w:t>
            </w:r>
            <w:r w:rsidRPr="00F727DA">
              <w:rPr>
                <w:rFonts w:ascii="Times New Roman" w:hAnsi="Times New Roman"/>
                <w:sz w:val="18"/>
                <w:szCs w:val="18"/>
              </w:rPr>
              <w:t xml:space="preserve">penale.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21(1)(c)(ii)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rPr>
              <w:t xml:space="preserve">ii) </w:t>
            </w:r>
            <w:r w:rsidRPr="00F727DA">
              <w:rPr>
                <w:rFonts w:ascii="Times New Roman" w:hAnsi="Times New Roman"/>
                <w:sz w:val="18"/>
                <w:szCs w:val="18"/>
                <w:lang w:eastAsia="sq-AL" w:bidi="sq-AL"/>
              </w:rPr>
              <w:t xml:space="preserve">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kësaj pike, “masa shtrënguese” janë veprimet procedurale ose hetimore që kërkojnë autorizim gjyqësor ose prokurorial, sipas legjislacionit penal në fuqi.</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Kjo dispozitë transpozon nenin 21, pika 1, shkronja “c”, nënshkronja (ii) të Direktivës, duke sqaruar në mënyrë të shprehur se aksesi i AIF kufizohet vetëm në informacionin që autoritetet kompetente mund të disponojnë ose të sigurojnë përmes mjeteve jo-detyruese, pa përdorimin e masave shtrënguese, pa autorizim gjyqësor dhe pa ushtrimin e kompetencave hetimore penale, në përputhje me ndarjen e roleve institucionale në sistemin shqiptar.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germën “c” të nënparagrafit të parë përfshin dosjet penale, informacionin mbi hetimet, informacionin mbi ngrirjen ose sekuestrimin e aseteve, ose mbi masat e tjera hetimore ose të përkohshme, si dhe informacionin mbi dënimet dhe konfiskimet.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lejojnë kufizimin e aksesit në informacionin mbi zbatimin e ligjit të përmendur në germën “c” të nënparagrafit të parë, rast pas rasti, kur dhënia e këtij informacioni ka të ngjarë të rrezikojë një hetim në proces e sipër.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d) Informacioni i parashikuar në shkronjën “c” të pikës i të këtij neni përfshin, ndër të tjera:</w:t>
            </w:r>
          </w:p>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të dhëna nga regjistrat penalë;</w:t>
            </w:r>
          </w:p>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informacion mbi hetimet dhe procedimet penale;</w:t>
            </w:r>
          </w:p>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xml:space="preserve">-informacion mbi masat e ngrirjes ose sekuestrimit të pasurive; </w:t>
            </w:r>
          </w:p>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xml:space="preserve">- informacion mbi masa të tjera hetimore ose masa të përkohshme procedurale; </w:t>
            </w:r>
          </w:p>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xml:space="preserve">- informacion mbi vendimet penale të formës së prerë, përfshirë dënimet dhe konfiskimet. </w:t>
            </w:r>
          </w:p>
          <w:p w:rsidR="006E5B5B" w:rsidRPr="00301AF0" w:rsidRDefault="00301AF0" w:rsidP="00A87413">
            <w:pPr>
              <w:pStyle w:val="NormalWeb"/>
              <w:spacing w:before="0" w:beforeAutospacing="0" w:after="0" w:afterAutospacing="0"/>
              <w:rPr>
                <w:bCs/>
                <w:sz w:val="18"/>
                <w:szCs w:val="18"/>
                <w:lang w:val="sq-AL"/>
              </w:rPr>
            </w:pPr>
            <w:r w:rsidRPr="00301AF0">
              <w:rPr>
                <w:rFonts w:eastAsia="Calibri"/>
                <w:bCs/>
                <w:sz w:val="18"/>
                <w:szCs w:val="18"/>
                <w:lang w:val="sq-AL"/>
              </w:rPr>
              <w:t>Autoritetet kompetente mund të kufizojnë, rast pas rasti, aksesin e Agjencisë së Inteligjencës Financiare sipas përcaktimeve në aksesin për informacionin  të parashikuar në shkronjën (c) te këtij neni, kur vënia në dispozicion e këtij informacioni rrezikon të cenojë zhvillimin e një hetimi penal në vijim.</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paragrafin pasues të nenit 21 të Direktivës, duke përcaktuar kategoritë e informacionit ligjzbatues që mund t’i vihen në dispozicion AIF, përfshirë të dhëna nga regjistrat penalë, informacion mbi hetimet, masat e ngrirjes ose sekuestrimit, dënimet dhe konfiskimet. Në përputhje me Direktivën, dispozita parashikon gjithashtu mundësinë e kufizimit të aksesit në raste individuale, kur dhënia e informacionit mund të rrezikojë një hetim penal në zhvillim, duke respektuar ndarjen e kompetencave ndërmjet AIF  dhe autoriteteve ligjzbatuese.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në informacionin e renditur në paragrafin 1 konsiderohet i drejtpërdrejtë dhe i menjëhershëm kur informacioni gjendet në një bazë të dhënash informatike, regjistër ose sistem të rikuperimit të të dhënave nga ku NjIF-ja mund ta marrë informacionin pa ndonjë hap të ndërmjetëm, ose kur plotësohen kushtet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Aksesi në informacionin e parashikuar në pikën 1 të këtij neni konsiderohet i drejtpërdrejtë dhe i menjëhershëm kur informacioni është i përmbajtur në një bazë të dhënash elektronike, regjistër ose sistem të marrjes së të dhënave, nga i cili Agjencia e Inteligjencës Financiare mund ta marrë informacionin pa ndërmjetësim dhe pa kryer hapa të ndërmjetëm, ose kur plotësohen kushtet e përcaktuara në shkronjat “a” dhe “b” të kësaj pike, si me poshte: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21, pika 2 të Direktivës, duke përcaktuar kriteret sipas të cilave aksesi i Agjencisë së Inteligjencës Financiare në informacionin e parashikuar në pikën 1 konsiderohet i drejtpërdrejtë dhe i menjëhershëm. Dispozita parashikon si aksesin teknik përmes bazave të të dhënave, regjistrave ose sistemeve elektronike të marrjes së të dhënave, ashtu edhe aksesin funksional, kur informacioni vihet në dispozicion pa vonesë të pajustifikuar dhe pa ndërhyrje nga autoritete, subjekte ose palë të treta. Teksti është përshtatur me terminologjinë dhe praktikën administrative shqiptare, duke ruajtur përmbajtjen dhe qëllimin e Direktivës.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ose autoritetet që zotërojnë informacionin ua sigurojnë atë menjëherë NjIF-ve; dhe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rPr>
              <w:t>a</w:t>
            </w:r>
            <w:r w:rsidRPr="00F727DA">
              <w:rPr>
                <w:rFonts w:ascii="Times New Roman" w:hAnsi="Times New Roman"/>
                <w:sz w:val="18"/>
                <w:szCs w:val="18"/>
              </w:rPr>
              <w:t>) subjektet ose autoritetet që disponojnë informacionin ia vënë atë në dispozicion Agjencisë së Inteligjencës Financiare p</w:t>
            </w:r>
            <w:r w:rsidRPr="00F727DA">
              <w:rPr>
                <w:rFonts w:ascii="Times New Roman" w:hAnsi="Times New Roman"/>
                <w:bCs/>
                <w:sz w:val="18"/>
                <w:szCs w:val="18"/>
              </w:rPr>
              <w:t>a vonesë të pajustifikuar</w:t>
            </w:r>
            <w:r w:rsidRPr="00F727DA">
              <w:rPr>
                <w:rFonts w:ascii="Times New Roman" w:hAnsi="Times New Roman"/>
                <w:sz w:val="18"/>
                <w:szCs w:val="18"/>
              </w:rPr>
              <w:t>, duke garantuar trajtimin e tij me përparësi;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asnjë subjekt, autoritet ose palë e tretë nuk mund të ndërhyjë në të dhënat e kërkuara ose në informacionin që do të sigurohet.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asnjë autoritet, subjekt ose palë e tretë nuk ka të drejtë të ndërhyjë, të ndikojë, të ndryshojë, të filtrojë apo të vonojë të dhënat e kërkuara ose informacionin që do t’i vihet në dispozicion Agjencisë së Inteligjencës Financiare.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është e mundur, NjIF-së t'i jepet akses i drejtpërdrejtë në informacionin e renditur në paragrafin 1, nënparagrafi i parë, germa "c". Në rastet kur NjIF-së i sigurohet akses i tërthortë në informacion, subjekti ose autoriteti që mban informacionin e kërkuar e siguron atë pa vonesa.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FA1A3B" w:rsidRPr="00FA1A3B" w:rsidRDefault="00FA1A3B" w:rsidP="00A87413">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3. Autoritetet përgjegjëse sigurojnë që, sa herë që është e mundur, Agjencisë së Inteligjencës Financiare t’i garantohet akses i drejtpërdrejtë në informacionin e parashikuar në pikën 1, shkronja “c” e këtij neni.</w:t>
            </w:r>
          </w:p>
          <w:p w:rsidR="006E5B5B" w:rsidRPr="00FA1A3B" w:rsidRDefault="00FA1A3B" w:rsidP="00A87413">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3 të Direktivës, duke parashikuar parimin e aksesit të drejtpërdrejtë të FIU-së në informacionin ligjzbatues, sa herë që kjo është e mundur, si dhe duke garantuar që, në rastet e aksesit të tërthortë, autoritetet ose subjektet që disponojnë informacionin ta vënë atë në dispozicion në kohë dhe pa vonesë të pajustifikuar. Dispozita ruan fleksibilitetin e nevojshëm institucional dhe është në përputhje me ndarjen e kompetencave në sistemin shqiptar.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kontekstin e funksioneve të saj, çdo NjIF mund të kërkojë, të marrë dhe të përdorë informacion nga çdo subjekt i detyruar me qëllim kryerjen e funksioneve të saj sipas nenit 19, paragrafi 3 të kësaj direktive, edhe nëse nuk është dorëzuar asnjë raport paraprak në përputhje me nenin 69, paragrafi 1, nënparagrafi i parë, germa "a" ose </w:t>
            </w:r>
            <w:r w:rsidRPr="00F727DA">
              <w:rPr>
                <w:rFonts w:ascii="Times New Roman" w:hAnsi="Times New Roman"/>
                <w:sz w:val="18"/>
                <w:szCs w:val="18"/>
                <w:highlight w:val="yellow"/>
                <w:lang w:eastAsia="sq-AL" w:bidi="sq-AL"/>
              </w:rPr>
              <w:t>nenin 70, paragrafi 1 të Rregullores (BE)</w:t>
            </w:r>
            <w:r w:rsidRPr="00F727DA">
              <w:rPr>
                <w:rFonts w:ascii="Times New Roman" w:hAnsi="Times New Roman"/>
                <w:sz w:val="18"/>
                <w:szCs w:val="18"/>
                <w:lang w:eastAsia="sq-AL" w:bidi="sq-AL"/>
              </w:rPr>
              <w:t xml:space="preserve"> 2024/1624. Subjekteve të detyruara nuk u kërkohet të përmbushin kërkesat për informacion sipas këtij paragrafi nëse ato kanë të bëjnë me informacione të përftuara në situatat e përmendura në nenin 70, paragrafi 2 të asaj rregulloreje.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FA1A3B" w:rsidRPr="00FA1A3B" w:rsidRDefault="00FA1A3B" w:rsidP="00A87413">
            <w:pPr>
              <w:widowControl w:val="0"/>
              <w:spacing w:after="0" w:line="240" w:lineRule="auto"/>
              <w:rPr>
                <w:rFonts w:ascii="Times New Roman" w:hAnsi="Times New Roman"/>
                <w:bCs/>
                <w:sz w:val="18"/>
                <w:szCs w:val="18"/>
                <w:lang w:val="sq-AL"/>
              </w:rPr>
            </w:pPr>
            <w:r w:rsidRPr="00FA1A3B">
              <w:rPr>
                <w:rFonts w:ascii="Times New Roman" w:hAnsi="Times New Roman"/>
                <w:bCs/>
                <w:sz w:val="18"/>
                <w:szCs w:val="18"/>
                <w:lang w:val="sq-AL"/>
              </w:rPr>
              <w:t xml:space="preserve">4.  Agjencia e Inteligjencës Financiare në ushtrimin e funksioneve të saj në përputhje me këtë ligj, ka të drejtë të kërkojë, të marrë dhe të përdorë informacion nga çdo subjekt i detyruar, për qëllim të përmbushjes së detyrave të saj ligjore, edhe në rastet kur nuk është paraqitur më parë raportim i aktivitetit të i dyshimtë, në përputhje me parashikimet në këtë ligji, apo raportim tjetër i parashikuar nga ky ligj.  </w:t>
            </w:r>
          </w:p>
          <w:p w:rsidR="006E5B5B" w:rsidRPr="00FA1A3B" w:rsidRDefault="00FA1A3B" w:rsidP="00A87413">
            <w:pPr>
              <w:widowControl w:val="0"/>
              <w:spacing w:after="0" w:line="240" w:lineRule="auto"/>
              <w:rPr>
                <w:rFonts w:ascii="Times New Roman" w:hAnsi="Times New Roman"/>
                <w:bCs/>
                <w:sz w:val="18"/>
                <w:szCs w:val="18"/>
                <w:lang w:val="sq-AL"/>
              </w:rPr>
            </w:pPr>
            <w:r w:rsidRPr="00FA1A3B">
              <w:rPr>
                <w:rFonts w:ascii="Times New Roman" w:hAnsi="Times New Roman"/>
                <w:bCs/>
                <w:sz w:val="18"/>
                <w:szCs w:val="18"/>
                <w:lang w:val="sq-AL"/>
              </w:rPr>
              <w:t>Subjektet e detyruara nuk janë të detyruara të përmbushin kërkesat për informacion të bëra sipas kësaj pike, kur këto kërkesa kanë të bëjnë me informacion të marrë në rrethana që mbrohen nga detyrimi i ruajtjes së sekretit profesional, në përputhje me parashikimet në këtë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pjesën e dytë të nenit 21, pika 4 të Direktivës, duke parashikuar se subjektet e detyruara nuk janë të detyruara t’u përgjigjen kërkesave për informacion të FIU-së kur këto kërkesa lidhen me informacion të mbrojtur nga sekreti profesional. Referenca ndaj nenit 70(2) të Rregullores së BE-së është transpozuar përmes dispozitës përkatëse të këtij ligji, në përputhje me teknikën legjislative kombëtare.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A1A3B" w:rsidRDefault="00FA1A3B" w:rsidP="00A87413">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mundësinë e lidhjes së marrëveshjeve të bashkëpunimit ndërinstitucional për qëllime teknike dhe procedurale, pa cenuar të drejtën ligjore të AIFsë për akses në informacion sipas nenit 21. Marrëveshjet shërbejnë si instrument zbatimi dhe nuk kushtëzojnë ushtrimin e kompetencave të përcaktuara me ligj.</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hd w:val="clear" w:color="auto" w:fill="D9D9D9" w:themeFill="background1" w:themeFillShade="D9"/>
              <w:snapToGrid w:val="0"/>
              <w:spacing w:after="0" w:line="240" w:lineRule="auto"/>
              <w:rPr>
                <w:rFonts w:ascii="Times New Roman" w:hAnsi="Times New Roman"/>
                <w:b/>
                <w:sz w:val="18"/>
                <w:szCs w:val="18"/>
              </w:rPr>
            </w:pPr>
            <w:r w:rsidRPr="00F727DA">
              <w:rPr>
                <w:rFonts w:ascii="Times New Roman" w:hAnsi="Times New Roman"/>
                <w:b/>
                <w:sz w:val="18"/>
                <w:szCs w:val="18"/>
              </w:rPr>
              <w:t>Neni 22</w:t>
            </w:r>
          </w:p>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shd w:val="clear" w:color="auto" w:fill="D9D9D9" w:themeFill="background1" w:themeFillShade="D9"/>
              </w:rPr>
              <w:t>Përgjigjet ndaj kërkesave për informacion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jenë në gjendje t'u përgjigjen pa vonesa kërkesave të arsyetuara për informacion të justifikuara në bazë të shqetësimeve në lidhje me pastrimin e parave, veprat penale bazë të lidhura me të ose </w:t>
            </w:r>
            <w:r w:rsidRPr="00D34303">
              <w:rPr>
                <w:rFonts w:ascii="Times New Roman" w:hAnsi="Times New Roman"/>
                <w:sz w:val="18"/>
                <w:szCs w:val="18"/>
                <w:lang w:eastAsia="sq-AL" w:bidi="sq-AL"/>
              </w:rPr>
              <w:t>financimin e terrorizmit nga autoritetet kompetente të përmendura në nenin 2, paragrafi 1, pika 44 germat "c" dhe "d" të Rregullores (BE) 2024/1624 në shtetin e tyre anëtar përkatës, kur ky informacion zotërohet aktualisht nga NjIF-ja dhe është</w:t>
            </w:r>
            <w:r w:rsidRPr="00F727DA">
              <w:rPr>
                <w:rFonts w:ascii="Times New Roman" w:hAnsi="Times New Roman"/>
                <w:sz w:val="18"/>
                <w:szCs w:val="18"/>
                <w:lang w:eastAsia="sq-AL" w:bidi="sq-AL"/>
              </w:rPr>
              <w:t xml:space="preserve"> i nevojshëm rast pas rasti. Vendimi për shpërndarjen e informacionit i takon NjIF-së.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ekzistojnë arsye objektive për të supozuar se dhënia e një informacioni të tillë do të kishte ndikim negativ në hetimet ose analizat në proces e sipër, ose, në rrethana të jashtëzakonshme, kur zbulimi i informacionit do të ishte qartazi joproporcional me interesat legjitime të një personi fizik apo juridik ose i parëndësishëm në raport me qëllimet për të cilat është kërkuar, NjIF-ja nuk është e detyruar të përmbushë kërkesën për informacion.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këto raste, NjIF-ja ia parashtron arsyet me shkrim autoritetit kërkues.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34303" w:rsidRPr="00D34303" w:rsidRDefault="00D34303" w:rsidP="00A87413">
            <w:pPr>
              <w:suppressAutoHyphens w:val="0"/>
              <w:spacing w:after="0" w:line="276" w:lineRule="auto"/>
              <w:rPr>
                <w:rFonts w:ascii="Times New Roman" w:hAnsi="Times New Roman"/>
                <w:sz w:val="18"/>
                <w:szCs w:val="18"/>
                <w:lang w:val="sq-AL"/>
              </w:rPr>
            </w:pPr>
            <w:r w:rsidRPr="00D34303">
              <w:rPr>
                <w:rFonts w:ascii="Times New Roman" w:hAnsi="Times New Roman"/>
                <w:sz w:val="18"/>
                <w:szCs w:val="18"/>
                <w:lang w:val="sq-AL"/>
              </w:rPr>
              <w:t>Neni 19</w:t>
            </w:r>
          </w:p>
          <w:p w:rsidR="00D34303" w:rsidRPr="00D34303" w:rsidRDefault="00D34303" w:rsidP="00A87413">
            <w:pPr>
              <w:suppressAutoHyphens w:val="0"/>
              <w:spacing w:after="0" w:line="276" w:lineRule="auto"/>
              <w:rPr>
                <w:rFonts w:ascii="Times New Roman" w:hAnsi="Times New Roman"/>
                <w:sz w:val="18"/>
                <w:szCs w:val="18"/>
                <w:lang w:val="sq-AL"/>
              </w:rPr>
            </w:pPr>
            <w:r w:rsidRPr="00D34303">
              <w:rPr>
                <w:rFonts w:ascii="Times New Roman" w:hAnsi="Times New Roman"/>
                <w:sz w:val="18"/>
                <w:szCs w:val="18"/>
                <w:lang w:val="sq-AL"/>
              </w:rPr>
              <w:t>Përgjigjja ndaj kërkesave për informacion</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D34303" w:rsidRPr="00D34303" w:rsidRDefault="00D34303" w:rsidP="00A87413">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1. Agjencia e Inteligjencës Financiare i përgjigjet brenda një afati të arsyeshëm kërkesave të arsyetuara për informacion të paraqitura nga autoritetet kompetente te përcaktuara në nenin 2(1), pika (44)(c) dhe (d) të Rregullores (BE) 2024/1624 te këtij ligji, të bazuara në shqetësime që lidhen me pastrimin e parave dhe të produkteve që burojnë nga veprat penale ose financimin e terrorizmit, kur informacioni i kërkuar disponohet tashmë nga Agjencia dhe është i nevojshëm për vlerësim rast pas rasti.</w:t>
            </w:r>
          </w:p>
          <w:p w:rsidR="00D34303" w:rsidRPr="00D34303" w:rsidRDefault="00D34303" w:rsidP="00A87413">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Vendimi për dhënien ose shpërndarjen e informacionit mbetet kompetencë e Agjencisë së Inteligjencës Financiare.</w:t>
            </w:r>
          </w:p>
          <w:p w:rsidR="00D34303" w:rsidRPr="00D34303" w:rsidRDefault="00D34303" w:rsidP="00A87413">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Kur nga rrethanat objektive rezulton se dhënia e informacionit të kërkuar do të kishte ndikim negativ mbi hetime ose analiza në vijim, ose, në rrethana të jashtëzakonshme, kur dhënia e këtij informacioni do të ishte qartazi jo proporcionale në raport me interesat legjitime të një personi fizik ose juridik, ose e parëndësishme në lidhje me qëllimin për të cilin është kërkuar, Agjencia e Inteligjencës Financiare nuk është e detyruar t’i përgjigjet kërkesës për informacion.</w:t>
            </w:r>
          </w:p>
          <w:p w:rsidR="006E5B5B" w:rsidRPr="000547F3" w:rsidRDefault="00D34303" w:rsidP="00A87413">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Në këto raste, Agjencia e Inteligjencës Financiare është e detyruar t’i njoftojë me shkrim autoritetit kërkues arsyet e refuzimit të dhënies së informacionit.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Jjo dispozitë transpozon nenin 22, pika 1 të Direktivës, duke përcaktuar detyrimin e Agjencisë së Inteligjencës Financiare për t’u përgjigjur kërkesave të arsyetuara për informacion nga autoritetet kompetente, si dhe rastet e përjashtimit të ligjshëm nga dhënia e informacionit. Teksti është përshtatur për të reflektuar qartë rolin jo-hetimor të FIU-së, duke iu referuar analizave financiare. Dispozita parashikon gjithashtu detyrimin për arsyetim me shkrim në rast refuzimi, në përputhje me parimin e transparencës dhe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Autoritetet kompetente i sigurojnë komentet e tyre NjIF-së në lidhje me përdorimin dhe dobinë e </w:t>
            </w:r>
            <w:r w:rsidRPr="000547F3">
              <w:rPr>
                <w:rFonts w:ascii="Times New Roman" w:hAnsi="Times New Roman"/>
                <w:sz w:val="18"/>
                <w:szCs w:val="18"/>
                <w:lang w:eastAsia="sq-AL" w:bidi="sq-AL"/>
              </w:rPr>
              <w:t>informacionit të dhënë në përputhje me këtë nen dhe nenin 19, paragrafi 3, si dhe në lidhje me rezultatin e masave të</w:t>
            </w:r>
            <w:r w:rsidRPr="00F727DA">
              <w:rPr>
                <w:rFonts w:ascii="Times New Roman" w:hAnsi="Times New Roman"/>
                <w:sz w:val="18"/>
                <w:szCs w:val="18"/>
                <w:lang w:eastAsia="sq-AL" w:bidi="sq-AL"/>
              </w:rPr>
              <w:t xml:space="preserve"> ndërmarra dhe të hetimeve të kryera në bazë të këtij informacioni. Këto komente sigurohen sa më shpejt të jetë e mundur dhe në çdo rast, në formë të përmbledhur, të paktën çdo vit, në mënyrë të tillë që t'i lejojnë NjIF-së të përmirësojë funksionin e saj të analizës operacionale.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0547F3" w:rsidRPr="000547F3" w:rsidRDefault="000547F3" w:rsidP="00A87413">
            <w:pPr>
              <w:widowControl w:val="0"/>
              <w:spacing w:after="0" w:line="240" w:lineRule="auto"/>
              <w:rPr>
                <w:rFonts w:ascii="Times New Roman" w:hAnsi="Times New Roman"/>
                <w:bCs/>
                <w:sz w:val="18"/>
                <w:szCs w:val="18"/>
                <w:lang w:val="sq-AL"/>
              </w:rPr>
            </w:pPr>
            <w:r w:rsidRPr="000547F3">
              <w:rPr>
                <w:rFonts w:ascii="Times New Roman" w:hAnsi="Times New Roman"/>
                <w:bCs/>
                <w:sz w:val="18"/>
                <w:szCs w:val="18"/>
                <w:lang w:val="sq-AL"/>
              </w:rPr>
              <w:t>2. Autoritetet kompetente informojnë Agjencinë e Inteligjencës Financiare mbi përdorimin dhe dobishmërinë e informacionit të vënë në dispozicion sipas këtij neni dhe nenit 14, pika 5 të këtij ligji, si dhe mbi rezultatet e veprimeve të ndërmarra dhe të hetimeve penale të kryera mbi bazën e këtij informacioni.</w:t>
            </w:r>
          </w:p>
          <w:p w:rsidR="006E5B5B" w:rsidRPr="000547F3" w:rsidRDefault="000547F3" w:rsidP="00A87413">
            <w:pPr>
              <w:widowControl w:val="0"/>
              <w:spacing w:after="0" w:line="240" w:lineRule="auto"/>
              <w:rPr>
                <w:rFonts w:ascii="Times New Roman" w:hAnsi="Times New Roman"/>
                <w:bCs/>
                <w:sz w:val="18"/>
                <w:szCs w:val="18"/>
                <w:lang w:val="sq-AL"/>
              </w:rPr>
            </w:pPr>
            <w:r w:rsidRPr="000547F3">
              <w:rPr>
                <w:rFonts w:ascii="Times New Roman" w:hAnsi="Times New Roman"/>
                <w:bCs/>
                <w:sz w:val="18"/>
                <w:szCs w:val="18"/>
                <w:lang w:val="sq-AL"/>
              </w:rPr>
              <w:t>Ky informacion jepet sa më shpejt që të jetë e mundur dhe, në çdo rast, në formë të përmbledhur, të paktën një herë në vit, në mënyrë që t’i mundësojë Agjencisë së Inteligjencës Financiare përmirësimin e funksionit të saj të analizës operative.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22, pika 2 të Direktivës, duke parashikuar detyrimin e autoriteteve kompetente për t’i dhënë FIU-së feedback mbi përdorimin dhe dobishmërinë e informacionit të shkëmbyer, si dhe mbi rezultatet e veprimeve dhe hetimeve penale të kryera mbi bazën e tij. Dispozita siguron që feedback-u të jepet në kohë dhe në formë të përmbledhur, të paktën në baza vjetore, me qëllim përmirësimin e funksionit të analizës operative të FIU-së. </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23 </w:t>
            </w:r>
          </w:p>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Ofrimi i informacionit ndaj mbikëqyrësve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sigurojnë mbikëqyrësve, në mënyrë spontane ose me kërkesë, informacione që mund të jenë të rëndësishme për qëllimet e mbikëqyrjes sipas kreut IV, duke përfshirë të paktën informacione mbi: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1E5749" w:rsidRPr="001E5749" w:rsidRDefault="001E5749" w:rsidP="00A87413">
            <w:pPr>
              <w:spacing w:after="0" w:line="240" w:lineRule="auto"/>
              <w:rPr>
                <w:rFonts w:ascii="Times New Roman" w:hAnsi="Times New Roman"/>
                <w:sz w:val="18"/>
                <w:szCs w:val="18"/>
                <w:lang w:val="sq-AL"/>
              </w:rPr>
            </w:pPr>
            <w:r w:rsidRPr="001E5749">
              <w:rPr>
                <w:rFonts w:ascii="Times New Roman" w:hAnsi="Times New Roman"/>
                <w:sz w:val="18"/>
                <w:szCs w:val="18"/>
                <w:lang w:val="sq-AL"/>
              </w:rPr>
              <w:t>Neni 19</w:t>
            </w:r>
          </w:p>
          <w:p w:rsidR="001E5749" w:rsidRPr="001E5749" w:rsidRDefault="001E5749" w:rsidP="00A87413">
            <w:pPr>
              <w:spacing w:after="0" w:line="240" w:lineRule="auto"/>
              <w:rPr>
                <w:rFonts w:ascii="Times New Roman" w:hAnsi="Times New Roman"/>
                <w:b/>
                <w:sz w:val="18"/>
                <w:szCs w:val="18"/>
                <w:lang w:val="sq-AL"/>
              </w:rPr>
            </w:pPr>
            <w:r w:rsidRPr="001E5749">
              <w:rPr>
                <w:rFonts w:ascii="Times New Roman" w:hAnsi="Times New Roman"/>
                <w:b/>
                <w:sz w:val="18"/>
                <w:szCs w:val="18"/>
                <w:lang w:val="sq-AL"/>
              </w:rPr>
              <w:t>Përgjigjja ndaj kërkesave për informacion</w:t>
            </w:r>
          </w:p>
          <w:p w:rsidR="006E5B5B" w:rsidRPr="00F727DA" w:rsidRDefault="006E5B5B" w:rsidP="00A87413">
            <w:pPr>
              <w:spacing w:after="0" w:line="240" w:lineRule="auto"/>
              <w:rPr>
                <w:sz w:val="18"/>
                <w:szCs w:val="18"/>
              </w:rPr>
            </w:pPr>
          </w:p>
        </w:tc>
        <w:tc>
          <w:tcPr>
            <w:tcW w:w="2064" w:type="dxa"/>
            <w:shd w:val="clear" w:color="auto" w:fill="auto"/>
            <w:vAlign w:val="center"/>
          </w:tcPr>
          <w:p w:rsidR="009A7550" w:rsidRPr="009A7550" w:rsidRDefault="009A7550" w:rsidP="00A87413">
            <w:pPr>
              <w:snapToGrid w:val="0"/>
              <w:spacing w:after="0" w:line="240" w:lineRule="auto"/>
              <w:rPr>
                <w:rFonts w:ascii="Times New Roman" w:hAnsi="Times New Roman"/>
                <w:sz w:val="18"/>
                <w:szCs w:val="18"/>
                <w:lang w:val="sq-AL"/>
              </w:rPr>
            </w:pPr>
            <w:r w:rsidRPr="009A7550">
              <w:rPr>
                <w:rFonts w:ascii="Times New Roman" w:hAnsi="Times New Roman"/>
                <w:sz w:val="18"/>
                <w:szCs w:val="18"/>
                <w:lang w:val="sq-AL"/>
              </w:rPr>
              <w:t>3.  Agjencia e Inteligjencës Financiare u siguron autoriteteve mbikëqyrëse 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p>
          <w:p w:rsidR="006E5B5B" w:rsidRPr="009A7550" w:rsidRDefault="009A7550" w:rsidP="00A87413">
            <w:pPr>
              <w:snapToGrid w:val="0"/>
              <w:spacing w:after="0" w:line="240" w:lineRule="auto"/>
              <w:rPr>
                <w:rFonts w:ascii="Times New Roman" w:hAnsi="Times New Roman"/>
                <w:sz w:val="18"/>
                <w:szCs w:val="18"/>
                <w:lang w:val="sq-AL"/>
              </w:rPr>
            </w:pPr>
            <w:r w:rsidRPr="009A7550">
              <w:rPr>
                <w:rFonts w:ascii="Times New Roman" w:hAnsi="Times New Roman"/>
                <w:sz w:val="18"/>
                <w:szCs w:val="18"/>
                <w:lang w:val="sq-AL"/>
              </w:rPr>
              <w:t>me legjislacionin në fuqi dhe me detyrimet e konfidencialitetit, duke përfshirë te paktën: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23, pika 1, shkronjat (a), (b) dhe (c) të Direktivës, duke parashikuar detyrimin e AIF për t’u vënë në dispozicion autoriteteve mbikëqyrëse informacion të rëndësishëm për ushtrimin e funksioneve të mbikëqyrjes, përfshirë të dhëna mbi raportimet e transaksioneve të dyshimta, bashkëpunimin e subjekteve të detyruara me FIU-në dhe rezultatet e analizave strategjike, si dhe mbi tendencat dhe rreziqet në fushën e pastrimit të parave dhe financimit të terrorizmit.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cilësinë dhe numrin e raporteve të transaksioneve të dyshimta të dorëzuara nga subjektet e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cilësinë dhe sasinë e raporteve të transaksioneve të dyshimta (RAD) nga subjektet</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cilësinë dhe shpejtësinë e përgjigjeve nga subjektet e detyruara ndaj kërkesave të NjIF-së sipas nenit 69, paragrafi 1, nënparagrafi i parë, germa "b"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cilësinë dhe shpejtësinë e përgjigjeve të subjekteve te detyruara ndaj kërkesave të AIF;</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rezultatet përkatëse të analizave strategjike të kryera sipas nenit 19, paragrafi 3, germa "b" të kësaj direktive, si dhe çdo informacion përkatës mbi tendencat dhe metodat e pastrimit të parave, veprave penale bazë të lidhura me të dhe financimit të terrorizmit, duke përfshirë rreziqet gjeografike, ndërkufitare dhe ato të reja.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c) rezultatet e analizave strategjike dhe informacione mbi:</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tendenca,</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metoda,</w:t>
            </w:r>
          </w:p>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rreziqe gjeografike, ndërkufitare dhe të reja.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njoftojnë mbikëqyrësit sa herë që informacioni që ato zotërojnë tregon shkelje të mundshme të Rregulloreve (BE) 2024/1624 dhe (BE) 2023/1113 nga subjektet e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2064" w:type="dxa"/>
            <w:shd w:val="clear" w:color="auto" w:fill="auto"/>
          </w:tcPr>
          <w:p w:rsidR="006E5B5B" w:rsidRPr="009A7550" w:rsidRDefault="009A7550" w:rsidP="00A87413">
            <w:pPr>
              <w:spacing w:after="0" w:line="240" w:lineRule="auto"/>
              <w:rPr>
                <w:rFonts w:ascii="Times New Roman" w:hAnsi="Times New Roman"/>
                <w:bCs/>
                <w:sz w:val="18"/>
                <w:szCs w:val="18"/>
                <w:lang w:val="sq-AL"/>
              </w:rPr>
            </w:pPr>
            <w:r w:rsidRPr="009A7550">
              <w:rPr>
                <w:rFonts w:ascii="Times New Roman" w:hAnsi="Times New Roman"/>
                <w:bCs/>
                <w:sz w:val="18"/>
                <w:szCs w:val="18"/>
                <w:lang w:val="sq-AL"/>
              </w:rPr>
              <w:t>4. Agjencia e Inteligjencës Financiare njofton autoritetet mbikëqyrëse, sa herë që informacioni në dispozicion të saj rezulton për shkelje të mundshme nga subjektet e detyruara të detyrimeve të parashikuara nga ky ligj dhe të detyrimeve ligjore për transferimet e fondeve dhe të aseteve virtuale.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23, pika 2 të Direktivës, duke parashikuar detyrimin e FIU-së për të njoftuar autoritetet mbikëqyrëse kur informacioni në dispozicion të saj tregon për shkelje të mundshme nga subjektet e detyruara të kuadrit AML/CFT dhe të legjislacionit për transferimet e fondeve dhe aseteve virtuale. Teksti është përshtatur për legjislacionin shqiptar duke shmangur referencat direkte ndaj rregulloreve të Bashkimit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kur është tejet e nevojshme për qëllime të paragrafit 2, shtetet anëtare garantojnë që informacioni i dhënë nga NjIF-të sipas këtij neni të mos përmbajë të dhëna për persona fizikë ose juridikë specifikë dhe as për raste që përfshijnë persona fizikë ose juridikë që janë objekt i analizave ose hetimeve në proces e sipër, ose të dhëna që mund të çojnë në identifikimin e personave fizikë ose juridikë.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562883" w:rsidRDefault="009A7550" w:rsidP="00A87413">
            <w:pPr>
              <w:snapToGrid w:val="0"/>
              <w:spacing w:after="0" w:line="240" w:lineRule="auto"/>
              <w:rPr>
                <w:rFonts w:ascii="Times New Roman" w:hAnsi="Times New Roman"/>
                <w:bCs/>
                <w:sz w:val="18"/>
                <w:szCs w:val="18"/>
                <w:lang w:val="sq-AL" w:eastAsia="sq-AL" w:bidi="sq-AL"/>
              </w:rPr>
            </w:pPr>
            <w:r w:rsidRPr="009A7550">
              <w:rPr>
                <w:rFonts w:ascii="Times New Roman" w:hAnsi="Times New Roman"/>
                <w:bCs/>
                <w:sz w:val="18"/>
                <w:szCs w:val="18"/>
                <w:lang w:val="sq-AL" w:eastAsia="sq-AL" w:bidi="sq-AL"/>
              </w:rPr>
              <w:t>5.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çojnë në identifikimin e tyre.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23, pika 3 të Direktivës, duke parashikuar kufizimin e përmbajtjes së informacionit që FIU-ja u vë në dispozicion autoriteteve mbikëqyrëse, me qëllim mbrojtjen e analizave në vijim, të hetimeve penale dhe të identitetit të personave fizikë ose juridikë. Përjashtimi parashikohet vetëm kur dhënia e informacionit të tillë është rreptësisht e nevojshme për qëllimet e njoftimit të shkeljeve të mundshme. </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NormalWeb"/>
              <w:spacing w:before="0" w:beforeAutospacing="0" w:after="0" w:afterAutospacing="0"/>
              <w:rPr>
                <w:rFonts w:eastAsia="Calibri"/>
                <w:b/>
                <w:sz w:val="18"/>
                <w:szCs w:val="18"/>
                <w:lang w:val="en-GB" w:eastAsia="ar-SA"/>
              </w:rPr>
            </w:pPr>
            <w:r w:rsidRPr="00F727DA">
              <w:rPr>
                <w:rFonts w:eastAsia="Calibri"/>
                <w:b/>
                <w:sz w:val="18"/>
                <w:szCs w:val="18"/>
                <w:lang w:val="en-GB" w:eastAsia="ar-SA"/>
              </w:rPr>
              <w:t>Neni 24</w:t>
            </w: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sz w:val="18"/>
                <w:szCs w:val="18"/>
                <w:lang w:val="en-GB" w:eastAsia="ar-SA"/>
              </w:rPr>
              <w:t>Pezullimi ose mosdhënia e pëlqimit</w:t>
            </w:r>
            <w:r w:rsidRPr="00F727DA">
              <w:rPr>
                <w:rFonts w:eastAsia="Calibri"/>
                <w:sz w:val="18"/>
                <w:szCs w:val="18"/>
                <w:lang w:val="en-GB" w:eastAsia="ar-SA"/>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24(1)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të ndërmarrë masa urgjente, të drejtpërdrejta ose të tërthorta, për pezullimin ose mosdhënien e pëlqimit për një transaksion, në rastet kur ka dyshime se ky transaksion ka të bëjë me pastrimin e parave ose financimin e terrorizmit.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kur nevoja për pezullimin ose mosdhënien e pëlqimit për një transaksion përcaktohet në bazë të një dyshimi të raportuar sipas </w:t>
            </w:r>
            <w:r w:rsidRPr="00F727DA">
              <w:rPr>
                <w:rFonts w:ascii="Times New Roman" w:hAnsi="Times New Roman"/>
                <w:sz w:val="18"/>
                <w:szCs w:val="18"/>
                <w:highlight w:val="yellow"/>
                <w:lang w:eastAsia="sq-AL" w:bidi="sq-AL"/>
              </w:rPr>
              <w:t>nenit 69 të Rregullores</w:t>
            </w:r>
            <w:r w:rsidRPr="00F727DA">
              <w:rPr>
                <w:rFonts w:ascii="Times New Roman" w:hAnsi="Times New Roman"/>
                <w:sz w:val="18"/>
                <w:szCs w:val="18"/>
                <w:lang w:eastAsia="sq-AL" w:bidi="sq-AL"/>
              </w:rPr>
              <w:t xml:space="preserve"> (BE) 2024/1624, pezullimi ose mosdhënia e pëlqimit të ndërmerret ndaj subjektit të detyruar brenda periudhës së përmendur </w:t>
            </w:r>
            <w:r w:rsidRPr="00F727DA">
              <w:rPr>
                <w:rFonts w:ascii="Times New Roman" w:hAnsi="Times New Roman"/>
                <w:sz w:val="18"/>
                <w:szCs w:val="18"/>
                <w:highlight w:val="yellow"/>
                <w:lang w:eastAsia="sq-AL" w:bidi="sq-AL"/>
              </w:rPr>
              <w:t>në nenin 71</w:t>
            </w:r>
            <w:r w:rsidRPr="00F727DA">
              <w:rPr>
                <w:rFonts w:ascii="Times New Roman" w:hAnsi="Times New Roman"/>
                <w:sz w:val="18"/>
                <w:szCs w:val="18"/>
                <w:lang w:eastAsia="sq-AL" w:bidi="sq-AL"/>
              </w:rPr>
              <w:t xml:space="preserve"> të kësaj rregulloreje. Kur nevoja për pezullimin e një transaksioni bazohet në punën analitike të NjIF-së, pavarësisht nëse është depozituar ose jo një raport paraprak nga subjekti i detyruar, pezullimi ndërmerret sa më shpejt të jetë e mundur nga NjIF-ja.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Pezullimi ose mosdhënia e pëlqimit për një transaksion ndërmerret nga NjIF-ja me qëllim për të ruajtur fondet, për të kryer analizat e saj, duke përfshirë analizën e transaksionit, për të vlerësuar nëse dyshimi është konfirmuar dhe, nëse po, për të shpërndarë rezultatet e analizave tek autoritetet kompetente përkatëse për të lejuar kështu miratimin e masave të përshtatshme.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përcaktojnë periudhën e pezullimit ose të mosdhënies së pëlqimit të zbatueshme për punën analitike të NjIF-ve, e cila nuk është më shumë se 10 ditë pune. Shtetet anëtare mund të përcaktojnë një periudhë më të gjatë kur, në përputhje me legjislacionin e brendshëm, NjIF-të kryejnë funksionin e gjurmimit, sekuestrimit, ngrirjes ose konfiskimit të aseteve kriminale. Kur parashikohet një periudhë më e gjatë e pezullimit ose mosdhënies së pëlqimit, shtetet anëtare garantojnë që NjIF-të të ushtrojnë funksionin e tyre duke iu nënshtruar masave të duhura mbrojtëse kombëtare, të tilla si mundësia që personi transaksioni i të cilit është pezulluar, ta kundërshtojë këtë pezullim përpara një gjykate.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ta zhvleftësuar pezullimin ose mosdhënien e pëlqimit në çdo kohë, në rast se arrijnë në përfundimin se pezullimi ose mosdhënia e pëlqimit nuk është më e nevojshme për të përmbushur objektivat e përcaktuara në nënparagrafin e tretë.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lidhur me pezullimin ose mosdhënien e pëlqimit siç përmendet në këtë paragraf, me kërkesë të një NjIF-je të një shteti tjetër anëtar.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2732F" w:rsidRPr="00D2732F" w:rsidRDefault="00D2732F" w:rsidP="00A87413">
            <w:pPr>
              <w:widowControl w:val="0"/>
              <w:suppressAutoHyphens w:val="0"/>
              <w:spacing w:after="0" w:line="276" w:lineRule="auto"/>
              <w:rPr>
                <w:rFonts w:ascii="Times New Roman" w:hAnsi="Times New Roman"/>
                <w:sz w:val="18"/>
                <w:szCs w:val="18"/>
                <w:lang w:val="sq-AL" w:eastAsia="en-US"/>
              </w:rPr>
            </w:pPr>
            <w:r w:rsidRPr="00D2732F">
              <w:rPr>
                <w:rFonts w:ascii="Times New Roman" w:hAnsi="Times New Roman"/>
                <w:sz w:val="18"/>
                <w:szCs w:val="18"/>
                <w:lang w:val="sq-AL" w:eastAsia="en-US"/>
              </w:rPr>
              <w:t>Neni 20</w:t>
            </w:r>
          </w:p>
          <w:p w:rsidR="00D2732F" w:rsidRPr="00D2732F" w:rsidRDefault="00D2732F" w:rsidP="00A87413">
            <w:pPr>
              <w:widowControl w:val="0"/>
              <w:suppressAutoHyphens w:val="0"/>
              <w:spacing w:after="0" w:line="276" w:lineRule="auto"/>
              <w:rPr>
                <w:rFonts w:ascii="Times New Roman" w:hAnsi="Times New Roman"/>
                <w:sz w:val="18"/>
                <w:szCs w:val="18"/>
                <w:lang w:val="sq-AL" w:eastAsia="en-US"/>
              </w:rPr>
            </w:pPr>
            <w:r w:rsidRPr="00D2732F">
              <w:rPr>
                <w:rFonts w:ascii="Times New Roman" w:hAnsi="Times New Roman"/>
                <w:sz w:val="18"/>
                <w:szCs w:val="18"/>
                <w:lang w:val="sq-AL" w:eastAsia="en-US"/>
              </w:rPr>
              <w:t>Bllokimi apo mosdhënia e pëlqimit për kryerjen e transaksioneve</w:t>
            </w:r>
          </w:p>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1. Agjencia e Inteligjencës Financiare ka kompetencë  të marrë masa urgjente, drejtpërdrejt ose tërthorazi, kur ekziston dyshimi se një transaksion lidhet me pastrimin e parave,  financimin e terrorizmit  apo financimin e armëve të dëmtimit në masë, për të bllokuar ose për të mos dhënë pëlqimin për kryerjen e këtij transaksioni.</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a) Kur nevoja për pezullimin ose mosdhënien e pëlqimit për kryerjen e një transaksioni konstatohet mbi bazën e një dyshimi të raportuar nga subjekti i detyruar, pezullimi ose mosdhënia e pëlqimit i komunikohet subjektit të detyruar brenda afateve të parashikuar nga ky ligj.</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b) Kur nevoja për pezullimin e transaksionit bazohet në analizën financiare të kryer nga Agjencia e Inteligjencës Financiare, pavarësisht nëse është paraqitur ose jo më parë një raport nga subjekti i detyruar, pezullimi vendoset sa më shpejt që të jetë e mundur nga Agjencia e Inteligjencës Financiare.</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marrjen e masave të përshtatshme.</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ç) Kohëzgjatja e pezullimit ose e mosdhënies së pëlqimit për kryerjen e një transaksioni, për qëllime të analizës financiare nga Agjencia e Inteligjencës Financiare, përcaktohet me këtë ligj dhe nuk mund të tejkalojë 10 ditë pune.</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Me përjashtim të këtij rasti, një afat më i gjatë mund të parashikohet vetëm kur, sipas legjislacionit kombëtar, Agjencia e Inteligjencës Financiare ushtron funksione të gjurmimit, sekuestrimit, ngrirjes ose konfiskimit të pasurive me origjinë kriminale.</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Në rast se parashikohet një afat më i gjatë pezullimi ose mosdhënie pëlqimi, sigurohen garanci të përshtatshme ligjore, përfshirë të drejtën e personit, transaksioni i të cilit është pezulluar, për ta kundërshtuar këtë masë në gjykatë.</w:t>
            </w:r>
          </w:p>
          <w:p w:rsidR="00D2732F"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d)  Agjencia e Inteligjencës Financiare është e autorizuar të heqë në çdo kohë pezullimin ose mosdhënien e pëlqimit për kryerjen e një transaksioni, kur konstaton se kjo masë nuk është më e nevojshme për arritjen e qëllimeve të parashikuara në shkronjën “c” të këtij neni.</w:t>
            </w:r>
          </w:p>
          <w:p w:rsidR="006E5B5B" w:rsidRPr="00D2732F" w:rsidRDefault="00D2732F" w:rsidP="00A87413">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e) Agjencia e Inteligjencës Financiare ka kompetence të pezullojë ose të mos japë pëlqimin për kryerjen e një transaksioni, sipas këtij neni, me kërkesë të një njësie homologe të inteligjencës financiare të një shteti tjetër.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Kjo dispozitë transpozon parashikimin e Direktivës që u mundëson FIU-ve të ndërmarrin masa pezullimi ose mosdhënieje pëlqimi për kryerjen e transaksioneve edhe me kërkesë të FIU-ve homologe të shteteve të tjera. Dispozita forcon bashkëpunimin ndërkombëtar dhe shkëmbimin efektiv të informacionit ndërmjet FIU-ve, duke respektuar kompetencat kombëtare dhe kuadrin ligjor përkatës.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24(2)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dyshime se një llogari bankare ose llogari pagese, një llogari kriptoasetesh ose një marrëdhënie biznesi është e lidhur me pastrimin e parave ose financimin e terrorizmit, shtetet anëtare garantojnë që NjIF-ja të ketë kompetenca për të ndërmarrë masa urgjente, në mënyrë të drejtpërdrejtë ose të tërthortë, për të pezulluar përdorimin e asaj llogarie ose për të pezulluar marrëdhënien e biznesit me qëllim për të ruajtur fondet, për të kryer analizat e saj, për të vlerësuar nëse dyshimi është konfirmuar dhe, nëse po, për të shpërndarë rezultatet e analizave tek autoritetet kompetente përkatëse për të lejuar kështu miratimin e masave të duhura.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përcaktojnë periudhën e pezullimit të zbatueshme për punën analitike të NjIF-ve, e cila nuk është më shumë se 5 ditë pune. Shtetet anëtare mund të përcaktojnë një periudhë më të gjatë kur, në përputhje me legjislacionin e brendshëm, NjIF-të kryejnë funksionin e gjurmimit, sekuestrimit, ngrirjes ose konfiskimit të aseteve kriminale. Kur parashikohet një periudhë më e gjatë pezullimi, shtetet anëtare garantojnë që NjIF-të të ushtrojnë funksionin e tyre duke iu nënshtruar masave të duhura mbrojtëse kombëtare, të tilla si mundësia që personi llogaria bankare ose llogaria e pagesës, llogaria e kriptoaseteve ose marrëdhënia e biznesit e të cilit është pezulluar, ta kundërshtojë këtë pezullim përpara një gjykate.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ta zhvleftësuar pezullimin në çdo kohë, në rast se arrijnë në përfundimin se pezullimi nuk është më i nevojshëm për të përmbushur objektivat e përcaktuara në nënparagrafin e parë.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NjIF-ve t'u jepen kompetenca për të pezulluar përdorimin e një llogarie ose për të pezulluar një marrëdhënie biznesi siç përmendet në këtë paragraf, </w:t>
            </w:r>
            <w:r w:rsidRPr="00F727DA">
              <w:rPr>
                <w:rFonts w:ascii="Times New Roman" w:hAnsi="Times New Roman"/>
                <w:color w:val="FF0000"/>
                <w:sz w:val="18"/>
                <w:szCs w:val="18"/>
                <w:lang w:eastAsia="sq-AL" w:bidi="sq-AL"/>
              </w:rPr>
              <w:t>me kërkesë të një NjIF-je të një shteti tjetër anëtar.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0F4599" w:rsidRPr="000F4599" w:rsidRDefault="000F4599" w:rsidP="00A87413">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2. Kur ekziston dyshimi se një llogari bankare ose llogari pagese, një llogari e aseteve virtuale ose një marrëdhënie biznesi lidhet me pastrimin e parave, financimin e terrorizmit  apo financimin e armëve të dëmtimit në masë, Agjencia e Inteligjencës Financiare ka kompetence të marrë masa urgjente, drejtpërdrejt ose tërthorazi, për të pezulluar përdorimin e kësaj llogarie ose për të pezulluar marrëdhënien e biznesit, me qëllim ruajtjen e fondeve, kryerjen e analizave financiare, vlerësimin nëse dyshimi konfirmohet dhe, në rast konfirmimi, njoftimin e rezultateve të analizave pranë autoriteteve kompetente përkatëse, me qëllim marrjen e masave të përshtatshme.</w:t>
            </w:r>
          </w:p>
          <w:p w:rsidR="000F4599" w:rsidRPr="000F4599" w:rsidRDefault="000F4599" w:rsidP="00A87413">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Për qëllime të këtij neni, marrja e masave në mënyrë të tërthortë nënkupton vendosjen e pezullimit ose mosdhënies së pëlqimit përmes subjektit të detyruar ose autoritetit kompetent që administron llogarinë, marrëdhënien e biznesit ose transaksionin përkatës.</w:t>
            </w:r>
          </w:p>
          <w:p w:rsidR="000F4599" w:rsidRPr="000F4599" w:rsidRDefault="000F4599" w:rsidP="00A87413">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Pezullimi i përdorimit të një llogarie bankare ose llogarie pagese, të një llogarie të aseteve virtuale ose i një marrëdhënieje biznesi, i vendosur nga Agjencia e Inteligjencës Financiare për qëllime të analizës financiare, zbatohet për një afat maksimal prej 72 orësh, në përputhje me këtë ligj. Ky pezullim ka karakter të përkohshëm dhe urgjent, me qëllim ruajtjen e fondeve dhe përfundimin e analizës financiare nga Agjencia e Inteligjencës Financiare. Pas përfundimit të këtij afati, çdo masë e mëtejshme mbi fondet, llogaritë ose marrëdhënien e biznesit ndërmerret nga autoritetet kompetente, në përputhje me Kodin Penal.</w:t>
            </w:r>
          </w:p>
          <w:p w:rsidR="000F4599" w:rsidRPr="000F4599" w:rsidRDefault="000F4599" w:rsidP="00A87413">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rsidR="000F4599" w:rsidRPr="000F4599" w:rsidRDefault="000F4599" w:rsidP="00A87413">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Agjencia e Inteligjencës Financiare ka kompetence të pezullojë përdorimin e një llogarie ose të pezullojë një marrëdhënie biznesi, sipas këtij neni, me kërkesë të një njësie homologe të inteligjencës financiare të një shteti tjetër.</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plotësisht nenin 24 pika 2 të Direktivës, duke i dhënë Agjencisë së Inteligjencës Financiare kompetencën për të ndërmarrë masa urgjente për pezullimin e përdorimit të llogarive bankare, llogarive të pagesave, llogarive të aseteve virtuale ose të marrëdhënieve të biznesit, kur ekziston dyshim për pastrim parash ose financim terrorizmi. Transpozimi është përshtatur me realitetin institucional dhe procedural shqiptar, duke reflektuar rolin administrativ dhe analitik të FIU-së, kufizimin kohor të masës dhe faktin që çdo masë e mëtejshme mbi pasuritë ndërmerret nga autoritetet kompetente, duke siguruar përputhje të plotë me qëllimin dhe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24(3)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Ndërmarrja e pezullimit ose mosdhënies së pëlqimit në përputhje me këtë nen nuk i ngarkon asnjë lloj përgjegjësie NjIF-së ose drejtorëve apo punonjësve të saj.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0F4599" w:rsidRDefault="000F4599" w:rsidP="00A87413">
            <w:pPr>
              <w:snapToGrid w:val="0"/>
              <w:spacing w:after="0" w:line="240" w:lineRule="auto"/>
              <w:rPr>
                <w:rFonts w:ascii="Times New Roman" w:hAnsi="Times New Roman"/>
                <w:sz w:val="18"/>
                <w:szCs w:val="18"/>
                <w:lang w:val="sq-AL"/>
              </w:rPr>
            </w:pPr>
            <w:r w:rsidRPr="000F4599">
              <w:rPr>
                <w:rFonts w:ascii="Times New Roman" w:hAnsi="Times New Roman"/>
                <w:sz w:val="18"/>
                <w:szCs w:val="18"/>
                <w:lang w:val="sq-AL"/>
              </w:rPr>
              <w:t>3. Vendosja e pezullimit ose e mosdhënies së pëlqimit sipas këtij neni nuk sjell asnjë lloj përgjegjësie civile, penale apo administrative për Agjencinë e Inteligjencës Financiare, drejtorët apo punonjësit e saj.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që ndërmarrja e këtyre masave nuk sjell përgjegjësi civile, penale apo administrative për Agjencinë e Inteligjencës Financiare, drejtorët ose punonjësit e saj, siç kërkohet nga neni 24, paragrafi 3 i</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Direktivës (BE) 2024/1640.</w:t>
            </w:r>
          </w:p>
          <w:p w:rsidR="006E5B5B" w:rsidRPr="00F727DA" w:rsidRDefault="006E5B5B" w:rsidP="00A87413">
            <w:pPr>
              <w:snapToGrid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25</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Udhëzime për monitorimin e transaksioneve ose aktiviteteve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të udhëzuar subjektet e detyruara që të monitorojnë, për një periudhë që do të specifikohet nga NjIF-ja, transaksionet ose veprimtaritë që kryhen nëpërmjet një ose disa llogarive bankare, llogarive të pagesave apo të kriptoaseteve ose marrëdhënieve të tjera të biznesit të menaxhuara nga subjekti i detyruar për personat që paraqesin rrezik të konsiderueshëm për pastrim parash, për veprat penale bazë të lidhura me të ose për financim terrorizmi. Shtetet anëtare garantojnë gjithashtu që NjIF-të të kenë kompetenca për të udhëzuar subjektin e detyruar që të raportojë mbi rezultatet e monitorimit.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NjIF-ve t’u jepen kompetenca për të ndërmarrë masat e monitorimit të përmendura në këtë nen, me kërkesë të një NjIF-je të një shteti tjetër anëtar.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3014D7" w:rsidRPr="003014D7" w:rsidRDefault="003014D7" w:rsidP="00A87413">
            <w:pPr>
              <w:widowControl w:val="0"/>
              <w:snapToGrid w:val="0"/>
              <w:spacing w:after="0" w:line="240" w:lineRule="auto"/>
              <w:rPr>
                <w:rFonts w:ascii="Times New Roman" w:hAnsi="Times New Roman"/>
                <w:sz w:val="18"/>
                <w:szCs w:val="18"/>
                <w:lang w:val="sq-AL"/>
              </w:rPr>
            </w:pPr>
            <w:r w:rsidRPr="003014D7">
              <w:rPr>
                <w:rFonts w:ascii="Times New Roman" w:hAnsi="Times New Roman"/>
                <w:sz w:val="18"/>
                <w:szCs w:val="18"/>
                <w:lang w:val="sq-AL"/>
              </w:rPr>
              <w:t>Neni 21</w:t>
            </w:r>
          </w:p>
          <w:p w:rsidR="003014D7" w:rsidRPr="003014D7" w:rsidRDefault="003014D7" w:rsidP="00A87413">
            <w:pPr>
              <w:widowControl w:val="0"/>
              <w:snapToGrid w:val="0"/>
              <w:spacing w:after="0" w:line="240" w:lineRule="auto"/>
              <w:rPr>
                <w:rFonts w:ascii="Times New Roman" w:hAnsi="Times New Roman"/>
                <w:sz w:val="18"/>
                <w:szCs w:val="18"/>
                <w:lang w:val="sq-AL"/>
              </w:rPr>
            </w:pPr>
            <w:r w:rsidRPr="003014D7">
              <w:rPr>
                <w:rFonts w:ascii="Times New Roman" w:hAnsi="Times New Roman"/>
                <w:sz w:val="18"/>
                <w:szCs w:val="18"/>
                <w:lang w:val="sq-AL"/>
              </w:rPr>
              <w:t xml:space="preserve">Urdhri për monitorimin e transaksioneve apo veprimtarive </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A52224" w:rsidRPr="00A52224" w:rsidRDefault="00A52224" w:rsidP="00A87413">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1. Agjencia e Inteligjencës Financiare urdhëron subjekteve të detyruara që, për një periudhë të caktuar kohe të përcaktuar nga Agjencia, të monitorojnë transaksionet apo veprimtaritë që kryhen përmes një ose më shumë llogarive bankare, llogarive të pagesave, llogarive të aseteve virtuale ose marrëdhënieve të tjera të biznesit të administruara prej tyre, kur këto lidhen me persona që paraqesin rrezik të konsiderueshëm për pastrim parash, veprat penale te lidhura me te,  financimin e terrorizmit apo financimin e armëve të dëmtimit në masë.</w:t>
            </w:r>
          </w:p>
          <w:p w:rsidR="00A52224" w:rsidRPr="00A52224" w:rsidRDefault="00A52224" w:rsidP="00A87413">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 xml:space="preserve">2. Agjencia e Inteligjencës Financiare urdhëron subjektet e detyruara të raportojnë rezultatet e monitorimit të kryer sipas pikës 1 të këtij </w:t>
            </w:r>
            <w:r w:rsidRPr="00A52224">
              <w:rPr>
                <w:rFonts w:ascii="Times New Roman" w:hAnsi="Times New Roman"/>
                <w:sz w:val="18"/>
                <w:szCs w:val="18"/>
                <w:highlight w:val="yellow"/>
                <w:lang w:val="sq-AL"/>
              </w:rPr>
              <w:t>neni brenda afatit (xxxx).</w:t>
            </w:r>
          </w:p>
          <w:p w:rsidR="00A52224" w:rsidRPr="00A52224" w:rsidRDefault="00A52224" w:rsidP="00A87413">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3. Agjencia e Inteligjencës Financiare urdhëron masa monitorimi sipas këtij neni me kërkesë të një njësie homologe të inteligjencës financiare të një shteti tjetër.</w:t>
            </w:r>
          </w:p>
          <w:p w:rsidR="006E5B5B" w:rsidRPr="00F727DA" w:rsidRDefault="00A52224" w:rsidP="00A87413">
            <w:pPr>
              <w:widowControl w:val="0"/>
              <w:spacing w:after="0" w:line="240" w:lineRule="auto"/>
              <w:rPr>
                <w:rFonts w:ascii="Times New Roman" w:hAnsi="Times New Roman"/>
                <w:sz w:val="18"/>
                <w:szCs w:val="18"/>
              </w:rPr>
            </w:pPr>
            <w:r w:rsidRPr="00A52224">
              <w:rPr>
                <w:rFonts w:ascii="Times New Roman" w:hAnsi="Times New Roman"/>
                <w:sz w:val="18"/>
                <w:szCs w:val="18"/>
              </w:rPr>
              <w:t xml:space="preserve">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Ky nen transpozon dispozitat e Direktivës, nenin 25 te saj, që i jep AIF  kompetencën për të urdhëruar subjektet e detyruara të monitorojnë transaksione ose veprimtari të caktuara për persona që paraqesin rrezik të konsiderueshëm për pastrim parash, veprat penale parësore ose financimin e terrorizmit, si dhe për të raportuar rezultatet e këtij monitorimi. Dispozita parashikon gjithashtu mundësinë e vendosjes së masave të monitorimit me kërkesë të FIU-ve homologe të shteteve të tjera, duke forcuar bashkëpunimin ndërkombëtar. Transpozimi është përshtatur me kuadrin ligjor shqiptar dhe ruan plotësisht qëllimin, përmbajtjen dhe efektin juridik të Direktivës.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Neni 26</w:t>
            </w: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sz w:val="18"/>
                <w:szCs w:val="18"/>
              </w:rPr>
              <w:t>Sinjalizime për subjektet e detyruara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1" w:name="_Hlk220319091"/>
            <w:r w:rsidRPr="00F727DA">
              <w:rPr>
                <w:rFonts w:ascii="Times New Roman" w:hAnsi="Times New Roman"/>
                <w:sz w:val="18"/>
                <w:szCs w:val="18"/>
              </w:rPr>
              <w:t>26(1)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sinjalizojnë subjektet e detyruara lidhur me informacionet me rëndësi për realizimin e vigjilencës së duhur ndaj klientit sipas kreut III të Rregullores (BE) 2024/1624. Ky informacion përfshin: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FF3290" w:rsidRPr="00FF3290" w:rsidRDefault="00FF3290" w:rsidP="00A87413">
            <w:pPr>
              <w:snapToGrid w:val="0"/>
              <w:spacing w:after="0" w:line="240" w:lineRule="auto"/>
              <w:rPr>
                <w:rFonts w:ascii="Times New Roman" w:hAnsi="Times New Roman"/>
                <w:sz w:val="18"/>
                <w:szCs w:val="18"/>
                <w:lang w:val="sq-AL"/>
              </w:rPr>
            </w:pPr>
            <w:r w:rsidRPr="00FF3290">
              <w:rPr>
                <w:rFonts w:ascii="Times New Roman" w:hAnsi="Times New Roman"/>
                <w:sz w:val="18"/>
                <w:szCs w:val="18"/>
                <w:lang w:val="sq-AL"/>
              </w:rPr>
              <w:t>Neni 22</w:t>
            </w:r>
            <w:r w:rsidRPr="00FF3290">
              <w:rPr>
                <w:rFonts w:ascii="Times New Roman" w:hAnsi="Times New Roman"/>
                <w:sz w:val="18"/>
                <w:szCs w:val="18"/>
                <w:lang w:val="sq-AL"/>
              </w:rPr>
              <w:br/>
              <w:t xml:space="preserve">Njoftime paralajmëruese ndaj subjekteve të detyruara </w:t>
            </w:r>
          </w:p>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FF3290" w:rsidRPr="00FF3290" w:rsidRDefault="00FF3290" w:rsidP="00A87413">
            <w:pPr>
              <w:snapToGrid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1. Agjencia e Inteligjencës Financiare ka kompetencë të njoftojë subjektet e detyruara lidhur me  informacionin që është i rëndësishëm për përmbushjen e detyrimeve ligjore mbi për zbatimin e masave të vigjilencës së duhur ndaj klientit, sipas Kreut II të Rregullores (BE) 2024/1624.</w:t>
            </w:r>
          </w:p>
          <w:p w:rsidR="006E5B5B" w:rsidRPr="00FF3290" w:rsidRDefault="00FF3290" w:rsidP="00A87413">
            <w:pPr>
              <w:snapToGrid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Ky informacion përfshin: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sz w:val="18"/>
                <w:szCs w:val="18"/>
              </w:rPr>
            </w:pPr>
            <w:r w:rsidRPr="00F727DA">
              <w:rPr>
                <w:rFonts w:eastAsia="Calibri"/>
                <w:sz w:val="18"/>
                <w:szCs w:val="18"/>
                <w:lang w:val="en-GB" w:eastAsia="ar-SA"/>
              </w:rPr>
              <w:t>Kjo dispozitë transpozon nenin 26, pika 1 të Direktivës, duke parashikuar kompetencën e FIU-së për të njoftuar subjektet e detyruara mbi informacion të rëndësishëm për përmbushjen e detyrimeve të verifikimit të klientit. Dispozita përcakton qartë kategoritë e informacionit që mund të komunikohen, përfshirë llojet e transaksioneve ose veprimtarive, personat dhe zonat gjeografike që paraqesin rrezik të konsiderueshëm për pastrim parash, veprat penale parësore dhe financimin e terrorizmit. Transpozimi ruan plotësisht përmbajtjen dhe qëllimin e Direktivës, duke e përshtatur atë me terminologjinë dhe strukturën e legjislacionit shqiptar.</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lloje të transaksioneve ose veprimtarive që paraqesin rrezik të konsiderueshëm për pastrimin e parave, veprat penale bazë të lidhura me të dhe financimin e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lloje të transaksioneve ose veprimtarive që paraqesin rrezik të konsiderueshëm për pastrimin e parave, veprat penale bazë të lidhura me të, financimin e terrorizmit  apo financimin e armëve të dëmtimit në masë;</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tcPr>
          <w:p w:rsidR="006E5B5B" w:rsidRPr="00F727DA" w:rsidRDefault="006E5B5B" w:rsidP="00A87413">
            <w:pPr>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 të veçantë që paraqesin rrezik të konsiderueshëm për pastrimin e parave, veprat penale bazë të lidhura me të dhe financimin e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persona të veçantë që paraqesin rrezik të konsiderueshëm për  për pastrimin e parave, veprat penale bazë të lidhura me të, financimin e terrorizmit  apo financimin e armëve të dëmtimit në masë;</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tcPr>
          <w:p w:rsidR="006E5B5B" w:rsidRPr="00F727DA" w:rsidRDefault="006E5B5B" w:rsidP="00A87413">
            <w:pPr>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zona specifike gjeografike që paraqesin rrezik të konsiderueshëm për pastrimin e parave, veprat penale bazë të lidhura me të dhe financimin e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c) zona specifike gjeografike që paraqesin rrezik të konsiderueshëm  për pastrimin e parave, veprat penale bazë të lidhura me të, financimin e terrorizmit  apo financimin e armëve të dëmtimit në masë;</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bookmarkEnd w:id="1"/>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e përmendur në paragrafin 1 është e zbatueshme për një periudhë të parashtruar në legjislacionin e brendshëm, e cila nuk është më shumë se 6 muaj.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F3290" w:rsidRDefault="00FF3290" w:rsidP="00A87413">
            <w:pPr>
              <w:widowControl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2. Njoftimi i parashikuar në pikën 1 të këtij neni zbatohet për një periudhë të caktuar, të njoftuar nga Agjencia e Inteligjencës Financiare, e cila në çdo rast nuk mund të tejkalojë 6 muaj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Pika 2 e këtij neni transpozon parashikimin e Direktivës lidhur me kohëzgjatjen e detyrimit për njoftimin e subjekteve të detyruara, duke IF, brenda kufirit maksimal prej 6 muajsh, në përputhje me kërkesat e proporcionalitetit.</w:t>
            </w:r>
            <w:r w:rsidRPr="00F727DA">
              <w:rPr>
                <w:rFonts w:ascii="Times New Roman" w:hAnsi="Times New Roman"/>
                <w:sz w:val="18"/>
                <w:szCs w:val="18"/>
              </w:rPr>
              <w:br/>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NjIF-të u sigurojnë çdo vit subjekteve të detyruara informacion strategjik mbi tipologjitë, treguesit e rrezikut dhe tendencat e pastrimit të parave dhe financimit të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F3290" w:rsidRDefault="00FF3290" w:rsidP="00A87413">
            <w:pPr>
              <w:widowControl w:val="0"/>
              <w:spacing w:after="0" w:line="240" w:lineRule="auto"/>
              <w:rPr>
                <w:rFonts w:ascii="Times New Roman" w:hAnsi="Times New Roman"/>
                <w:sz w:val="18"/>
                <w:szCs w:val="18"/>
                <w:lang w:val="sq-AL"/>
              </w:rPr>
            </w:pPr>
            <w:r w:rsidRPr="00FF3290">
              <w:rPr>
                <w:rFonts w:ascii="Times New Roman" w:hAnsi="Times New Roman"/>
                <w:sz w:val="18"/>
                <w:szCs w:val="18"/>
                <w:lang w:val="sq-AL"/>
              </w:rPr>
              <w:t>3. Agjencia e Inteligjencës Financiare u vë në dispozicion subjekteve të detyruara, të paktën një herë në vit, informacion strategjik mbi tipologjitë, treguesit (idikatorët) e rrezikut dhe tendencat në fushën e pastrimit të parave dhe financimit të terrorizmit.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Pika 3 transpozon detyrimin e AIF për t’u vënë në dispozicion subjekteve të detyruara informacion strategjik mbi tipologjitë, treguesit e rrezikut dhe tendencat në fushën e pastrimit të parave dhe financimit të terrorizmit, të paktën në baza vjetore. Dispozitat sigurojnë përputhje të plotë me Direktivën dhe janë përshtatur me terminologjinë dhe praktikën e legjislacionit shqiptar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27</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Raporti vjetor i NjIF</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garanton që NjIF-ja e tij të publikojë një raport vjetor mbi veprimtaritë e saj. Raporti përmban statistika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7E1C8C" w:rsidRPr="007E1C8C" w:rsidRDefault="007E1C8C" w:rsidP="00A87413">
            <w:pPr>
              <w:widowControl w:val="0"/>
              <w:snapToGrid w:val="0"/>
              <w:spacing w:after="0" w:line="240" w:lineRule="auto"/>
              <w:rPr>
                <w:rFonts w:ascii="Times New Roman" w:hAnsi="Times New Roman"/>
                <w:sz w:val="18"/>
                <w:szCs w:val="18"/>
                <w:lang w:val="sq-AL"/>
              </w:rPr>
            </w:pPr>
            <w:r w:rsidRPr="007E1C8C">
              <w:rPr>
                <w:rFonts w:ascii="Times New Roman" w:hAnsi="Times New Roman"/>
                <w:sz w:val="18"/>
                <w:szCs w:val="18"/>
                <w:lang w:val="sq-AL"/>
              </w:rPr>
              <w:t>Neni 23</w:t>
            </w:r>
          </w:p>
          <w:p w:rsidR="007E1C8C" w:rsidRPr="007E1C8C" w:rsidRDefault="007E1C8C" w:rsidP="00A87413">
            <w:pPr>
              <w:widowControl w:val="0"/>
              <w:snapToGrid w:val="0"/>
              <w:spacing w:after="0" w:line="240" w:lineRule="auto"/>
              <w:rPr>
                <w:rFonts w:ascii="Times New Roman" w:hAnsi="Times New Roman"/>
                <w:sz w:val="18"/>
                <w:szCs w:val="18"/>
                <w:lang w:val="sq-AL"/>
              </w:rPr>
            </w:pPr>
            <w:r w:rsidRPr="007E1C8C">
              <w:rPr>
                <w:rFonts w:ascii="Times New Roman" w:hAnsi="Times New Roman"/>
                <w:sz w:val="18"/>
                <w:szCs w:val="18"/>
                <w:lang w:val="sq-AL"/>
              </w:rPr>
              <w:t>Raporti vjetor i Autoritetit të Inteligjencës Financiare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Agjencia e Inteligjencës Financiare publikon, brenda tremujorit të parë të çdo viti, raportin publik vjetor për vitin pararendës mbi veprimtarinë e saj.</w:t>
            </w:r>
            <w:r w:rsidRPr="00F727DA">
              <w:rPr>
                <w:rFonts w:ascii="Times New Roman" w:hAnsi="Times New Roman"/>
                <w:sz w:val="18"/>
                <w:szCs w:val="18"/>
              </w:rPr>
              <w:br/>
              <w:t>Raporti, ndër të tjera, duhet të përmbajë të dhëna statistikore për: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publikimin e një raporti</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vjetor nga Agjencia e Inteligjencës Financiare mbi veprimtarinë e saj, duke specifikuar përmbajtjen minimale të këtij raporti dhe për përfshirjen e statistikave të detajuara të listuara në nenin 27, paragrafi 1, pikat (a)–(h).</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2" w:name="_Hlk220319281"/>
            <w:r w:rsidRPr="00F727DA">
              <w:rPr>
                <w:rFonts w:ascii="Times New Roman" w:hAnsi="Times New Roman"/>
                <w:sz w:val="18"/>
                <w:szCs w:val="18"/>
              </w:rPr>
              <w:t>27(a)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ndjekjen e raporteve të transaksioneve dhe veprimtarive të dyshimta që ka ndërmarrë nga NjIF-ja;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ndjekjen, ecurinë dhe trajtimin nga Agjencia e Inteligjencës Financiare të raporteve për transaksione dhe veprimtari të dyshimta të marra;</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raportet mbi transaksionet e dyshimta të dorëzuara nga subjektet e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raportet  e aktivitete të dyshimta (RAD)  te raportuara nga subjektet e detyruara;</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zbulimet e informacionit nga mbikëqyrësit dhe regjistrat qendrorë;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2064" w:type="dxa"/>
            <w:shd w:val="clear" w:color="auto" w:fill="auto"/>
            <w:vAlign w:val="center"/>
          </w:tcPr>
          <w:p w:rsidR="006E5B5B" w:rsidRPr="007E1C8C"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c) nformacionin e vënë në dispozicion nga autoritetet mbikëqyrëse, si dhe informacionin e transmetuar nga regjistrat qendrorë; </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shpërndarjen tek autoritetet kompetente dhe ndjekjen e këtyre shpërndarjeve;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 d) referimet e informacionit pranë autoriteteve kompetente dhe ndjekjen e mëtejshme të këtyre referimeve;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paraqitura dhe të marra nga NjIF-të e tjera;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e) kërkesat e paraqitura pranë dhe të marra nga njësitë e inteligjencës financiare të shteteve të tjera;</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paraqitura dhe të marra nga autoritetet kompetente të përmendura në nenin 2, paragrafi 1, pika 44, germa "c"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7E1C8C" w:rsidRDefault="007E1C8C" w:rsidP="00A87413">
            <w:pPr>
              <w:widowControl w:val="0"/>
              <w:spacing w:after="0" w:line="240" w:lineRule="auto"/>
              <w:rPr>
                <w:rFonts w:ascii="Times New Roman" w:hAnsi="Times New Roman"/>
                <w:bCs/>
                <w:sz w:val="18"/>
                <w:szCs w:val="18"/>
                <w:lang w:val="sq-AL"/>
              </w:rPr>
            </w:pPr>
            <w:r w:rsidRPr="007E1C8C">
              <w:rPr>
                <w:rFonts w:ascii="Times New Roman" w:hAnsi="Times New Roman"/>
                <w:bCs/>
                <w:sz w:val="18"/>
                <w:szCs w:val="18"/>
                <w:lang w:val="sq-AL"/>
              </w:rPr>
              <w:t>f) kërkesat e paraqitura pranë dhe të marra nga autoritetet kompetente përgjegjëse për parandalimin dhe luftën kundër pastrimit të parave dhe financimit të terrorizmit te përcaktuara në këtë ligj;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27(g)</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të alokuara;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b/>
                <w:bCs/>
                <w:sz w:val="18"/>
                <w:szCs w:val="18"/>
                <w:lang w:eastAsia="sq-AL" w:bidi="sq-AL"/>
              </w:rPr>
              <w:t>g)</w:t>
            </w:r>
            <w:r w:rsidRPr="00F727DA">
              <w:rPr>
                <w:rFonts w:ascii="Times New Roman" w:hAnsi="Times New Roman"/>
                <w:sz w:val="18"/>
                <w:szCs w:val="18"/>
                <w:lang w:eastAsia="sq-AL" w:bidi="sq-AL"/>
              </w:rPr>
              <w:t xml:space="preserve"> burimet njerëzore të vëna në dispozicion;</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27(h)</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mbi transferimet fizike ndërkufitare të parave të përcjella nga autoritetet doganore në përputhje me nenin 9 të Rregullores (BE) 2018/1672.</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lang w:eastAsia="sq-AL" w:bidi="sq-AL"/>
              </w:rPr>
              <w:t>h)</w:t>
            </w:r>
            <w:r w:rsidRPr="00F727DA">
              <w:rPr>
                <w:rFonts w:ascii="Times New Roman" w:hAnsi="Times New Roman"/>
                <w:bCs/>
                <w:sz w:val="18"/>
                <w:szCs w:val="18"/>
                <w:lang w:eastAsia="sq-AL" w:bidi="sq-AL"/>
              </w:rPr>
              <w:t xml:space="preserve"> </w:t>
            </w:r>
            <w:r w:rsidRPr="00F727DA">
              <w:rPr>
                <w:sz w:val="18"/>
                <w:szCs w:val="18"/>
              </w:rPr>
              <w:t xml:space="preserve"> </w:t>
            </w:r>
            <w:r w:rsidRPr="00F727DA">
              <w:rPr>
                <w:rFonts w:ascii="Times New Roman" w:hAnsi="Times New Roman"/>
                <w:bCs/>
                <w:sz w:val="18"/>
                <w:szCs w:val="18"/>
                <w:lang w:eastAsia="sq-AL" w:bidi="sq-AL"/>
              </w:rPr>
              <w:t>të dhëna mbi kalimet ndërkufitare të parasë në fizike, të transmetuara nga autoritetet doganore;</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paragrafin e parë përmban gjithashtu informacion mbi tendencat dhe tipologjitë e identifikuara në dosjet që u shpërndahen autoriteteve të tjera kompetente. Informacioni i përfshirë në raport nuk lejon identifikimin e personave fizikë ose juridikë.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vjetor përmban informacion edhe mbi tendencat dhe tipologjitë e identifikuara në çështjet e referuara pranë autoriteteve të tjera kompetente. Informacioni i përfshirë në raport nuk duhet të lejojë identifikimin e asnjë individi, personi fizik apo  juridik.</w:t>
            </w:r>
          </w:p>
        </w:tc>
        <w:tc>
          <w:tcPr>
            <w:tcW w:w="1356" w:type="dxa"/>
            <w:shd w:val="clear" w:color="auto" w:fill="auto"/>
            <w:vAlign w:val="center"/>
          </w:tcPr>
          <w:p w:rsidR="006E5B5B" w:rsidRPr="00F727DA" w:rsidRDefault="006E5B5B" w:rsidP="00A87413">
            <w:pPr>
              <w:spacing w:after="0"/>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28 </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Feedback nga NjIF</w:t>
            </w:r>
          </w:p>
        </w:tc>
      </w:tr>
      <w:bookmarkEnd w:id="2"/>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japin subjekteve të detyruara komente lidhur me raportimin e dyshimeve sipas nenit 69 të Rregullores (BE) 2024/1624. Këto komente mbulojnë të paktën cilësinë e informacionit të dhënë, shpejtësinë e raportimit, përshkrimin e dyshimit dhe dokumentacionin e dhënë në fazën e dorëzimit.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Komentet sipas këtij neni nuk duhet të interpretohen sikur mbulojnë çdo raport të dorëzuar nga subjektet e detyruara.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jep komente të paktën një herë në vit, qoftë subjektit të detyruar individual, qoftë grupeve apo kategorive të subjekteve të detyruara, duke marrë në konsideratë numrin e përgjithshëm të transaksioneve të dyshimta të raportuara nga subjektet e detyruara.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Gjithashtu, komentet u vihen në dispozicion edhe mbikëqyrësve për t'i lejuar ata të realizojnë </w:t>
            </w:r>
            <w:r w:rsidRPr="00ED1687">
              <w:rPr>
                <w:rFonts w:ascii="Times New Roman" w:hAnsi="Times New Roman"/>
                <w:sz w:val="18"/>
                <w:szCs w:val="18"/>
                <w:lang w:eastAsia="sq-AL" w:bidi="sq-AL"/>
              </w:rPr>
              <w:t>mbikëqyrjen e bazuar në rrezik në përputhje me nenin 40.</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ED1687" w:rsidRPr="00ED1687" w:rsidRDefault="00ED1687" w:rsidP="00A87413">
            <w:pPr>
              <w:pStyle w:val="NormalWeb"/>
              <w:spacing w:before="0" w:beforeAutospacing="0" w:after="0" w:afterAutospacing="0"/>
              <w:rPr>
                <w:bCs/>
                <w:sz w:val="18"/>
                <w:szCs w:val="18"/>
                <w:lang w:val="sq-AL" w:eastAsia="sq-AL" w:bidi="sq-AL"/>
              </w:rPr>
            </w:pPr>
            <w:r w:rsidRPr="00ED1687">
              <w:rPr>
                <w:bCs/>
                <w:sz w:val="18"/>
                <w:szCs w:val="18"/>
                <w:lang w:val="sq-AL" w:eastAsia="sq-AL" w:bidi="sq-AL"/>
              </w:rPr>
              <w:t>Neni 24</w:t>
            </w:r>
          </w:p>
          <w:p w:rsidR="00ED1687" w:rsidRPr="00ED1687" w:rsidRDefault="00ED1687" w:rsidP="00A87413">
            <w:pPr>
              <w:pStyle w:val="NormalWeb"/>
              <w:spacing w:before="0" w:beforeAutospacing="0" w:after="0" w:afterAutospacing="0"/>
              <w:rPr>
                <w:bCs/>
                <w:sz w:val="18"/>
                <w:szCs w:val="18"/>
                <w:lang w:val="sq-AL" w:eastAsia="sq-AL" w:bidi="sq-AL"/>
              </w:rPr>
            </w:pPr>
            <w:r w:rsidRPr="00ED1687">
              <w:rPr>
                <w:bCs/>
                <w:sz w:val="18"/>
                <w:szCs w:val="18"/>
                <w:lang w:val="sq-AL" w:eastAsia="sq-AL" w:bidi="sq-AL"/>
              </w:rPr>
              <w:t>Vlerësimi i cilësisë së informacionit nga Agjencia e Inteligjencës Financiare</w:t>
            </w:r>
          </w:p>
          <w:p w:rsidR="006E5B5B" w:rsidRPr="00F727DA" w:rsidRDefault="00ED1687" w:rsidP="00A87413">
            <w:pPr>
              <w:widowControl w:val="0"/>
              <w:snapToGrid w:val="0"/>
              <w:spacing w:after="0" w:line="240" w:lineRule="auto"/>
              <w:rPr>
                <w:rFonts w:ascii="Times New Roman" w:hAnsi="Times New Roman"/>
                <w:sz w:val="18"/>
                <w:szCs w:val="18"/>
              </w:rPr>
            </w:pPr>
            <w:r w:rsidRPr="00ED1687">
              <w:rPr>
                <w:rFonts w:ascii="Times New Roman" w:hAnsi="Times New Roman"/>
                <w:bCs/>
                <w:sz w:val="18"/>
                <w:szCs w:val="18"/>
                <w:lang w:eastAsia="sq-AL" w:bidi="sq-AL"/>
              </w:rPr>
              <w:t xml:space="preserve"> </w:t>
            </w: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1. Agjencia e Inteligjencës Financiare siguron vlerësimin e cilësisë së informacionit të paraqitur nga subjektet e detyruara lidhur me raportimin e dyshimeve. </w:t>
            </w: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Ky vlerësim përfshin, të paktën, respektimin e afateve të raportimit, përshkrimin e dyshimit dhe dokumentacionin e dorëzuar në momentin e paraqitjes së raportit.</w:t>
            </w:r>
          </w:p>
          <w:p w:rsidR="006E5B5B" w:rsidRPr="00F727DA" w:rsidRDefault="006E5B5B" w:rsidP="00A87413">
            <w:pPr>
              <w:pStyle w:val="NormalWeb"/>
              <w:spacing w:before="0" w:beforeAutospacing="0" w:after="0" w:afterAutospacing="0"/>
              <w:rPr>
                <w:rFonts w:eastAsia="Calibri"/>
                <w:sz w:val="18"/>
                <w:szCs w:val="18"/>
                <w:lang w:val="en-GB" w:eastAsia="ar-SA"/>
              </w:rPr>
            </w:pP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2. Vlerësimi sipas kësaj pike nuk kuptohet se përfshin çdo raport individual të paraqitur nga subjektet e detyruara.</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3. Agjencia e Inteligjencës Financiare siguron dhënien e vlerësimit të cilësisë, të paktën një herë në vit, qoftë për subjektet e detyruara individuale, qoftë për grupe ose kategori subjektesh të detyruara, duke marrë në konsideratë numrin e përgjithshëm të raporteve për transaksione të dyshimta të paraqitura nga subjektet e detyruara.</w:t>
            </w:r>
          </w:p>
          <w:p w:rsidR="006E5B5B" w:rsidRPr="00F727DA" w:rsidRDefault="006E5B5B" w:rsidP="00A87413">
            <w:pPr>
              <w:snapToGrid w:val="0"/>
              <w:spacing w:after="0" w:line="240" w:lineRule="auto"/>
              <w:rPr>
                <w:rFonts w:ascii="Times New Roman" w:hAnsi="Times New Roman"/>
                <w:sz w:val="18"/>
                <w:szCs w:val="18"/>
              </w:rPr>
            </w:pPr>
          </w:p>
          <w:p w:rsidR="006E5B5B" w:rsidRPr="00ED1687" w:rsidRDefault="00ED1687" w:rsidP="00A87413">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4. Vlerësimi i cilësisë vihet gjithashtu në dispozicion të autoriteteve mbikëqyrëse, për t’u mundësuar atyre ushtrimin e mbikëqyrjes së bazuar në rrezik ne përputhje me këtë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28 I Direktives eshtë transpozuar në në këtë nen duke siguruar vlerësimin e cilësisë së informacionit të paraqitur nga subjektet e detyruara, periodicitetin minimal vjetor të këtij vlerësimi, mundësinë e ofrimit individual ose të grupuar, si dhe vënien në dispozicion të këtij vlerësimi për autoritetet mbikëqyrëse për qëllime të mbikëqyrjes së bazuar në rrezik.</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NjIF-të i raportojnë çdo vit AMLA-s mbi dhënien e komenteve subjekteve të detyruara në përputhje me këtë nen, si dhe sigurojnë statistika mbi numrin e raporteve mbi transaksionet e dyshimta të dorëzuara nga kategoritë e subjekteve të detyruara.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dispozitë institucionale e BE-së</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N/A – detyrimi i raportimit parashikohet dhe realizohet në kuadër të raportit vjetor të Agjencisë së Inteligjencës Financiare</w:t>
            </w:r>
            <w:r w:rsidRPr="00F727DA">
              <w:rPr>
                <w:sz w:val="18"/>
                <w:szCs w:val="18"/>
              </w:rPr>
              <w: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rekomandime për NjIF-të lidhur me praktikat më të mira dhe qasjet ndaj dhënies së komenteve, duke përfshirë llojin dhe shpeshtësinë e dhënies së komenteve.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që i referohet nxjerrjes së rekomandimeve nga AMLA përbën detyrim institucional të BE-së dhe nuk është e zbatueshme në nivel kombëtar (N/A).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Detyrimi për dhënien e komenteve nuk cenon asnjë punë analitike në proces e sipër të kryer nga NjIF-ja ose ndonjë hetim apo masë administrative të ndërmarrë në vijueshmëri të shpërndarjes së bërë nga NjIF-ja, si dhe nuk ndikon në zbatueshmërinë e kërkesave lidhur me mbrojtjen e të dhënave dhe konfidencialitetin.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Vlerësimi i cilësisë së informacionit nuk duhet 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Pjesa që lidhet me moscenimin e punës analitike, hetimeve, veprimeve administrative dhe kërkesave për mbrojtjen e të dhënave personale është transpozuar plotësisht në ligjin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sigurojnë autoriteteve doganore komente, të paktën në një bazë të përvitshme, mbi efektivitetin dhe ndjekjen e informacionit të përcjellë sipas nenit 9 të Rregullores (BE) 2018/1672.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 xml:space="preserve">6. Agjencia e Inteligjencës Financiare siguron dhënien e vlerësimit, të paktën një herë në vit, pranë autoriteteve doganore lidhur me efektivitetin dhe ndjekjen e mëtejshme të informacionit të transmetuar prej tyre </w:t>
            </w:r>
            <w:r w:rsidRPr="00F727DA">
              <w:rPr>
                <w:rFonts w:ascii="Times New Roman" w:hAnsi="Times New Roman"/>
                <w:bCs/>
                <w:sz w:val="18"/>
                <w:szCs w:val="18"/>
                <w:lang w:eastAsia="sq-AL" w:bidi="sq-AL"/>
              </w:rPr>
              <w:t>mbi kalimet ndërkufitare të parasë në fizike.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Dispozita transpozon detyrimin për dhënien periodike të vlerësimit nga Agjencia e Inteligjencës Financiare ndaj autoriteteve doganore mbi efektivitetin dhe ndjekjen e mëtejshme të informacionit të transmetuar, duke ruajtur përmbajtjen dhe qëllimin e direktivës.</w:t>
            </w:r>
          </w:p>
        </w:tc>
      </w:tr>
      <w:tr w:rsidR="006E5B5B" w:rsidRPr="00F727DA" w:rsidTr="00E24C86">
        <w:trPr>
          <w:trHeight w:val="578"/>
        </w:trPr>
        <w:tc>
          <w:tcPr>
            <w:tcW w:w="14397" w:type="dxa"/>
            <w:gridSpan w:val="8"/>
            <w:shd w:val="clear" w:color="auto" w:fill="auto"/>
            <w:vAlign w:val="center"/>
          </w:tcPr>
          <w:p w:rsidR="006E5B5B" w:rsidRPr="00F727DA" w:rsidRDefault="006E5B5B" w:rsidP="00A87413">
            <w:pPr>
              <w:shd w:val="clear" w:color="auto" w:fill="D9D9D9" w:themeFill="background1" w:themeFillShade="D9"/>
              <w:snapToGrid w:val="0"/>
              <w:spacing w:after="0" w:line="240" w:lineRule="auto"/>
              <w:rPr>
                <w:rFonts w:ascii="Times New Roman" w:hAnsi="Times New Roman"/>
                <w:b/>
                <w:sz w:val="18"/>
                <w:szCs w:val="18"/>
              </w:rPr>
            </w:pPr>
            <w:r w:rsidRPr="00F727DA">
              <w:rPr>
                <w:rFonts w:ascii="Times New Roman" w:hAnsi="Times New Roman"/>
                <w:b/>
                <w:sz w:val="18"/>
                <w:szCs w:val="18"/>
              </w:rPr>
              <w:t>Neni 29</w:t>
            </w:r>
          </w:p>
          <w:p w:rsidR="006E5B5B" w:rsidRPr="00F727DA" w:rsidRDefault="006E5B5B" w:rsidP="00A87413">
            <w:pPr>
              <w:shd w:val="clear" w:color="auto" w:fill="D9D9D9" w:themeFill="background1" w:themeFillShade="D9"/>
              <w:snapToGrid w:val="0"/>
              <w:spacing w:after="0" w:line="240" w:lineRule="auto"/>
              <w:rPr>
                <w:rFonts w:ascii="Times New Roman" w:hAnsi="Times New Roman"/>
                <w:sz w:val="18"/>
                <w:szCs w:val="18"/>
              </w:rPr>
            </w:pPr>
            <w:r w:rsidRPr="00F727DA">
              <w:rPr>
                <w:rFonts w:ascii="Times New Roman" w:hAnsi="Times New Roman"/>
                <w:b/>
                <w:sz w:val="18"/>
                <w:szCs w:val="18"/>
              </w:rPr>
              <w:t xml:space="preserve">Bashkëpunimi ndërmjet Njësive të Inteligjencë Financiare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bashkëpunojnë me njëra-tjetrën në masën maksimale të mundshme, pavarësisht nga statusi i tyre organizativ.</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ED1687" w:rsidRPr="00ED1687" w:rsidRDefault="00ED1687" w:rsidP="00A87413">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Neni 25</w:t>
            </w:r>
          </w:p>
          <w:p w:rsidR="00ED1687" w:rsidRPr="00ED1687" w:rsidRDefault="00ED1687" w:rsidP="00A87413">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Bashkëpunimi ndërmjet agjencive të inteligjencës financiare</w:t>
            </w:r>
          </w:p>
          <w:p w:rsidR="006E5B5B" w:rsidRPr="00F727DA" w:rsidRDefault="006E5B5B" w:rsidP="00A87413">
            <w:pPr>
              <w:snapToGrid w:val="0"/>
              <w:spacing w:after="0" w:line="240" w:lineRule="auto"/>
              <w:rPr>
                <w:rFonts w:ascii="Times New Roman" w:hAnsi="Times New Roman"/>
                <w:sz w:val="18"/>
                <w:szCs w:val="18"/>
              </w:rPr>
            </w:pPr>
          </w:p>
        </w:tc>
        <w:tc>
          <w:tcPr>
            <w:tcW w:w="2064" w:type="dxa"/>
            <w:shd w:val="clear" w:color="auto" w:fill="auto"/>
            <w:vAlign w:val="center"/>
          </w:tcPr>
          <w:p w:rsidR="00ED1687" w:rsidRPr="00ED1687" w:rsidRDefault="00ED1687" w:rsidP="00A87413">
            <w:pPr>
              <w:pStyle w:val="NormalWeb"/>
              <w:spacing w:before="0" w:beforeAutospacing="0" w:after="0" w:afterAutospacing="0"/>
              <w:rPr>
                <w:sz w:val="18"/>
                <w:szCs w:val="18"/>
                <w:lang w:val="sq-AL"/>
              </w:rPr>
            </w:pPr>
            <w:r w:rsidRPr="00ED1687">
              <w:rPr>
                <w:sz w:val="18"/>
                <w:szCs w:val="18"/>
                <w:lang w:val="sq-AL"/>
              </w:rPr>
              <w:t>1. Agjencia e Inteligjencës Financiare bashkëpunon me njësitë e inteligjencës financiare të shteteve të tjera në masën më të gjerë të mundshme, pavarësisht nga statusi i tyre organizativ.</w:t>
            </w:r>
          </w:p>
          <w:p w:rsidR="00ED1687" w:rsidRPr="00ED1687" w:rsidRDefault="00ED1687" w:rsidP="00A87413">
            <w:pPr>
              <w:pStyle w:val="NormalWeb"/>
              <w:spacing w:before="0" w:beforeAutospacing="0" w:after="0" w:afterAutospacing="0"/>
              <w:rPr>
                <w:sz w:val="18"/>
                <w:szCs w:val="18"/>
                <w:lang w:val="sq-AL"/>
              </w:rPr>
            </w:pPr>
            <w:r w:rsidRPr="00ED1687">
              <w:rPr>
                <w:sz w:val="18"/>
                <w:szCs w:val="18"/>
                <w:lang w:val="sq-AL"/>
              </w:rPr>
              <w:t>2.  Agjencia shkëmben informacion me çdo agjenci të huaj homologe, në varësi të detyrimeve të ngjashme të konfidencialitetit. Informacioni i ofruar duhet të përdoret vetëm për qëllime të</w:t>
            </w:r>
          </w:p>
          <w:p w:rsidR="00ED1687" w:rsidRPr="00ED1687" w:rsidRDefault="00ED1687" w:rsidP="00A87413">
            <w:pPr>
              <w:pStyle w:val="NormalWeb"/>
              <w:spacing w:before="0" w:beforeAutospacing="0" w:after="0" w:afterAutospacing="0"/>
              <w:rPr>
                <w:sz w:val="18"/>
                <w:szCs w:val="18"/>
                <w:lang w:val="sq-AL"/>
              </w:rPr>
            </w:pPr>
            <w:r w:rsidRPr="00ED1687">
              <w:rPr>
                <w:sz w:val="18"/>
                <w:szCs w:val="18"/>
                <w:lang w:val="sq-AL"/>
              </w:rPr>
              <w:t>parandalimit dhe luftës kundër pastrimit të parave e financimit të terrorizmit. Informacioni</w:t>
            </w:r>
          </w:p>
          <w:p w:rsidR="006E5B5B" w:rsidRPr="00ED1687" w:rsidRDefault="00ED1687" w:rsidP="00A87413">
            <w:pPr>
              <w:pStyle w:val="NormalWeb"/>
              <w:spacing w:before="0" w:beforeAutospacing="0" w:after="0" w:afterAutospacing="0"/>
              <w:rPr>
                <w:sz w:val="18"/>
                <w:szCs w:val="18"/>
                <w:lang w:val="sq-AL"/>
              </w:rPr>
            </w:pPr>
            <w:r w:rsidRPr="00ED1687">
              <w:rPr>
                <w:sz w:val="18"/>
                <w:szCs w:val="18"/>
                <w:lang w:val="sq-AL"/>
              </w:rPr>
              <w:t xml:space="preserve">mund të shpërndahet vetëm me pëlqimin paraprak të palëve.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shprehimisht bashkëpunimin e Agjencisë së Inteligjencës Financiare me agjencitë homologe të huaja për shkëmbimin e informacionit.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30</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Kanale të mbrojtura komunikimi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Do të ngrihet një sistem për shkëmbimin e informacionit midis NjIF-ve të shteteve anëtare (FIU.net). FIU.net do të garantojë komunikimin dhe shkëmbimin e sigurt të informacionit dhe do të jetë në gjendje të gjenerojë gjurmë me shkrim të të gjitha veprimtarive të përpunimit. FIU.net mund të përdoret gjithashtu për komunikimet me homologët e NjIF-ve në vendet e treta, si dhe me autoritetet e tjera dhe me organet, zyrat dhe agjencitë e Bashkimit Evropian. FIU.net menaxhohet nga AMLA.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FIU.net përdoret për shkëmbimin e informacionit midis NjIF-ve dhe AMLA-s për qëllime të analizave të përbashkëta sipas nenit 32 të kësaj direktive dhe nenit 40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332B6D" w:rsidRPr="00332B6D" w:rsidRDefault="00332B6D" w:rsidP="00A87413">
            <w:pPr>
              <w:widowControl w:val="0"/>
              <w:snapToGrid w:val="0"/>
              <w:spacing w:after="0" w:line="240" w:lineRule="auto"/>
              <w:rPr>
                <w:rFonts w:ascii="Times New Roman" w:hAnsi="Times New Roman"/>
                <w:bCs/>
                <w:sz w:val="18"/>
                <w:szCs w:val="18"/>
                <w:lang w:val="sq-AL"/>
              </w:rPr>
            </w:pPr>
            <w:r w:rsidRPr="00332B6D">
              <w:rPr>
                <w:rFonts w:ascii="Times New Roman" w:hAnsi="Times New Roman"/>
                <w:bCs/>
                <w:sz w:val="18"/>
                <w:szCs w:val="18"/>
                <w:lang w:val="sq-AL"/>
              </w:rPr>
              <w:t>Neni 26</w:t>
            </w:r>
          </w:p>
          <w:p w:rsidR="00332B6D" w:rsidRPr="005A773B" w:rsidRDefault="00332B6D" w:rsidP="00A87413">
            <w:pPr>
              <w:widowControl w:val="0"/>
              <w:snapToGrid w:val="0"/>
              <w:spacing w:after="0" w:line="240" w:lineRule="auto"/>
              <w:rPr>
                <w:rFonts w:ascii="Times New Roman" w:hAnsi="Times New Roman"/>
                <w:bCs/>
                <w:sz w:val="18"/>
                <w:szCs w:val="18"/>
                <w:lang w:val="sq-AL"/>
              </w:rPr>
            </w:pPr>
            <w:r w:rsidRPr="005A773B">
              <w:rPr>
                <w:rFonts w:ascii="Times New Roman" w:hAnsi="Times New Roman"/>
                <w:bCs/>
                <w:sz w:val="18"/>
                <w:szCs w:val="18"/>
                <w:lang w:val="sq-AL"/>
              </w:rPr>
              <w:t>Kanale të sigurta komunikimi</w:t>
            </w:r>
          </w:p>
          <w:p w:rsidR="006E5B5B" w:rsidRPr="00F727DA" w:rsidRDefault="00332B6D" w:rsidP="00A87413">
            <w:pPr>
              <w:widowControl w:val="0"/>
              <w:snapToGrid w:val="0"/>
              <w:spacing w:after="0" w:line="240" w:lineRule="auto"/>
              <w:rPr>
                <w:rFonts w:ascii="Times New Roman" w:hAnsi="Times New Roman"/>
                <w:sz w:val="18"/>
                <w:szCs w:val="18"/>
              </w:rPr>
            </w:pPr>
            <w:r w:rsidRPr="00332B6D">
              <w:rPr>
                <w:rFonts w:ascii="Times New Roman" w:hAnsi="Times New Roman"/>
                <w:bCs/>
                <w:sz w:val="18"/>
                <w:szCs w:val="18"/>
              </w:rPr>
              <w:t xml:space="preserve"> </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veprimeve të përpunimit të informacionit.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Referencat ndaj FIU.net dhe AMLA përbëjnë mekanizma institucionale të BE-së dhe nuk janë të zbatueshme në nivel kombëtar. Kërkesa për përdorimin e kanaleve të sigurta të komunikimit dhe për regjistrimin e veprimeve të përpunimit të informacionit është transpozuar plotësisht në ligjin kombëtar.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shkëmbejnë informacione sipas neneve 31 dhe 32 duke përdorur FIU.net. Në rast të një defekti teknik të FIU.net, informacioni transmetohet me anë të çdo mjeti tjetër të përshtatshëm që garanton një nivel të lartë sigurie dhe mbrojtjeje të të dhënave.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Shkëmbimet e informacionit ndërmjet NjIF-ve dhe homologëve të tyre në vendet e treta që nuk janë të lidhur me FIU.net bëhen përmes kanaleve të mbrojtura të komunikimit.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Pika 2 e nenit 30(2) i referohet shkëmbimit të informacionit me vendet e treta përmes kanaleve të mbrojtura të komunikimit. Shqipëria, si vend i kandidat ne BE, shkëmben informacion përmes kanaleve të sigurta ndërkombëtare, nepermjet Egmont Secure Web. Për këtë arsye, dispozita është e zbatueshme dhe është transpozuar në mënyrë funksionale në ligjin kombëtar</w:t>
            </w:r>
            <w:r w:rsidRPr="00F727DA">
              <w:rPr>
                <w:sz w:val="18"/>
                <w:szCs w:val="18"/>
              </w:rPr>
              <w: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për të përmbushur detyrat e tyre të përcaktuara në këtë direktivë, NjIF-të të bashkëpunojnë në masën maksimale të mundshme në vënien në përdorim të teknologjive më të fundit në përputhje me legjislacionin e tyre të brendshëm.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Gjithashtu, shtetet anëtare garantojnë që NjIF-të të bashkëpunojnë në masën maksimale të mundshme në vënien në përdorim të zgjidhjeve të zhvilluara dhe të menaxhuara nga AMLA në përputhje me nenin 5, paragrafi 5, germa "i", nenin 45, paragrafi 1, germa "d" dhe nenin 47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3. Agjencia e Inteligjencës Financiare bashkëpunon, në masën më të gjerë të mundshme, me njësitë homologe të inteligjencës financiare për përdorimin e teknologjive bashkëkohore në përmbushje të funksioneve të saj, në përputhje me legjislacionin kombëtar. Ky bashkëpunim mund të përfshijë edhe përdorimin e zgjidhjeve teknologjike të përbashkëta të zhvilluara në kuadër të bashkëpunimit ndërkombëtar.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Referencat ndaj zgjidhjeve teknologjike të zhvilluara dhe të menaxhuara nga AMLA përbëjnë mekanizma institucionale të BE-së dhe nuk janë të zbatueshme në nivel kombëtar. Kërkesa për bashkëpunim ndërmjet FIU-ve në përdorimin e teknologjive bashkëkohore është transpozuar në mënyrë funksionale.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përdorin funksionet e FIU.net për të përputhur, mbi bazën “përkon/nuk përkon”, të dhënat që ato vënë në dispozicion në FIU.net me të dhënat e vëna në dispozicion në atë sistem nga NjIF-të e tjera dhe organet, zyrat dhe agjencitë e BE-së, për sa kohë që kjo përputhje bën pjesë në mandatet përkatëse të këtyre organeve, zyrave dhe agjencive të BE-së.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Referencat ndaj FIU.net dhe institucioneve të Bashkimit Evropian janë mekanizma specifikë të BE-së dhe nuk janë të zbatueshme në nivel kombëtar. Kërkesa për përdorimin e funksionaliteteve teknike për krahasimin e automatizuar të të dhënave, brenda kufijve të kompetencave ligjore, është transpozuar në mënyrë funksionale.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pezullojë aksesin e një NjIF-je apo homologu të saj në një vend të tretë, ose organi, zyre apo agjencie të Bashkimit Evropian në FIU.net kur ka arsye të besojë se ky akses do të rrezikonte zbatimin e këtij kreu dhe sigurinë dhe konfidencialitetin e informacionit të zotëruar nga NjIF-të dhe të shkëmbyer përmes FIU.net, duke përfshirë rastet kur ekzistojnë shqetësime në lidhje me pavarësinë dhe autonominë e NjIF-ve.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5. Agjencia e Inteligjencës Financiare merr masat e nevojshme për të garantuar sigurinë, konfidencialitetin dhe integritetin e informacionit të shkëmbyer përmes kanaleve të komunikimit. Në rast se ekzistojnë 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i referohet kompetencave të AMLA-s për administrimin e FIU.net dhe nuk është e zbatueshme në nivel kombëtar. Parimi i mbrojtjes së sigurisë, konfidencialitetit dhe pavarësisë në shkëmbimin e informacionit është reflektuar në mënyrë funksionale në ligjin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31</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Shkëmbimi i informacionit ndërmjet Njësive të Inteligjencë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shkëmbejnë, në mënyrë spontane ose me kërkesë, çdo informacion që mund të jetë i rëndësishëm për përpunimin ose analizën e informacionit nga NjIF-të në lidhje me pastrimin e parave, veprat penale bazë të lidhura me të ose financimin e terrorizmit, si dhe në lidhje me personin fizik ose juridik të përfshirë, pavarësisht nga lloji i veprave penale bazë që mund të jenë të përfshira, qoftë edhe nëse lloji i veprave penale bazë që mund të jenë të përfshira nuk është identifikuar në kohën e shkëmbimit.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përfshin faktet përkatëse, informacionin mbi kontekstin, motivimet e kërkesës, lidhjet me vendin e NjIF-së që merr kërkesën dhe mënyrën se si do të përdoret informacioni i kërkuar.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NjIF merr një raport në përputhje me nenin 69, paragrafi 1, nënparagrafi i parë, germa "a" të Rregullores (BE) 2024/1624 që ka të bëjë me një shtet tjetër anëtar, ajo ia përcjell menjëherë raportin ose të gjithë informacionin përkatës të siguruar prej tij, NjIF-së së atij shteti tjetër anëtar.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A773B" w:rsidRPr="005A773B" w:rsidRDefault="005A773B" w:rsidP="00A87413">
            <w:pPr>
              <w:widowControl w:val="0"/>
              <w:snapToGrid w:val="0"/>
              <w:spacing w:after="0" w:line="240" w:lineRule="auto"/>
              <w:rPr>
                <w:rFonts w:ascii="Times New Roman" w:hAnsi="Times New Roman"/>
                <w:sz w:val="18"/>
                <w:szCs w:val="18"/>
                <w:lang w:val="sq-AL" w:eastAsia="sq-AL" w:bidi="sq-AL"/>
              </w:rPr>
            </w:pPr>
            <w:r w:rsidRPr="005A773B">
              <w:rPr>
                <w:rFonts w:ascii="Times New Roman" w:hAnsi="Times New Roman"/>
                <w:sz w:val="18"/>
                <w:szCs w:val="18"/>
                <w:lang w:val="sq-AL" w:eastAsia="sq-AL" w:bidi="sq-AL"/>
              </w:rPr>
              <w:t>Neni 27</w:t>
            </w:r>
          </w:p>
          <w:p w:rsidR="005A773B" w:rsidRPr="005A773B" w:rsidRDefault="005A773B" w:rsidP="00A87413">
            <w:pPr>
              <w:widowControl w:val="0"/>
              <w:snapToGrid w:val="0"/>
              <w:spacing w:after="0" w:line="240" w:lineRule="auto"/>
              <w:rPr>
                <w:rFonts w:ascii="Times New Roman" w:hAnsi="Times New Roman"/>
                <w:sz w:val="18"/>
                <w:szCs w:val="18"/>
                <w:lang w:val="sq-AL" w:eastAsia="sq-AL" w:bidi="sq-AL"/>
              </w:rPr>
            </w:pPr>
            <w:r w:rsidRPr="005A773B">
              <w:rPr>
                <w:rFonts w:ascii="Times New Roman" w:hAnsi="Times New Roman"/>
                <w:sz w:val="18"/>
                <w:szCs w:val="18"/>
                <w:lang w:val="sq-AL" w:eastAsia="sq-AL" w:bidi="sq-AL"/>
              </w:rPr>
              <w:t>Shkëmbimi i informacionit ndërmjet agjencive të inteligjencës financiare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1. Agjencia e Inteligjencës Financiare shkëmben, me nismë të saj ose me kërkesë, çdo informacion që mund të jetë i rëndësishëm për përpunimin ose analizimin e informacionit lidhur me pastrimin e parave, veprat penale bazë të tij, financimin e terrorizmit apo financimin e armëve të dëmtimit në masë, si dhe për personat fizikë ose juridikë të përfshirë, pavarësisht nga lloji i veprës penale bazë që mund të jetë i përfshirë, edhe në rastet kur ky lloj nuk është i identifikuar në momentin e shkëmbimit të informacionit.</w:t>
            </w:r>
          </w:p>
          <w:p w:rsidR="006E5B5B" w:rsidRPr="00F727DA" w:rsidRDefault="006E5B5B" w:rsidP="00A87413">
            <w:pPr>
              <w:widowControl w:val="0"/>
              <w:snapToGrid w:val="0"/>
              <w:spacing w:after="0" w:line="240" w:lineRule="auto"/>
              <w:rPr>
                <w:rFonts w:ascii="Times New Roman" w:hAnsi="Times New Roman"/>
                <w:sz w:val="18"/>
                <w:szCs w:val="18"/>
              </w:rPr>
            </w:pPr>
          </w:p>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Kërkesa për shkëmbim informacioni përmban faktet përkatëse, informacionin shpjegues, arsyet e paraqitjes së kërkesës, lidhjen me shtetin e njësisë së inteligjencës financiare të cilës i drejtohet kërkesa, si dhe mënyrën se si do të përdoret informacioni i kërkuar.</w:t>
            </w:r>
          </w:p>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Kur Agjencia e Inteligjencës Financiare merr një raportim për dyshim që lidhet me një shtet tjetër, ajo i përcjell pa vonesë raportimin ose çdo informacion tjetër përkatës të nxjerrë prej tij njësisë homologe të inteligjencës financiare të atij shteti.</w:t>
            </w:r>
          </w:p>
          <w:p w:rsidR="006E5B5B" w:rsidRPr="00F727DA" w:rsidRDefault="006E5B5B" w:rsidP="00A87413">
            <w:pPr>
              <w:widowControl w:val="0"/>
              <w:snapToGrid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për përcjelljen pa vonesë të raporteve ose informacionit përkatës nga Agjencia e Inteligjencës Financiare pranë njësive homologe të inteligjencës financiare të shteteve të tjera, kur raportimi lidhet me një juridiksion tjetër, duke ruajtur përmbajtjen dhe qëllimin e direktivës dhe pa referenca të drejtpërdrejta ndaj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 teknike zbatimi dhe i paraqet ato pranë Komisionit për miratim. Këto draft-standarde teknike zbatimi specifikojnë formatin që do të përdoret për shkëmbimin e informacionit të përmendur në paragrafin 1.</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jepet kompetenca për të miratuar draft-standardet teknike të zbatimit të përmendura në nënparagrafin e parë, në përputhje me nenin 53 të Rregullores (BE) nr.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bCs/>
                <w:sz w:val="18"/>
                <w:szCs w:val="18"/>
              </w:rPr>
              <w:t>N</w:t>
            </w:r>
            <w:r w:rsidRPr="00F727DA">
              <w:rPr>
                <w:rFonts w:ascii="Times New Roman" w:hAnsi="Times New Roman"/>
                <w:sz w:val="18"/>
                <w:szCs w:val="18"/>
              </w:rPr>
              <w:t>/A. Dispozita i referohet zhvillimit të standardeve teknike zbatuese nga AMLA dhe procedurës së miratimit të tyre në nivel të Bashkimit Evropian dhe nuk krijon detyrime për autoritetet kombëtare. Për këtë arsye, nuk është e zbatueshme për transpozim në ligjin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 kriteret e rëndësisë dhe përzgjedhjes për të përcaktuar nëse një raport i dorëzuar sipas nenit 69, paragrafi 1, nënparagrafi i parë, germa "a" të Rregullores (BE) 2024/1624 ka të bëjë me një shtet tjetër anëtar siç përmendet në paragrafin 1, nënparagrafi i tretë të këtij neni.</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w:t>
            </w:r>
            <w:r w:rsidRPr="00F727DA">
              <w:rPr>
                <w:rFonts w:ascii="Times New Roman" w:hAnsi="Times New Roman"/>
                <w:b/>
                <w:bCs/>
                <w:sz w:val="18"/>
                <w:szCs w:val="18"/>
              </w:rPr>
              <w:t>/</w:t>
            </w:r>
            <w:r w:rsidRPr="00F727DA">
              <w:rPr>
                <w:rFonts w:ascii="Times New Roman" w:hAnsi="Times New Roman"/>
                <w:sz w:val="18"/>
                <w:szCs w:val="18"/>
              </w:rPr>
              <w:t>A. Dispozita i referohet zhvillimit dhe miratimit të standardeve teknike rregullatore nga AMLA dhe Komisioni Evropian, në kuadër të kompetencave të deleguara të Bashkimit Evropian, dhe nuk krijon detyrime për autoritetet kombëtare. Për këtë arsye, nuk është e zbatueshme për transpozim në ligjin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AMLA nxjerr udhëzime adresuar NjIF-ve lidhur me procedurat që duhet të vihen në zbatim gjatë përcjelljes dhe marrjes së një raporti sipas nenit 69, paragrafi 1, nënparagrafi i parë, germa “a” të Rregullores (BE) 2024/1624 që ka të bëjë me një shtet tjetër anëtar, si dhe lidhur me ndjekjen e atij raporti.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N/A.</w:t>
            </w:r>
            <w:r w:rsidRPr="00F727DA">
              <w:rPr>
                <w:rFonts w:eastAsia="Calibri"/>
                <w:sz w:val="18"/>
                <w:szCs w:val="18"/>
                <w:lang w:val="en-GB" w:eastAsia="ar-SA"/>
              </w:rPr>
              <w:t xml:space="preserve"> Dispozita i referohet nxjerrjes së udhëzimeve nga AMLA për FIU-të e shteteve anëtare të Bashkimit Evropian lidhur me procedurat e përcjelljes dhe trajtimit të raporteve ndërkufitare dhe nuk krijon detyrime për autoritetet kombëtare. Për këtë arsye, nuk është e zbatueshme për transpozim në ligjin kombëtar.</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NjIF-ja që merr kërkesën të përdorë të gjithë gamën e kompetencave të saj të disponueshme që do të përdorte normalisht brenda vendit për marrjen dhe analizimin e informacionit, kur i përgjigjet një kërkese për informacion siç përmendet në paragrafin 1 nga një NjIF tjetër.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NjIF kërkon të marrë informacion shtesë nga një subjekt i detyruar i vendosur në një shtet tjetër anëtar, por që operon në territorin e shtetit anëtar të kësaj NjIF-je, kërkesa i drejtohet NjIF-së së shtetit anëtar në territorin e të cilit është vendosur subjekti i detyruar. Kjo NjIF merr informacionet në përputhje me nenin 69, paragrafi 1 të Rregullores (BE) 2024/1624 dhe i transferon përgjigjet menjëherë.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2. Kur Agjencia e Inteligjencës Financiare i përgjigjet një kërkese për informacion të paraqitur nga një njësi tjetër e inteligjencës financiare, ajo përdor të gjithë gamën e kompetencave dhe mjeteve që ka në dispozicion dhe që do t’i përdorte zakonisht edhe në rastet e trajtimit të çështjeve në nivel kombëtar, për marrjen dhe analizimin e informacionit.</w:t>
            </w:r>
          </w:p>
          <w:p w:rsidR="006E5B5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synon të marrë informacion shtesë nga një subjekt i detyruar i vendosur në një shtet tjetër, por që ushtron veprimtari në territorin e Republikës së Shqipërisë, kërkesa i drejtohet njësisë së inteligjencës financiare të shtetit në territorin e të cilit subjekti i detyruar është i vendosur. Kjo njësi siguron marrjen e informacionit përkatës nga subjekti i detyruar dhe ia përcjell përgjigjen Agjencisë së Inteligjencës Financiare pa vonesë.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që Agjencia e Inteligjencës Financiare, kur i përgjigjet kërkesave për informacion nga njësitë homologe të inteligjencës financiare, të përdorë të gjithë gamën e kompetencave që ushtron edhe në nivel kombëtar, si dhe rregullin për adresimin e kërkesave për informacion shtesë ndaj subjekteve të detyruara të vendosura në juridiksione të tjera përmes njësive përkatëse të inteligjencës financiare, duke ruajtur përmbajtjen dhe qëllimin e direktivës pa referenca ndaj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kur një NjIF-je i kërkohet të japë informacion në përputhje me paragrafin 1, ajo t'i përgjigjet kërkesës sa më shpejt të jetë e mundur dhe në çdo rast jo më vonë se </w:t>
            </w:r>
            <w:r w:rsidRPr="00F727DA">
              <w:rPr>
                <w:rFonts w:ascii="Times New Roman" w:hAnsi="Times New Roman"/>
                <w:color w:val="FF0000"/>
                <w:sz w:val="18"/>
                <w:szCs w:val="18"/>
                <w:lang w:eastAsia="sq-AL" w:bidi="sq-AL"/>
              </w:rPr>
              <w:t xml:space="preserve">5 ditë pune pas marrjes së kërkesës, nëse NjIF-ja e zotëron informacionin e kërkuar ose nëse informacioni i kërkuar ruhet në një bazë të dhënash ose regjistër që është i aksesueshëm drejtpërdrejt nga NjIF-ja që ka marrë kërkesën. </w:t>
            </w:r>
            <w:r w:rsidRPr="00F727DA">
              <w:rPr>
                <w:rFonts w:ascii="Times New Roman" w:hAnsi="Times New Roman"/>
                <w:sz w:val="18"/>
                <w:szCs w:val="18"/>
                <w:lang w:eastAsia="sq-AL" w:bidi="sq-AL"/>
              </w:rPr>
              <w:t>Në raste të jashtëzakonshme e të motivuara në mënyrë të arsyeshme ky afat mund të zgjatet deri në maksimumi 10 ditë pune. Kur NjIF-ja që merr kërkesën nuk është në gjendje të përftojë informacionin e kërkuar, ajo informon përkatësisht NjIF-në që paraqet kërkesën.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3. Kur Agjencia e Inteligjencës Financiare kërkohet të japë informacion në përputhje me paragrafin 1, ajo i përgjigjet kërkesës sa më shpejt të jetë e mundur dhe, në çdo rast, jo më vonë se 5 ditë pune nga marrja e kërkesës, nëse informacioni i kërkuar ndodhet në posedim të saj ose është i disponueshëm në një bazë të dhënash apo regjistër në të cilin Agjencia e Inteligjencës Financiare ka akses të drejtpërdrejtë.</w:t>
            </w:r>
          </w:p>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Në raste të jashtëzakonshme, të arsyetuara, ky afat mund të zgjatet deri në maksimum 10 ditë pune.</w:t>
            </w:r>
          </w:p>
          <w:p w:rsidR="006E5B5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nuk është në gjendje të sigurojë informacionin e kërkuar, ajo njofton për këtë pa vonesë njësinë e inteligjencës financiare që ka paraqitur kërkesën.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për përgjigje brenda afateve të përcaktuara (5 ditë pune, me mundësi zgjatjeje deri në 10 ditë pune në raste të jashtëzakonshme), në rastet kur informacioni ndodhet në posedim të Agjencisë së Inteligjencës Financiare ose është i aksesueshëm drejtpërdrejt, si dhe detyrimin për njoftim në rast pamundësie për sigurimin e informacionit, duke ruajtur përmbajtjen dhe qëllimin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color w:val="FF0000"/>
                <w:sz w:val="18"/>
                <w:szCs w:val="18"/>
                <w:lang w:eastAsia="sq-AL" w:bidi="sq-AL"/>
              </w:rPr>
            </w:pPr>
            <w:r w:rsidRPr="00F727DA">
              <w:rPr>
                <w:rFonts w:ascii="Times New Roman" w:hAnsi="Times New Roman"/>
                <w:sz w:val="18"/>
                <w:szCs w:val="18"/>
                <w:lang w:eastAsia="sq-AL" w:bidi="sq-AL"/>
              </w:rPr>
              <w:t xml:space="preserve">Shtetet anëtare garantojnë që në raste të jashtëzakonshme, të justifikuara dhe urgjente dhe, duke deroguar nga paragrafi 6, kur në zbatim të paragrafit 1 një NjIF-je i kërkohet të japë informacion që mbahet në një bazë të dhënash ose regjistër të aksesueshëm drejtpërdrejt nga NjIF-ja që merr kërkesën ose informacion që ajo e zotëron aktualisht, kjo e fundit e jep këtë informacion </w:t>
            </w:r>
            <w:r w:rsidRPr="00F727DA">
              <w:rPr>
                <w:rFonts w:ascii="Times New Roman" w:hAnsi="Times New Roman"/>
                <w:color w:val="FF0000"/>
                <w:sz w:val="18"/>
                <w:szCs w:val="18"/>
                <w:lang w:eastAsia="sq-AL" w:bidi="sq-AL"/>
              </w:rPr>
              <w:t>jo më vonë se 1 ditë pune pas marrjes së kërkesës.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Nëse NjIF-ja që merr kërkesën nuk është në gjendje të përgjigjet brenda 1 dite pune ose nuk mund të ketë akses të drejtpërdrejtë në informacion, ajo jep motivimin përkatës. Kur sigurimi brenda 1 dite pune i informacionit të kërkuar do të vendoste një barrë joproporcionale mbi NjIF-në që merr kërkesën, ajo mund të shtyjë dhënien e informacionit. Në këtë rast, NjIF-ja që merr kërkesën njofton menjëherë NjIF-në që paraqet kërkesën për këtë shtyrje. NjIF-ja që merr kërkesën mund të shtyjë maksimumi deri në 3 ditë pune afatin për t'iu përgjigjur një kërkese për informacion.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4. Në raste të jashtëzakonshme, të justifikuara dhe urgjente, dhe në përjashtim nga pika 6 e këtij neni, kur Agjencia e Inteligjencës Financiare kërkohet, në përputhje me paragrafin 1, të japë informacion që ndodhet në posedim të saj ose është i disponueshëm në një bazë të dhënash apo regjistër në të cilin ajo ka akses të drejtpërdrejtë, informacioni i kërkuar jepet jo më vonë se 1 ditë pune nga marrja e kërkesës.</w:t>
            </w:r>
          </w:p>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nuk është në gjendje t’i përgjigjet kërkesës brenda afatit prej 1 dite pune ose nuk ka akses të drejtpërdrejtë në informacionin e kërkuar, ajo jep arsyetimin përkatës.</w:t>
            </w:r>
          </w:p>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dhënia e informacionit të kërkuar brenda afatit prej 1 dite pune do të përbënte një barrë joproporcionale për Agjencinë e Inteligjencës Financiare, ajo mund të shtyjë dhënien e informacionit. Në këtë rast, Agjencia e Inteligjencës Financiare njofton menjëherë njësinë e inteligjencës financiare që ka paraqitur kërkesën për shtyrjen e afatit.</w:t>
            </w:r>
          </w:p>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Në këto raste, afati për dhënien e përgjigjes mund të zgjatet deri në maksimum 3 ditë pune.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përjashtimin nga afatet e përgjigjes të parashikuara në pikën 6, duke vendosur një afat të përshpejtuar prej 1 dite pune për dhënien e informacionit në raste të jashtëzakonshme, të justifikuara dhe urgjente, kur informacioni ndodhet në posedim të Agjencisë së Inteligjencës Financiare ose është i aksesueshëm drejtpërdrejt, në përputhje me përmbajtjen dhe qëllimin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31(8)</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mund ta refuzojë shkëmbimin e informacionit vetëm në rrethana të jashtëzakonshme kur shkëmbimi mund të jetë në kundërshtim me parimet themelore të legjislacionit të saj të brendshëm. Këto rrethana të jashtëzakonshme do të specifikohen në një mënyrë që parandalon keqpërdorimin dhe kufizimet e panevojshme të shkëmbimit të lirë të informacionit për qëllime analitike.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shtetet anëtare njoftojnë Komisionin për rrethanat e jashtëzakonshme të përmendura në nënparagrafin e parë. Shtetet anëtare i përditësojnë këto njoftime kur ka ndryshime në rrethanat e jashtëzakonshme të identifikuara në nivel kombëtar.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publikon listën e konsoliduar të njoftimeve të përmendura në nënparagrafin e dytë.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A773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 xml:space="preserve">5. Agjencia e Inteligjencës Financiare mund të refuzojë shkëmbimin e informacionit vetëm në rrethana të jashtëzakonshme, kur shkëmbimi do të ishte në kundërshtim me parimet themelore të rendit juridik kombëtar. </w:t>
            </w:r>
          </w:p>
          <w:p w:rsidR="006E5B5B" w:rsidRPr="005A773B" w:rsidRDefault="005A773B" w:rsidP="00A87413">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Këto rrethana të jashtëzakonshme përcaktohen në mënyrë të tillë që të shmanget keqpërdorimi i tyre dhe kufizimi i pajustifikuar i shkëmbimit të informacionit për qëllime analitike.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Rregulli për refuzimin e shkëmbimit të informacionit vetëm në rrethana të jashtëzakonshme, të lidhura me parimet themelore të rendit juridik kombëtar, është transpozuar plotësisht. </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Dispozitat që lidhen me njoftimin dhe publikimin nga Komisioni Evropian përbëjnë mekanizma institucionale të BE-së dhe nuk janë të zbatueshme në nivel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Komisioni i paraqet Parlamentit Evropian dhe Këshillit një raport që vlerëson nëse rrethanat e jashtëzakonshme të njoftuara sipas paragrafit 8 janë të justifikuara.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Komisionit Evropian për raportim ndaj institucioneve të Bashkimit Evropian mbi vlerësimin e rrethanave të jashtëzakonshme dhe nuk krijon detyrime për autoritetet kombëtare. Për këtë arsye, nuk është e zbatueshme për transpozim në ligjin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32</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Analiza të përbashkëta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e tyre të jenë në gjendje të kryejnë analiza të përbashkëta të transaksioneve dhe veprimtarive të dyshimta.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9715A6" w:rsidRPr="009715A6" w:rsidRDefault="009715A6" w:rsidP="00A87413">
            <w:pPr>
              <w:widowControl w:val="0"/>
              <w:snapToGrid w:val="0"/>
              <w:spacing w:after="0" w:line="240" w:lineRule="auto"/>
              <w:rPr>
                <w:rFonts w:ascii="Times New Roman" w:hAnsi="Times New Roman"/>
                <w:sz w:val="18"/>
                <w:szCs w:val="18"/>
                <w:lang w:val="sq-AL"/>
              </w:rPr>
            </w:pPr>
            <w:r w:rsidRPr="009715A6">
              <w:rPr>
                <w:rFonts w:ascii="Times New Roman" w:hAnsi="Times New Roman"/>
                <w:sz w:val="18"/>
                <w:szCs w:val="18"/>
                <w:lang w:val="sq-AL"/>
              </w:rPr>
              <w:t>Neni 28</w:t>
            </w:r>
          </w:p>
          <w:p w:rsidR="009715A6" w:rsidRPr="009715A6" w:rsidRDefault="009715A6" w:rsidP="00A87413">
            <w:pPr>
              <w:widowControl w:val="0"/>
              <w:snapToGrid w:val="0"/>
              <w:spacing w:after="0" w:line="240" w:lineRule="auto"/>
              <w:rPr>
                <w:rFonts w:ascii="Times New Roman" w:hAnsi="Times New Roman"/>
                <w:sz w:val="18"/>
                <w:szCs w:val="18"/>
                <w:lang w:val="sq-AL"/>
              </w:rPr>
            </w:pPr>
            <w:r w:rsidRPr="009715A6">
              <w:rPr>
                <w:rFonts w:ascii="Times New Roman" w:hAnsi="Times New Roman"/>
                <w:sz w:val="18"/>
                <w:szCs w:val="18"/>
                <w:lang w:val="sq-AL"/>
              </w:rPr>
              <w:t>Analiza të përbashkëta</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E629F8" w:rsidRDefault="00E629F8" w:rsidP="00A87413">
            <w:pPr>
              <w:widowControl w:val="0"/>
              <w:spacing w:after="0" w:line="240" w:lineRule="auto"/>
              <w:rPr>
                <w:rFonts w:ascii="Times New Roman" w:hAnsi="Times New Roman"/>
                <w:sz w:val="18"/>
                <w:szCs w:val="18"/>
                <w:lang w:val="sq-AL"/>
              </w:rPr>
            </w:pPr>
            <w:r w:rsidRPr="00E629F8">
              <w:rPr>
                <w:rFonts w:ascii="Times New Roman" w:hAnsi="Times New Roman"/>
                <w:sz w:val="18"/>
                <w:szCs w:val="18"/>
                <w:lang w:val="sq-AL"/>
              </w:rPr>
              <w:t>1. Agjencia e Inteligjencës Financiare ka kompetencë të kryejë analiza të përbashkëta të transaksioneve dhe veprimtarive të dyshimta me njësitë homologe të inteligjencës financiare të shteteve të tjera.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kompetencën e Agjencisë së Inteligjencës Financiare për kryerjen e analizave të përbashkëta të transaksioneve dhe veprimtarive të dyshimta me njësitë homologe të inteligjencës financiare të shteteve të tjera, duke ruajtur përmbajtjen dhe qëllimin e direktivës, pa shtuar apo kufizuar elemente materiale. </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të këtij neni, NjIF-të përkatëse, me mbështetjen e AMLA-s në përputhje me nenin 40 të Rregullores (BE) 2024/1620, ngrenë një ekip të analizave të përbashkëta, për një qëllim specifik dhe për një periudhë të kufizuar e cila mund të zgjatet me pëlqim të ndërsjellë, për të kryer analiza operacionale të transaksioneve ose veprimtarive të dyshimta që përfshijnë një ose disa NjIF në përbërje të ekipit.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tc>
        <w:tc>
          <w:tcPr>
            <w:tcW w:w="1356" w:type="dxa"/>
            <w:shd w:val="clear" w:color="auto" w:fill="auto"/>
            <w:vAlign w:val="center"/>
          </w:tcPr>
          <w:p w:rsidR="006E5B5B" w:rsidRPr="00F727DA" w:rsidRDefault="00E629F8" w:rsidP="00A87413">
            <w:pPr>
              <w:widowControl w:val="0"/>
              <w:snapToGrid w:val="0"/>
              <w:spacing w:after="0" w:line="240" w:lineRule="auto"/>
              <w:rPr>
                <w:rFonts w:ascii="Times New Roman" w:hAnsi="Times New Roman"/>
                <w:sz w:val="18"/>
                <w:szCs w:val="18"/>
              </w:rPr>
            </w:pPr>
            <w:r>
              <w:rPr>
                <w:rFonts w:ascii="Times New Roman" w:hAnsi="Times New Roman"/>
                <w:bCs/>
                <w:sz w:val="18"/>
                <w:szCs w:val="18"/>
              </w:rPr>
              <w:t xml:space="preserve">F- </w:t>
            </w:r>
            <w:r w:rsidR="006E5B5B" w:rsidRPr="00F727DA">
              <w:rPr>
                <w:rFonts w:ascii="Times New Roman" w:hAnsi="Times New Roman"/>
                <w:bCs/>
                <w:sz w:val="18"/>
                <w:szCs w:val="18"/>
              </w:rPr>
              <w:t>Plotësisht i harmonizuar (përshtatje funksionale)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 (përshtatje funksionale).</w:t>
            </w:r>
            <w:r w:rsidRPr="00F727DA">
              <w:rPr>
                <w:rFonts w:ascii="Times New Roman" w:hAnsi="Times New Roman"/>
                <w:sz w:val="18"/>
                <w:szCs w:val="18"/>
              </w:rPr>
              <w:t xml:space="preserve"> </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mekanizmin e krijimit të ekipeve të përbashkëta analize nga Agjencia e Inteligjencës Financiare me njësitë homologe të inteligjencës financiare, në bazë të marrëveshjeve të bashkëpunimit, për një qëllim të përcaktuar dhe për një periudhë të kufizuar kohore, për kryerjen e analizave operative të transaksioneve ose veprimtarive të dyshimta. Referencat institucionale ndaj strukturave të Bashkimit Evropian janë përshtatur në mënyrë funksionale, në përputhje me statusin e Shqipërisë si vend jo-anëtar i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Ekipi i analizave të përbashkëta mund të ngrihet kur: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E629F8"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3.</w:t>
            </w:r>
            <w:r w:rsidRPr="00F727DA">
              <w:rPr>
                <w:rFonts w:eastAsia="Calibri"/>
                <w:sz w:val="18"/>
                <w:szCs w:val="18"/>
                <w:lang w:val="en-GB" w:eastAsia="ar-SA"/>
              </w:rPr>
              <w:t xml:space="preserve"> Ekipi i përbashkët i analizës mund të ngrihet kur:</w:t>
            </w:r>
          </w:p>
        </w:tc>
        <w:tc>
          <w:tcPr>
            <w:tcW w:w="1356" w:type="dxa"/>
            <w:shd w:val="clear" w:color="auto" w:fill="auto"/>
            <w:vAlign w:val="center"/>
          </w:tcPr>
          <w:p w:rsidR="006E5B5B" w:rsidRPr="00F727DA" w:rsidRDefault="00E629F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analizat operacionale të NjIF-së kërkojnë analiza të vështira dhe të mundimshme që paraqesin lidhje me shtetet e tjera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a)</w:t>
            </w:r>
            <w:r w:rsidRPr="00F727DA">
              <w:rPr>
                <w:rFonts w:eastAsia="Calibri"/>
                <w:sz w:val="18"/>
                <w:szCs w:val="18"/>
                <w:lang w:val="en-GB" w:eastAsia="ar-SA"/>
              </w:rPr>
              <w:t xml:space="preserve"> analizat operative të Agjencisë së Inteligjencës Financiare kërkojnë analiza komplekse dhe të ndërlikuara, që lidhen me juridiksione ose shtete të tjera;</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E629F8"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disa NjIF janë duke kryer analiza operacionale në të cilat rrethanat e rastit justifikojnë veprimin e bashkërenduar në shtetet anëtare të përfshira.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për ngritjen e një ekipi të analizave të përbashkëta mund të bëhet nga cilado prej NjIF-ve përkatëse ose AMLA në përputhje me nenin 44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disa njësi të inteligjencës financiare janë duke kryer analiza operative, ku rrethanat e çështjes justifikojnë veprime të koordinuara ndërmjet juridiksioneve ose shteteve të përfshira.</w:t>
            </w:r>
          </w:p>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Kërkesa për ngritjen e një ekipi të përbashkët analize mund të paraqitet nga cilado prej njësive të inteligjencës financiare të përfshira.</w:t>
            </w:r>
          </w:p>
        </w:tc>
        <w:tc>
          <w:tcPr>
            <w:tcW w:w="1356" w:type="dxa"/>
            <w:shd w:val="clear" w:color="auto" w:fill="auto"/>
            <w:vAlign w:val="center"/>
          </w:tcPr>
          <w:p w:rsidR="006E5B5B" w:rsidRPr="00F727DA" w:rsidRDefault="00E629F8" w:rsidP="00A87413">
            <w:pPr>
              <w:widowControl w:val="0"/>
              <w:snapToGrid w:val="0"/>
              <w:spacing w:after="0" w:line="240" w:lineRule="auto"/>
              <w:rPr>
                <w:rFonts w:ascii="Times New Roman" w:hAnsi="Times New Roman"/>
                <w:sz w:val="18"/>
                <w:szCs w:val="18"/>
              </w:rPr>
            </w:pPr>
            <w:r>
              <w:rPr>
                <w:rFonts w:ascii="Times New Roman" w:hAnsi="Times New Roman"/>
                <w:bCs/>
                <w:sz w:val="18"/>
                <w:szCs w:val="18"/>
              </w:rPr>
              <w:t xml:space="preserve">F- </w:t>
            </w:r>
            <w:r w:rsidR="006E5B5B" w:rsidRPr="00F727DA">
              <w:rPr>
                <w:rFonts w:ascii="Times New Roman" w:hAnsi="Times New Roman"/>
                <w:bCs/>
                <w:sz w:val="18"/>
                <w:szCs w:val="18"/>
              </w:rPr>
              <w:t>Plotësisht i harmonizuar (përshtatje funksionale)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bCs/>
                <w:sz w:val="18"/>
                <w:szCs w:val="18"/>
              </w:rPr>
            </w:pPr>
            <w:r w:rsidRPr="00F727DA">
              <w:rPr>
                <w:rFonts w:ascii="Times New Roman" w:hAnsi="Times New Roman"/>
                <w:bCs/>
                <w:sz w:val="18"/>
                <w:szCs w:val="18"/>
              </w:rPr>
              <w:t>Plotësisht i harmonizuar (përshtatje funksionale).</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krijimin e ekipeve të përbashkëta analize për një qëllim të përcaktuar dhe për një periudhë të kufizuar kohore, në bazë të marrëveshjeve të bashkëpunimit ndërmjet Agjencisë së Inteligjencës Financiare dhe njësive homologe të inteligjencës financiare. Referencat ndaj asistencës dhe strukturave të Bashkimit Evropian janë përshtatur në mënyrë funksionale, duke ruajtur përmbajtjen dhe qëllimin e direktivës, në përputhje me statusin e Shqipërisë si vend jo-anëtar i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anëtari i stafit të NjIF-së së tyre i caktuar në ekipin e analizave të përbashkëta, në përputhje me legjislacionin e brendshëm në fuqi dhe brenda kufijve të kompetencës së tij, të jetë në gjendje t'i sigurojë ekipit informacionin që disponon NjIF-ja e tij për qëllime të analizës së kryer nga ekipi.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4.</w:t>
            </w:r>
            <w:r w:rsidRPr="00F727DA">
              <w:rPr>
                <w:rFonts w:ascii="Times New Roman" w:hAnsi="Times New Roman"/>
                <w:sz w:val="18"/>
                <w:szCs w:val="18"/>
                <w:lang w:eastAsia="sq-AL" w:bidi="sq-AL"/>
              </w:rPr>
              <w:t xml:space="preserve">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tc>
        <w:tc>
          <w:tcPr>
            <w:tcW w:w="1356" w:type="dxa"/>
            <w:shd w:val="clear" w:color="auto" w:fill="auto"/>
            <w:vAlign w:val="center"/>
          </w:tcPr>
          <w:p w:rsidR="006E5B5B" w:rsidRPr="00F727DA" w:rsidRDefault="00E629F8" w:rsidP="00A87413">
            <w:pPr>
              <w:widowControl w:val="0"/>
              <w:snapToGrid w:val="0"/>
              <w:spacing w:after="0" w:line="240" w:lineRule="auto"/>
              <w:jc w:val="center"/>
              <w:rPr>
                <w:rFonts w:ascii="Times New Roman" w:hAnsi="Times New Roman"/>
                <w:bCs/>
                <w:sz w:val="18"/>
                <w:szCs w:val="18"/>
                <w:lang w:eastAsia="sq-AL" w:bidi="sq-AL"/>
              </w:rPr>
            </w:pPr>
            <w:r>
              <w:rPr>
                <w:rFonts w:ascii="Times New Roman" w:hAnsi="Times New Roman"/>
                <w:bCs/>
                <w:sz w:val="18"/>
                <w:szCs w:val="18"/>
                <w:lang w:eastAsia="sq-AL" w:bidi="sq-AL"/>
              </w:rPr>
              <w:t>F-</w:t>
            </w:r>
            <w:r w:rsidR="006E5B5B" w:rsidRPr="00F727DA">
              <w:rPr>
                <w:rFonts w:ascii="Times New Roman" w:hAnsi="Times New Roman"/>
                <w:bCs/>
                <w:sz w:val="18"/>
                <w:szCs w:val="18"/>
                <w:lang w:eastAsia="sq-AL" w:bidi="sq-AL"/>
              </w:rPr>
              <w:t>Plotësisht i harmonizuar</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autorizimin e punonjësit të Agjencisë së Inteligjencës Financiare të caktuar në ekipin e përbashkët të analizës për të vënë në dispozicion të ekipit informacionin e disponueshëm për qëllimet e analizës, në përputhje me legjislacionin kombëtar dhe brenda kufijve të kompetencave të tij, duke ruajtur përmbajtjen dhe qëllimin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ekipi i analizave të përbashkëta ka nevojë për ndihmë nga një NjIF e ndryshme nga ato që janë pjesë e ekipit, ai mund të kërkojë që një NjIF tjetër: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5.</w:t>
            </w:r>
            <w:r w:rsidRPr="00F727DA">
              <w:rPr>
                <w:rFonts w:eastAsia="Calibri"/>
                <w:sz w:val="18"/>
                <w:szCs w:val="18"/>
                <w:lang w:val="en-GB" w:eastAsia="sq-AL" w:bidi="sq-AL"/>
              </w:rPr>
              <w:t xml:space="preserve"> Kur ekipi i përbashkët i analizës ka nevojë për asistencë nga një njësi e inteligjencës financiare tjetër, e cila nuk është pjesë e ekipit, ai mund t’i kërkojë kësaj njësie që:</w:t>
            </w:r>
          </w:p>
          <w:p w:rsidR="006E5B5B" w:rsidRPr="00F727DA" w:rsidRDefault="006E5B5B" w:rsidP="00A87413">
            <w:pPr>
              <w:pStyle w:val="NormalWeb"/>
              <w:spacing w:before="0" w:beforeAutospacing="0" w:after="0" w:afterAutospacing="0"/>
              <w:rPr>
                <w:sz w:val="18"/>
                <w:szCs w:val="18"/>
                <w:lang w:eastAsia="sq-AL" w:bidi="sq-AL"/>
              </w:rPr>
            </w:pPr>
          </w:p>
        </w:tc>
        <w:tc>
          <w:tcPr>
            <w:tcW w:w="1356" w:type="dxa"/>
            <w:shd w:val="clear" w:color="auto" w:fill="auto"/>
            <w:vAlign w:val="center"/>
          </w:tcPr>
          <w:p w:rsidR="006E5B5B" w:rsidRPr="00F727DA" w:rsidRDefault="00E629F8" w:rsidP="00A87413">
            <w:pPr>
              <w:widowControl w:val="0"/>
              <w:snapToGrid w:val="0"/>
              <w:spacing w:after="0" w:line="240" w:lineRule="auto"/>
              <w:jc w:val="center"/>
              <w:rPr>
                <w:rFonts w:ascii="Times New Roman" w:hAnsi="Times New Roman"/>
                <w:bCs/>
                <w:sz w:val="18"/>
                <w:szCs w:val="18"/>
                <w:lang w:eastAsia="sq-AL" w:bidi="sq-AL"/>
              </w:rPr>
            </w:pPr>
            <w:r>
              <w:rPr>
                <w:rFonts w:ascii="Times New Roman" w:hAnsi="Times New Roman"/>
                <w:bCs/>
                <w:sz w:val="18"/>
                <w:szCs w:val="18"/>
                <w:lang w:eastAsia="sq-AL" w:bidi="sq-AL"/>
              </w:rPr>
              <w:t xml:space="preserve">F- </w:t>
            </w:r>
            <w:r w:rsidR="006E5B5B" w:rsidRPr="00F727DA">
              <w:rPr>
                <w:rFonts w:ascii="Times New Roman" w:hAnsi="Times New Roman"/>
                <w:bCs/>
                <w:sz w:val="18"/>
                <w:szCs w:val="18"/>
                <w:lang w:eastAsia="sq-AL" w:bidi="sq-AL"/>
              </w:rPr>
              <w:t>Plotësisht i harmonizuar</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Plotësisht i harmonizuar.</w:t>
            </w:r>
            <w:r w:rsidRPr="00F727DA">
              <w:rPr>
                <w:rFonts w:eastAsia="Calibri"/>
                <w:sz w:val="18"/>
                <w:szCs w:val="18"/>
                <w:lang w:val="en-GB" w:eastAsia="sq-AL" w:bidi="sq-AL"/>
              </w:rPr>
              <w:t xml:space="preserve"> Dispozita transpozon mundësinë që ekipi i përbashkët i analizës të kërkojë asistencë nga një njësi tjetër e inteligjencës financiare që nuk është pjesë e ekipit, përfshirë pjesëmarrjen në ekip ose dhënien e inteligjencës financiare dhe informacionit financiar, duke ruajtur përmbajtjen dhe qëllimin e direktivës dhe duke reflektuar statusin e Shqipërisë si vend jo-anëtar i BE-së.</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bashkohet ekipit të analizave të përbashkëta;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a)</w:t>
            </w:r>
            <w:r w:rsidRPr="00F727DA">
              <w:rPr>
                <w:rFonts w:eastAsia="Calibri"/>
                <w:sz w:val="18"/>
                <w:szCs w:val="18"/>
                <w:lang w:val="en-GB" w:eastAsia="sq-AL" w:bidi="sq-AL"/>
              </w:rPr>
              <w:t xml:space="preserve"> t’i bashkohet ekipit të përbashkët të analizës;</w:t>
            </w:r>
          </w:p>
          <w:p w:rsidR="006E5B5B" w:rsidRPr="00F727DA" w:rsidRDefault="006E5B5B" w:rsidP="00A87413">
            <w:pPr>
              <w:pStyle w:val="NormalWeb"/>
              <w:spacing w:before="0" w:beforeAutospacing="0" w:after="0" w:afterAutospacing="0"/>
              <w:rPr>
                <w:sz w:val="18"/>
                <w:szCs w:val="18"/>
              </w:rPr>
            </w:pPr>
          </w:p>
        </w:tc>
        <w:tc>
          <w:tcPr>
            <w:tcW w:w="1356"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dorëzojë ekipit të analizave të përbashkëta inteligjencën financiare dhe informacionin financiar.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t’i dorëzoje ekipit të përbashkët të analizës, informacion financiar, si dhe informacionin në kuadër të inteligjencës financiare. </w:t>
            </w:r>
          </w:p>
        </w:tc>
        <w:tc>
          <w:tcPr>
            <w:tcW w:w="1356" w:type="dxa"/>
            <w:shd w:val="clear" w:color="auto" w:fill="auto"/>
          </w:tcPr>
          <w:p w:rsidR="006E5B5B" w:rsidRPr="00F727DA" w:rsidRDefault="006E5B5B" w:rsidP="00A87413">
            <w:pPr>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mund të ftojnë palë të treta, duke përfshirë organet, zyrat dhe agjencitë e BE-së, për të marrë pjesë në analizat e përbashkëta, kur kjo është e rëndësishme për qëllimet e analizave të përbashkëta dhe kur kjo pjesëmarrje është brenda mandateve përkatëse të këtyre palëve të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pjesëmarrëse në analizat e përbashkëta të përcaktojnë kushtet që zbatohen në lidhje me pjesëmarrjen e palëve të treta dhe të marrin masa që garantojnë konfidencialitetin dhe sigurinë e informacionit të shkëmbyer. Shtetet anëtare garantojnë që informacioni i shkëmbyer të përdoret vetëm për qëllimet për të cilat kryhet kjo analizë e përbashkët.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6.</w:t>
            </w:r>
            <w:r w:rsidRPr="00F727DA">
              <w:rPr>
                <w:rFonts w:eastAsia="Calibri"/>
                <w:sz w:val="18"/>
                <w:szCs w:val="18"/>
                <w:lang w:val="en-GB" w:eastAsia="sq-AL" w:bidi="sq-AL"/>
              </w:rPr>
              <w:t xml:space="preserve"> Agjencia e Inteligjencës Financiare dhe njësitë homologe të inteligjencës financiare që marrin pjesë në analizat e përbashkëta </w:t>
            </w:r>
            <w:r w:rsidRPr="00F727DA">
              <w:rPr>
                <w:rFonts w:eastAsia="Calibri"/>
                <w:bCs/>
                <w:sz w:val="18"/>
                <w:szCs w:val="18"/>
                <w:lang w:val="en-GB" w:eastAsia="sq-AL" w:bidi="sq-AL"/>
              </w:rPr>
              <w:t>mund të ftojnë palë të treta</w:t>
            </w:r>
            <w:r w:rsidRPr="00F727DA">
              <w:rPr>
                <w:rFonts w:eastAsia="Calibri"/>
                <w:sz w:val="18"/>
                <w:szCs w:val="18"/>
                <w:lang w:val="en-GB" w:eastAsia="sq-AL" w:bidi="sq-AL"/>
              </w:rPr>
              <w:t xml:space="preserve"> të marrin pjesë në këto analiza, kur kjo është e nevojshme për qëllimet e analizës së përbashkët dhe kur pjesëmarrja e tyre bie brenda kompetencave përkatëse ligjore.</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Agjencia e Inteligjencës 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tc>
        <w:tc>
          <w:tcPr>
            <w:tcW w:w="1356" w:type="dxa"/>
            <w:shd w:val="clear" w:color="auto" w:fill="auto"/>
            <w:vAlign w:val="center"/>
          </w:tcPr>
          <w:p w:rsidR="006E5B5B" w:rsidRPr="00F727DA" w:rsidRDefault="00E629F8" w:rsidP="00A87413">
            <w:pPr>
              <w:spacing w:after="0" w:line="240" w:lineRule="auto"/>
              <w:jc w:val="center"/>
              <w:rPr>
                <w:rFonts w:ascii="Times New Roman" w:hAnsi="Times New Roman"/>
                <w:sz w:val="18"/>
                <w:szCs w:val="18"/>
                <w:lang w:eastAsia="sq-AL" w:bidi="sq-AL"/>
              </w:rPr>
            </w:pPr>
            <w:r>
              <w:rPr>
                <w:rFonts w:ascii="Times New Roman" w:hAnsi="Times New Roman"/>
                <w:bCs/>
                <w:sz w:val="18"/>
                <w:szCs w:val="18"/>
                <w:lang w:eastAsia="sq-AL" w:bidi="sq-AL"/>
              </w:rPr>
              <w:t xml:space="preserve">F- </w:t>
            </w:r>
            <w:r w:rsidR="006E5B5B" w:rsidRPr="00F727DA">
              <w:rPr>
                <w:rFonts w:ascii="Times New Roman" w:hAnsi="Times New Roman"/>
                <w:bCs/>
                <w:sz w:val="18"/>
                <w:szCs w:val="18"/>
                <w:lang w:eastAsia="sq-AL" w:bidi="sq-AL"/>
              </w:rPr>
              <w:t>Plotësisht i harmonizuar (përshtatje funksionale).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Plotësisht i harmonizuar (përshtatje funksionale)</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e përfshirjes së palëve të treta në analizat e përbashkëta, përcaktimin nga njësitë pjesëmarrëse të kushteve për pjesëmarrjen e tyre, si dhe masat për garantimin e konfidencialitetit dhe sigurisë së informacionit të shkëmbyer, duke kufizuar përdorimin e informacionit vetëm për qëllimet e analizës së përbashkët. Referencat ndaj strukturave të Bashkimit Evropian janë përshtatur në përputhje me statusin e Shqipërisë si vend jo-anëtar i BE-së.</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bCs/>
                <w:sz w:val="18"/>
                <w:szCs w:val="18"/>
              </w:rPr>
            </w:pPr>
            <w:r w:rsidRPr="00F727DA">
              <w:rPr>
                <w:rFonts w:ascii="Times New Roman" w:hAnsi="Times New Roman"/>
                <w:b/>
                <w:bCs/>
                <w:sz w:val="18"/>
                <w:szCs w:val="18"/>
              </w:rPr>
              <w:t>Neni 33</w:t>
            </w:r>
          </w:p>
          <w:p w:rsidR="006E5B5B" w:rsidRPr="00F727DA" w:rsidRDefault="006E5B5B" w:rsidP="00A87413">
            <w:pPr>
              <w:snapToGrid w:val="0"/>
              <w:spacing w:after="0" w:line="240" w:lineRule="auto"/>
              <w:rPr>
                <w:rFonts w:ascii="Times New Roman" w:hAnsi="Times New Roman"/>
                <w:bCs/>
                <w:sz w:val="18"/>
                <w:szCs w:val="18"/>
              </w:rPr>
            </w:pPr>
            <w:r w:rsidRPr="00F727DA">
              <w:rPr>
                <w:rFonts w:ascii="Times New Roman" w:hAnsi="Times New Roman"/>
                <w:b/>
                <w:sz w:val="18"/>
                <w:szCs w:val="18"/>
              </w:rPr>
              <w:t>Përdorimi nga Njësitë e Inteligjencës Financiare të informacionit të shkëmbyer ndërmjet tyre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33</w:t>
            </w:r>
          </w:p>
        </w:tc>
        <w:tc>
          <w:tcPr>
            <w:tcW w:w="3507" w:type="dxa"/>
            <w:shd w:val="clear" w:color="auto" w:fill="auto"/>
            <w:vAlign w:val="center"/>
          </w:tcPr>
          <w:p w:rsidR="006E5B5B" w:rsidRPr="00F961CC" w:rsidRDefault="006E5B5B" w:rsidP="00A87413">
            <w:pPr>
              <w:widowControl w:val="0"/>
              <w:snapToGrid w:val="0"/>
              <w:spacing w:after="0" w:line="240" w:lineRule="auto"/>
              <w:rPr>
                <w:rFonts w:ascii="Times New Roman" w:hAnsi="Times New Roman"/>
                <w:sz w:val="18"/>
                <w:szCs w:val="18"/>
                <w:lang w:eastAsia="sq-AL" w:bidi="sq-AL"/>
              </w:rPr>
            </w:pPr>
            <w:r w:rsidRPr="00F961CC">
              <w:rPr>
                <w:rFonts w:ascii="Times New Roman" w:hAnsi="Times New Roman"/>
                <w:sz w:val="18"/>
                <w:szCs w:val="18"/>
                <w:lang w:eastAsia="sq-AL" w:bidi="sq-AL"/>
              </w:rPr>
              <w:t>Informacioni dhe dokumentet e marra në përputhje me nenet 29, 31 dhe 32 përdoren për realizimin e detyrave të NjIF-së të përcaktuara në këtë direktivë. Gjatë shkëmbimit të informacionit dhe dokumenteve në përputhje me nenet 29 dhe 31, NjIF-ja transmetuese mund të vendosë kufizime dhe kushte për përdorimin e këtij informacioni, përveç rasteve kur transmetimi konsiston në një raport, të dorëzuar nga një subjekt i detyruar në përputhje me nenin 69, paragrafi 1 të Rregullores (BE) 2024/1624, i cili ka të bëjë me një shtet tjetër anëtar ku subjekti i detyruar operon në bazë të lirisë për të ofruar shërbime dhe i cili nuk përfshin asnjë lidhje me shtetin anëtar të NjIF-së transmetuese, ose në informacione të derivuara prej tij. NjIF-ja që merr informacionin përmbush kufizimet dhe kushtet në fjalë.</w:t>
            </w:r>
          </w:p>
          <w:p w:rsidR="006E5B5B" w:rsidRPr="00F961CC" w:rsidRDefault="006E5B5B" w:rsidP="00A87413">
            <w:pPr>
              <w:widowControl w:val="0"/>
              <w:snapToGrid w:val="0"/>
              <w:spacing w:after="0" w:line="240" w:lineRule="auto"/>
              <w:rPr>
                <w:rFonts w:ascii="Times New Roman" w:hAnsi="Times New Roman"/>
                <w:color w:val="FF0000"/>
                <w:sz w:val="18"/>
                <w:szCs w:val="18"/>
                <w:lang w:eastAsia="sq-AL" w:bidi="sq-AL"/>
              </w:rPr>
            </w:pPr>
            <w:r w:rsidRPr="00F961CC">
              <w:rPr>
                <w:rFonts w:ascii="Times New Roman" w:hAnsi="Times New Roman"/>
                <w:sz w:val="18"/>
                <w:szCs w:val="18"/>
                <w:lang w:eastAsia="sq-AL" w:bidi="sq-AL"/>
              </w:rPr>
              <w:t>Shtetet anëtare garantojnë që NjIF-të të caktojnë të paktën një person ose pikë kontakti përgjegjëse për marrjen e kërkesave për informacion nga NjIF-të e shteteve të tjera anëtare.</w:t>
            </w:r>
          </w:p>
        </w:tc>
        <w:tc>
          <w:tcPr>
            <w:tcW w:w="1266" w:type="dxa"/>
            <w:gridSpan w:val="2"/>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1980" w:type="dxa"/>
            <w:shd w:val="clear" w:color="auto" w:fill="auto"/>
            <w:vAlign w:val="center"/>
          </w:tcPr>
          <w:p w:rsidR="00E629F8" w:rsidRPr="00E629F8" w:rsidRDefault="00E629F8" w:rsidP="00A87413">
            <w:pPr>
              <w:pStyle w:val="Heading2"/>
              <w:spacing w:before="0" w:beforeAutospacing="0" w:after="0" w:afterAutospacing="0"/>
              <w:rPr>
                <w:b w:val="0"/>
                <w:sz w:val="18"/>
                <w:szCs w:val="18"/>
                <w:lang w:val="sq-AL"/>
              </w:rPr>
            </w:pPr>
            <w:r w:rsidRPr="00E629F8">
              <w:rPr>
                <w:b w:val="0"/>
                <w:sz w:val="18"/>
                <w:szCs w:val="18"/>
                <w:lang w:val="sq-AL"/>
              </w:rPr>
              <w:t>Neni 29</w:t>
            </w:r>
          </w:p>
          <w:p w:rsidR="00E629F8" w:rsidRPr="00E629F8" w:rsidRDefault="00E629F8" w:rsidP="00A87413">
            <w:pPr>
              <w:pStyle w:val="Heading2"/>
              <w:spacing w:before="0" w:beforeAutospacing="0" w:after="0" w:afterAutospacing="0"/>
              <w:rPr>
                <w:b w:val="0"/>
                <w:sz w:val="18"/>
                <w:szCs w:val="18"/>
                <w:lang w:val="sq-AL"/>
              </w:rPr>
            </w:pPr>
            <w:r w:rsidRPr="00E629F8">
              <w:rPr>
                <w:b w:val="0"/>
                <w:sz w:val="18"/>
                <w:szCs w:val="18"/>
                <w:lang w:val="sq-AL"/>
              </w:rPr>
              <w:t>Përdorimi nga Agjencia e Inteligjencës Financiare të informacionit të shkëmbyer</w:t>
            </w:r>
          </w:p>
          <w:p w:rsidR="006E5B5B" w:rsidRPr="00F727DA" w:rsidRDefault="00E629F8" w:rsidP="00A87413">
            <w:pPr>
              <w:widowControl w:val="0"/>
              <w:snapToGrid w:val="0"/>
              <w:spacing w:after="0" w:line="240" w:lineRule="auto"/>
              <w:rPr>
                <w:rFonts w:ascii="Times New Roman" w:hAnsi="Times New Roman"/>
                <w:sz w:val="18"/>
                <w:szCs w:val="18"/>
              </w:rPr>
            </w:pPr>
            <w:r w:rsidRPr="00E629F8">
              <w:rPr>
                <w:rFonts w:ascii="Times New Roman" w:hAnsi="Times New Roman"/>
                <w:sz w:val="18"/>
                <w:szCs w:val="18"/>
              </w:rPr>
              <w:t xml:space="preserve"> </w:t>
            </w:r>
          </w:p>
        </w:tc>
        <w:tc>
          <w:tcPr>
            <w:tcW w:w="2064" w:type="dxa"/>
            <w:shd w:val="clear" w:color="auto" w:fill="auto"/>
            <w:vAlign w:val="center"/>
          </w:tcPr>
          <w:p w:rsidR="00F961CC" w:rsidRPr="00F961CC" w:rsidRDefault="00F961CC" w:rsidP="00A87413">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1. Informacioni dhe dokumentet e marra në përputhje me nenet 27 dhe 28  përdoren nga Agjencia e Inteligjencës Financiare vetëm për përmbushjen e funksioneve të saj ligjore në fushën e parandalimit dhe luftimit të pastrimit të parave dhe financimit të terrorizmit.</w:t>
            </w:r>
          </w:p>
          <w:p w:rsidR="00F961CC" w:rsidRPr="00F961CC" w:rsidRDefault="00F961CC" w:rsidP="00A87413">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2. Gjatë shkëmbimit të informacionit dhe dokumenteve në përputhje me nenet 27 dhe 28, Agjencia e Inteligjencës Financiare që transmeton informacionin mund të vendosë kufizime ose kushte për përdorimin e tij. Agjencia e Inteligjencës Financiare që e merr informacionin është e detyruar t’i respektojë këto kufizime dhe kushte.</w:t>
            </w:r>
          </w:p>
          <w:p w:rsidR="00F961CC" w:rsidRPr="00F961CC" w:rsidRDefault="00F961CC" w:rsidP="00A87413">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rsidR="00F961CC" w:rsidRPr="00F961CC" w:rsidRDefault="00F961CC" w:rsidP="00A87413">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4. Agjencia e Inteligjencës Financiare cakton të paktën një person kontakti ose pikë kontakti përgjegjëse për marrjen e kërkesave për informacion nga njësitë homologe të inteligjencës financiare të shteteve të tjera.</w:t>
            </w:r>
          </w:p>
          <w:p w:rsidR="006E5B5B" w:rsidRPr="00F727DA" w:rsidRDefault="00F961CC" w:rsidP="00A87413">
            <w:pPr>
              <w:widowControl w:val="0"/>
              <w:snapToGrid w:val="0"/>
              <w:spacing w:after="0" w:line="240" w:lineRule="auto"/>
              <w:rPr>
                <w:rFonts w:ascii="Times New Roman" w:hAnsi="Times New Roman"/>
                <w:sz w:val="18"/>
                <w:szCs w:val="18"/>
              </w:rPr>
            </w:pPr>
            <w:r w:rsidRPr="00F961CC">
              <w:rPr>
                <w:rFonts w:ascii="Times New Roman" w:hAnsi="Times New Roman"/>
                <w:sz w:val="18"/>
                <w:szCs w:val="18"/>
              </w:rPr>
              <w:t xml:space="preserve"> </w:t>
            </w:r>
          </w:p>
        </w:tc>
        <w:tc>
          <w:tcPr>
            <w:tcW w:w="1356" w:type="dxa"/>
            <w:shd w:val="clear" w:color="auto" w:fill="auto"/>
            <w:vAlign w:val="center"/>
          </w:tcPr>
          <w:p w:rsidR="006E5B5B" w:rsidRPr="00F727DA" w:rsidRDefault="00F961CC" w:rsidP="00A87413">
            <w:pPr>
              <w:widowControl w:val="0"/>
              <w:snapToGrid w:val="0"/>
              <w:spacing w:after="0" w:line="240" w:lineRule="auto"/>
              <w:rPr>
                <w:rFonts w:ascii="Times New Roman" w:hAnsi="Times New Roman"/>
                <w:sz w:val="18"/>
                <w:szCs w:val="18"/>
              </w:rPr>
            </w:pPr>
            <w:r>
              <w:rPr>
                <w:rFonts w:ascii="Times New Roman" w:hAnsi="Times New Roman"/>
                <w:bCs/>
                <w:sz w:val="18"/>
                <w:szCs w:val="18"/>
              </w:rPr>
              <w:t xml:space="preserve">F- </w:t>
            </w:r>
            <w:r w:rsidR="006E5B5B" w:rsidRPr="00F727DA">
              <w:rPr>
                <w:rFonts w:ascii="Times New Roman" w:hAnsi="Times New Roman"/>
                <w:bCs/>
                <w:sz w:val="18"/>
                <w:szCs w:val="18"/>
              </w:rPr>
              <w:t>Plotësisht i harmonizuar.</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w:t>
            </w:r>
            <w:r w:rsidRPr="00F727DA">
              <w:rPr>
                <w:rFonts w:ascii="Times New Roman" w:hAnsi="Times New Roman"/>
                <w:sz w:val="18"/>
                <w:szCs w:val="18"/>
              </w:rPr>
              <w:t xml:space="preserve"> </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për caktimin nga Agjencia e Inteligjencës Financiare të të paktën një personi ose pike kontakti përgjegjëse për marrjen e kërkesave për informacion nga njësitë homologe të inteligjencës financiare të shteteve të tjera, duke ruajtur përmbajtjen dhe qëllimin e direktivës dhe duke reflektuar statusin e Shqipërisë si vend jo-anëtar i BE-së.</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widowControl w:val="0"/>
              <w:snapToGrid w:val="0"/>
              <w:spacing w:after="0" w:line="240" w:lineRule="auto"/>
              <w:rPr>
                <w:rFonts w:ascii="Times New Roman" w:hAnsi="Times New Roman"/>
                <w:b/>
                <w:bCs/>
                <w:sz w:val="18"/>
                <w:szCs w:val="18"/>
              </w:rPr>
            </w:pPr>
            <w:r w:rsidRPr="00F727DA">
              <w:rPr>
                <w:rFonts w:ascii="Times New Roman" w:hAnsi="Times New Roman"/>
                <w:b/>
                <w:bCs/>
                <w:sz w:val="18"/>
                <w:szCs w:val="18"/>
              </w:rPr>
              <w:t xml:space="preserve">Neni 34 </w:t>
            </w:r>
          </w:p>
          <w:p w:rsidR="006E5B5B" w:rsidRPr="00F727DA" w:rsidRDefault="006E5B5B" w:rsidP="00A87413">
            <w:pPr>
              <w:widowControl w:val="0"/>
              <w:snapToGrid w:val="0"/>
              <w:spacing w:after="0" w:line="240" w:lineRule="auto"/>
              <w:rPr>
                <w:rFonts w:ascii="Times New Roman" w:hAnsi="Times New Roman"/>
                <w:bCs/>
                <w:sz w:val="18"/>
                <w:szCs w:val="18"/>
              </w:rPr>
            </w:pPr>
            <w:r w:rsidRPr="00F727DA">
              <w:rPr>
                <w:rFonts w:ascii="Times New Roman" w:hAnsi="Times New Roman"/>
                <w:b/>
                <w:sz w:val="18"/>
                <w:szCs w:val="18"/>
              </w:rPr>
              <w:t xml:space="preserve">Miratimi për shpërndarje të mëtejshme të informacionit të shkëmbyer ndërmjet Njësive të Inteligjencës Financiare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shkëmbyer në përputhje me nenet 29, 31 dhe 32 të përdoret vetëm për qëllimin për të cilin është kërkuar ose siguruar dhe që çdo shpërndarje e këtij informacioni nga NjIF-ja që merr informacionin tek ndonjë autoritet, agjenci ose departament tjetër, ose çdo përdorim i këtij informacioni për qëllime të ndryshme nga ato të miratuara fillimisht, t'i nënshtrohet pëlqimit paraprak nga NjIF-ja që jep informacionin.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nënparagrafit të parë të këtij paragrafi nuk zbatohen kur informacioni i dhënë nga NjIF-ja konsiston në një raport të dorëzuar nga një subjekt i detyruar në përputhje me nenin 69, paragrafi 1 të Rregullores (BE) 2024/1624, i cili ka të bëjë me një shtet tjetër anëtar ku subjekti i detyruar operon në bazë të lirisë për të ofruar shërbime dhe i cili nuk ka asnjë lidhje me shtetin anëtar të NjIF-së që jep informacionin.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271CE2" w:rsidRPr="002B510C" w:rsidRDefault="00271CE2" w:rsidP="00A87413">
            <w:pPr>
              <w:pStyle w:val="Heading2"/>
              <w:spacing w:before="0" w:beforeAutospacing="0" w:after="0" w:afterAutospacing="0"/>
              <w:rPr>
                <w:b w:val="0"/>
                <w:sz w:val="18"/>
                <w:szCs w:val="18"/>
                <w:lang w:val="sq-AL"/>
              </w:rPr>
            </w:pPr>
            <w:r w:rsidRPr="002B510C">
              <w:rPr>
                <w:b w:val="0"/>
                <w:sz w:val="18"/>
                <w:szCs w:val="18"/>
                <w:lang w:val="sq-AL"/>
              </w:rPr>
              <w:t>Neni 30</w:t>
            </w:r>
          </w:p>
          <w:p w:rsidR="00271CE2" w:rsidRPr="002B510C" w:rsidRDefault="00271CE2" w:rsidP="00A87413">
            <w:pPr>
              <w:pStyle w:val="Heading2"/>
              <w:spacing w:before="0" w:beforeAutospacing="0" w:after="0" w:afterAutospacing="0"/>
              <w:rPr>
                <w:b w:val="0"/>
                <w:sz w:val="18"/>
                <w:szCs w:val="18"/>
                <w:lang w:val="sq-AL"/>
              </w:rPr>
            </w:pPr>
            <w:r w:rsidRPr="002B510C">
              <w:rPr>
                <w:b w:val="0"/>
                <w:sz w:val="18"/>
                <w:szCs w:val="18"/>
                <w:lang w:val="sq-AL"/>
              </w:rPr>
              <w:t>Pëlqimi për shpërndarjen e mëtejshme të informacionit të shkëmbyer</w:t>
            </w:r>
          </w:p>
          <w:p w:rsidR="006E5B5B" w:rsidRPr="00F727DA" w:rsidRDefault="00271CE2" w:rsidP="00A87413">
            <w:pPr>
              <w:pStyle w:val="Heading2"/>
              <w:spacing w:before="0" w:beforeAutospacing="0" w:after="0" w:afterAutospacing="0"/>
              <w:rPr>
                <w:rFonts w:eastAsia="Calibri"/>
                <w:b w:val="0"/>
                <w:bCs w:val="0"/>
                <w:sz w:val="18"/>
                <w:szCs w:val="18"/>
                <w:lang w:val="en-GB" w:eastAsia="ar-SA"/>
              </w:rPr>
            </w:pPr>
            <w:r w:rsidRPr="00271CE2">
              <w:rPr>
                <w:rFonts w:eastAsia="Calibri"/>
                <w:sz w:val="18"/>
                <w:szCs w:val="18"/>
                <w:lang w:val="en-GB" w:eastAsia="ar-SA"/>
              </w:rPr>
              <w:t xml:space="preserve"> </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2B510C" w:rsidRPr="002B510C" w:rsidRDefault="002B510C" w:rsidP="00A87413">
            <w:pPr>
              <w:pStyle w:val="ListParagraph"/>
              <w:spacing w:after="0" w:line="240" w:lineRule="auto"/>
              <w:ind w:left="0"/>
              <w:rPr>
                <w:rFonts w:ascii="Times New Roman" w:hAnsi="Times New Roman"/>
                <w:sz w:val="18"/>
                <w:szCs w:val="18"/>
                <w:lang w:val="sq-AL"/>
              </w:rPr>
            </w:pPr>
            <w:r w:rsidRPr="002B510C">
              <w:rPr>
                <w:rFonts w:ascii="Times New Roman" w:hAnsi="Times New Roman"/>
                <w:sz w:val="18"/>
                <w:szCs w:val="18"/>
                <w:lang w:val="sq-AL"/>
              </w:rPr>
              <w:t>1. Informacioni i shkëmbyer nga Agjencia e Inteligjencës Financiare në përputhje me nenet 27 dhe 28 përdoret vetëm për qëllimin për të cilin është kërkuar ose dhënë. Çdo shpërndarje e 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rsidR="002B510C" w:rsidRPr="002B510C" w:rsidRDefault="002B510C" w:rsidP="00A87413">
            <w:pPr>
              <w:pStyle w:val="ListParagraph"/>
              <w:spacing w:after="0" w:line="240" w:lineRule="auto"/>
              <w:ind w:left="0"/>
              <w:rPr>
                <w:rFonts w:ascii="Times New Roman" w:hAnsi="Times New Roman"/>
                <w:sz w:val="18"/>
                <w:szCs w:val="18"/>
                <w:lang w:val="sq-AL"/>
              </w:rPr>
            </w:pPr>
            <w:r w:rsidRPr="002B510C">
              <w:rPr>
                <w:rFonts w:ascii="Times New Roman" w:hAnsi="Times New Roman"/>
                <w:sz w:val="18"/>
                <w:szCs w:val="18"/>
                <w:lang w:val="sq-AL"/>
              </w:rPr>
              <w:t>Kërkesa për pëlqim paraprak sipas pikës 1 të këtij neni nuk zbatohet kur informacioni i dhënë nga Agjencia e Inteligjencës Financiare 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njësinë e inteligjencës financiare që e transmeton atë.</w:t>
            </w:r>
          </w:p>
          <w:p w:rsidR="006E5B5B" w:rsidRPr="00F727DA" w:rsidRDefault="006E5B5B" w:rsidP="00A87413">
            <w:pPr>
              <w:pStyle w:val="ListParagraph"/>
              <w:widowControl w:val="0"/>
              <w:spacing w:after="0" w:line="240" w:lineRule="auto"/>
              <w:ind w:left="0"/>
              <w:rPr>
                <w:rFonts w:ascii="Times New Roman" w:hAnsi="Times New Roman"/>
                <w:sz w:val="18"/>
                <w:szCs w:val="18"/>
              </w:rPr>
            </w:pPr>
          </w:p>
        </w:tc>
        <w:tc>
          <w:tcPr>
            <w:tcW w:w="1356" w:type="dxa"/>
            <w:shd w:val="clear" w:color="auto" w:fill="auto"/>
            <w:vAlign w:val="center"/>
          </w:tcPr>
          <w:p w:rsidR="006E5B5B" w:rsidRPr="00F727DA" w:rsidRDefault="002B510C" w:rsidP="00A87413">
            <w:pPr>
              <w:widowControl w:val="0"/>
              <w:snapToGrid w:val="0"/>
              <w:spacing w:after="0" w:line="240" w:lineRule="auto"/>
              <w:jc w:val="center"/>
              <w:rPr>
                <w:rFonts w:ascii="Times New Roman" w:hAnsi="Times New Roman"/>
                <w:sz w:val="18"/>
                <w:szCs w:val="18"/>
              </w:rPr>
            </w:pPr>
            <w:r>
              <w:rPr>
                <w:rFonts w:ascii="Times New Roman" w:hAnsi="Times New Roman"/>
                <w:bCs/>
                <w:sz w:val="18"/>
                <w:szCs w:val="18"/>
              </w:rPr>
              <w:t>F-</w:t>
            </w:r>
            <w:r w:rsidR="006E5B5B" w:rsidRPr="00F727DA">
              <w:rPr>
                <w:rFonts w:ascii="Times New Roman" w:hAnsi="Times New Roman"/>
                <w:bCs/>
                <w:sz w:val="18"/>
                <w:szCs w:val="18"/>
              </w:rPr>
              <w:t>Plotësisht i harmonizuar (përshtatje funksionale)</w:t>
            </w:r>
          </w:p>
        </w:tc>
        <w:tc>
          <w:tcPr>
            <w:tcW w:w="332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 (përshtatje funksionale).</w:t>
            </w:r>
            <w:r w:rsidRPr="00F727DA">
              <w:rPr>
                <w:rFonts w:ascii="Times New Roman" w:hAnsi="Times New Roman"/>
                <w:sz w:val="18"/>
                <w:szCs w:val="18"/>
              </w:rPr>
              <w:t xml:space="preserve"> Dispozita transpozon përjashtimin nga kërkesa për pëlqim paraprak për shpërndarjen e mëtejshme të informacionit, në rastet kur informacioni përbëhet nga raportime për dyshim të paraqitura nga subjekte të detyruara ose nga informacioni i përftuar prej tyre, që lidhen me një juridiksion tjetër dhe nuk kanë lidhje territoriale ose funksionale me Agjencinë e Inteligjencës Financiare që e transmeton informacionin, duke ruajtur përmbajtjen dhe qëllimin e direktivës.</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NjIF-ja që merr kërkesën të japë miratimin paraprak për shpërndarjen e informacionit tek autoritetet kompetente menjëherë dhe në masën maksimale të mundshme, pavarësisht nga lloji i veprave penale bazë dhe pavarësisht nëse vepra penale bazë është identifikuar ose jo. NjIF-ja që merr kërkesën nuk e refuzon dhënien e pëlqimit për këtë shpërndarje, përveç rasteve kur kjo do të ishte përtej fushës së zbatimit të rregullave të saj lidhur me luftën kundër pastrimit të parave dhe financimit të terrorizmit, do të pengonte ndonjë hetim ose nëse nuk do të ishte në përputhje me parimet themelore të legjislacionit të brendshëm të atij shteti anëtar. Çdo refuzim për dhënien e pëlqimit është objekt i një motivimi të arsyeshëm. Rastet kur NjIF-të mund të refuzojnë dhënien e pëlqimit specifikohen në një mënyrë që parandalon keqpërdorimin dhe kufizimet e panevojshme të shpërndarjes së informacionit tek autoritetet kompetente.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Agjencia e Inteligjencës Financiare nuk refuzon dhënien e pëlqimit për shpërndarjen e informacionit, përveç rasteve kur një shpërndarje e tillë:</w:t>
            </w:r>
          </w:p>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-bie jashtë fushës së zbatimit të legjislacionit për parandalimin e pastrimit të parave, financimit të terrorizmit apo financimin e armëve të dëmtimit në masë;</w:t>
            </w:r>
          </w:p>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-mund të cenojë një hetim në vijim; ose</w:t>
            </w:r>
          </w:p>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-nuk është në përputhje me parimet themelore të rendit juridik kombëtar.</w:t>
            </w:r>
          </w:p>
          <w:p w:rsidR="00FF3E9D" w:rsidRPr="00FF3E9D" w:rsidRDefault="00FF3E9D" w:rsidP="00A87413">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rsidR="006E5B5B" w:rsidRPr="00F727DA" w:rsidRDefault="006E5B5B" w:rsidP="00A87413">
            <w:pPr>
              <w:widowControl w:val="0"/>
              <w:spacing w:after="0" w:line="240" w:lineRule="auto"/>
              <w:ind w:hanging="20"/>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rregullin për dhënien pa vonesë dhe në masën më të gjerë të mundshme të pëlqimit paraprak për shpërndarjen e informacionit pranë autoriteteve kompetente, si dhe kufizimet e qarta dhe të arsyetuara për refuzimin e këtij pëlqimi, në përputhje me fushën e zbatimit të legjislacionit AML/CFT, mbrojtjen e hetimeve në vijim dhe parimet themelore të rendit juridik kombëtar, duke ruajtur përmbajtjen dhe qëllimin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shtetet anëtare njoftojnë Komisionin për rrethanat e jashtëzakonshme në të cilat përhapja do të ishte në mospërputhje me parimet themelore të legjislacionit të brendshëm të përmendura në paragrafin 2. Shtetet anëtare i përditësojnë këto njoftime kur ka ndryshime në rrethanat e jashtëzakonshme të identifikuara në nivel kombëtar.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publikon listën e konsoliduar të njoftimeve të përmendura në nënparagrafin e parë.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shteteve anëtare për njoftimin e Komisionit Evropian dhe publikimit nga ky i fundit të rrethanave të jashtëzakonshme lidhur me shpërndarjen e informacionit dhe nuk krijon detyrime për autoritetet kombëtare. Për këtë arsye, nuk është e zbatueshme për transpozim në ligjin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Komisioni i paraqet Parlamentit Evropian dhe Këshillit një raport që vlerëson nëse rrethanat e jashtëzakonshme të njoftuara sipas paragrafit 3 janë të justifikuara.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Komisionit Evropian për raportim dhe vlerësim ndaj institucioneve të Bashkimit Evropian mbi rrethanat e jashtëzakonshme dhe nuk krijon detyrime për autoritetet kombëtare. Për këtë arsye, nuk është e zbatueshme për transpozim në ligjin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bCs/>
                <w:sz w:val="18"/>
                <w:szCs w:val="18"/>
                <w:lang w:eastAsia="sq-AL" w:bidi="sq-AL"/>
              </w:rPr>
            </w:pPr>
            <w:r w:rsidRPr="00F727DA">
              <w:rPr>
                <w:rFonts w:ascii="Times New Roman" w:hAnsi="Times New Roman"/>
                <w:b/>
                <w:bCs/>
                <w:sz w:val="18"/>
                <w:szCs w:val="18"/>
                <w:lang w:eastAsia="sq-AL" w:bidi="sq-AL"/>
              </w:rPr>
              <w:t>Neni 35</w:t>
            </w:r>
          </w:p>
          <w:p w:rsidR="006E5B5B" w:rsidRPr="00F727DA" w:rsidRDefault="006E5B5B" w:rsidP="00A87413">
            <w:pPr>
              <w:snapToGrid w:val="0"/>
              <w:spacing w:after="0" w:line="240" w:lineRule="auto"/>
              <w:rPr>
                <w:rFonts w:ascii="Times New Roman" w:hAnsi="Times New Roman"/>
                <w:bCs/>
                <w:sz w:val="18"/>
                <w:szCs w:val="18"/>
                <w:lang w:eastAsia="sq-AL" w:bidi="sq-AL"/>
              </w:rPr>
            </w:pPr>
            <w:r w:rsidRPr="00F727DA">
              <w:rPr>
                <w:rFonts w:ascii="Times New Roman" w:hAnsi="Times New Roman"/>
                <w:b/>
                <w:sz w:val="18"/>
                <w:szCs w:val="18"/>
              </w:rPr>
              <w:t>Efekti i dispozitave të ligjit penal</w:t>
            </w:r>
          </w:p>
        </w:tc>
      </w:tr>
      <w:tr w:rsidR="006E5B5B" w:rsidRPr="00F727DA" w:rsidTr="00E24C86">
        <w:trPr>
          <w:trHeight w:val="578"/>
        </w:trPr>
        <w:tc>
          <w:tcPr>
            <w:tcW w:w="900" w:type="dxa"/>
            <w:shd w:val="clear" w:color="auto" w:fill="F2F2F2" w:themeFill="background1" w:themeFillShade="F2"/>
            <w:vAlign w:val="center"/>
          </w:tcPr>
          <w:p w:rsidR="006E5B5B" w:rsidRPr="00F727DA" w:rsidRDefault="006E5B5B" w:rsidP="00A87413">
            <w:pPr>
              <w:widowControl w:val="0"/>
              <w:autoSpaceDE w:val="0"/>
              <w:spacing w:after="0" w:line="240" w:lineRule="auto"/>
              <w:rPr>
                <w:rFonts w:ascii="Times New Roman" w:hAnsi="Times New Roman"/>
                <w:b/>
                <w:sz w:val="18"/>
                <w:szCs w:val="18"/>
              </w:rPr>
            </w:pPr>
            <w:r w:rsidRPr="00F727DA">
              <w:rPr>
                <w:rFonts w:ascii="Times New Roman" w:hAnsi="Times New Roman"/>
                <w:b/>
                <w:sz w:val="18"/>
                <w:szCs w:val="18"/>
              </w:rPr>
              <w:t>35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Dallimet midis përkufizimeve të legjislacionit të brendshëm për veprat penale bazë nuk pengojnë kapacitetin e NjIF-ve për t’i ofruar asistencë një NjIF-je tjetër, si dhe nuk kufizojnë shkëmbimin, shpërndarjen dhe përdorimin e informacionit sipas neneve 31, 32, 33 dhe 34.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B24D07" w:rsidRPr="00B24D07" w:rsidRDefault="00B24D07" w:rsidP="00A87413">
            <w:pPr>
              <w:pStyle w:val="Heading2"/>
              <w:spacing w:before="0" w:beforeAutospacing="0" w:after="0" w:afterAutospacing="0"/>
              <w:rPr>
                <w:b w:val="0"/>
                <w:sz w:val="18"/>
                <w:szCs w:val="18"/>
                <w:lang w:val="sq-AL" w:eastAsia="sq-AL" w:bidi="sq-AL"/>
              </w:rPr>
            </w:pPr>
            <w:r w:rsidRPr="00B24D07">
              <w:rPr>
                <w:b w:val="0"/>
                <w:sz w:val="18"/>
                <w:szCs w:val="18"/>
                <w:lang w:val="sq-AL" w:eastAsia="sq-AL" w:bidi="sq-AL"/>
              </w:rPr>
              <w:t>Neni 31</w:t>
            </w:r>
          </w:p>
          <w:p w:rsidR="00B24D07" w:rsidRPr="00B24D07" w:rsidRDefault="00B24D07" w:rsidP="00A87413">
            <w:pPr>
              <w:pStyle w:val="Heading2"/>
              <w:spacing w:before="0" w:beforeAutospacing="0" w:after="0" w:afterAutospacing="0"/>
              <w:rPr>
                <w:b w:val="0"/>
                <w:sz w:val="18"/>
                <w:szCs w:val="18"/>
                <w:lang w:val="sq-AL" w:eastAsia="sq-AL" w:bidi="sq-AL"/>
              </w:rPr>
            </w:pPr>
            <w:r w:rsidRPr="00B24D07">
              <w:rPr>
                <w:b w:val="0"/>
                <w:sz w:val="18"/>
                <w:szCs w:val="18"/>
                <w:lang w:val="sq-AL" w:eastAsia="sq-AL" w:bidi="sq-AL"/>
              </w:rPr>
              <w:t>Efekti i dispozitave të së drejtës penale</w:t>
            </w:r>
          </w:p>
          <w:p w:rsidR="006E5B5B" w:rsidRPr="00F727DA" w:rsidRDefault="00B24D07" w:rsidP="00A87413">
            <w:pPr>
              <w:widowControl w:val="0"/>
              <w:snapToGrid w:val="0"/>
              <w:spacing w:after="0" w:line="240" w:lineRule="auto"/>
              <w:rPr>
                <w:rFonts w:ascii="Times New Roman" w:hAnsi="Times New Roman"/>
                <w:sz w:val="18"/>
                <w:szCs w:val="18"/>
                <w:lang w:eastAsia="sq-AL" w:bidi="sq-AL"/>
              </w:rPr>
            </w:pPr>
            <w:r w:rsidRPr="00B24D07">
              <w:rPr>
                <w:rFonts w:ascii="Times New Roman" w:hAnsi="Times New Roman"/>
                <w:sz w:val="18"/>
                <w:szCs w:val="18"/>
                <w:lang w:eastAsia="sq-AL" w:bidi="sq-AL"/>
              </w:rPr>
              <w:t xml:space="preserve"> </w:t>
            </w:r>
          </w:p>
        </w:tc>
        <w:tc>
          <w:tcPr>
            <w:tcW w:w="2064" w:type="dxa"/>
            <w:shd w:val="clear" w:color="auto" w:fill="auto"/>
            <w:vAlign w:val="center"/>
          </w:tcPr>
          <w:p w:rsidR="006E5B5B" w:rsidRPr="00B24D07" w:rsidRDefault="00B24D07" w:rsidP="00A87413">
            <w:pPr>
              <w:pStyle w:val="NormalWeb"/>
              <w:spacing w:before="0" w:beforeAutospacing="0" w:after="0" w:afterAutospacing="0"/>
              <w:rPr>
                <w:sz w:val="18"/>
                <w:szCs w:val="18"/>
                <w:lang w:val="sq-AL" w:eastAsia="sq-AL" w:bidi="sq-AL"/>
              </w:rPr>
            </w:pPr>
            <w:r w:rsidRPr="00B24D07">
              <w:rPr>
                <w:sz w:val="18"/>
                <w:szCs w:val="18"/>
                <w:lang w:val="sq-AL" w:eastAsia="sq-AL" w:bidi="sq-AL"/>
              </w:rPr>
              <w:t>Dallimet ndërmjet përkufizimeve të veprave penale bazë në legjislacionet kombëtare nuk pengojnë Agjencinë e Inteligjencës Financiare që t’i ofrojë asistencë një njësie tjetër të inteligjencës financiare dhe nuk kufizojnë shkëmbimin, shpërndarjen dhe përdorimin e informacionit në përputhje me nenet 27, 28, 29 dhe 30 te këtij ligji.</w:t>
            </w:r>
          </w:p>
        </w:tc>
        <w:tc>
          <w:tcPr>
            <w:tcW w:w="1356" w:type="dxa"/>
            <w:shd w:val="clear" w:color="auto" w:fill="auto"/>
            <w:vAlign w:val="center"/>
          </w:tcPr>
          <w:p w:rsidR="006E5B5B" w:rsidRPr="00F727DA" w:rsidRDefault="00B24D0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bCs/>
                <w:sz w:val="18"/>
                <w:szCs w:val="18"/>
                <w:lang w:eastAsia="sq-AL" w:bidi="sq-AL"/>
              </w:rPr>
              <w:t>F-</w:t>
            </w:r>
            <w:r w:rsidR="006E5B5B" w:rsidRPr="00F727DA">
              <w:rPr>
                <w:rFonts w:ascii="Times New Roman" w:hAnsi="Times New Roman"/>
                <w:bCs/>
                <w:sz w:val="18"/>
                <w:szCs w:val="18"/>
                <w:lang w:eastAsia="sq-AL" w:bidi="sq-AL"/>
              </w:rPr>
              <w:t>Plotësisht i harmonizuar.</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Dispozita transpozon parimin sipas të cilit dallimet ndërmjet përkufizimeve të veprave penale bazë në legjislacionet kombëtare nuk pengojnë asistencën ndërmjet njësive të inteligjencës financiare dhe nuk kufizojnë shkëmbimin, shpërndarjen dhe përdorimin e informacionit në kuadër të bashkëpunimit ndërkombëtar, duke ruajtur përmbajtjen dhe qëllimin e direktivës.</w:t>
            </w:r>
          </w:p>
        </w:tc>
      </w:tr>
      <w:tr w:rsidR="006E5B5B" w:rsidRPr="00F727DA" w:rsidTr="00E24C86">
        <w:trPr>
          <w:trHeight w:val="823"/>
        </w:trPr>
        <w:tc>
          <w:tcPr>
            <w:tcW w:w="14397" w:type="dxa"/>
            <w:gridSpan w:val="8"/>
            <w:shd w:val="clear" w:color="auto" w:fill="D9D9D9" w:themeFill="background1" w:themeFillShade="D9"/>
            <w:vAlign w:val="center"/>
          </w:tcPr>
          <w:p w:rsidR="006E5B5B" w:rsidRPr="00F727DA" w:rsidRDefault="006E5B5B" w:rsidP="00A87413">
            <w:pPr>
              <w:pStyle w:val="NormalWeb"/>
              <w:spacing w:before="0" w:beforeAutospacing="0" w:after="0" w:afterAutospacing="0" w:line="276" w:lineRule="auto"/>
              <w:rPr>
                <w:rFonts w:eastAsia="Calibri"/>
                <w:b/>
                <w:bCs/>
                <w:sz w:val="18"/>
                <w:szCs w:val="18"/>
                <w:lang w:val="en-GB" w:eastAsia="ar-SA"/>
              </w:rPr>
            </w:pPr>
            <w:r w:rsidRPr="00F727DA">
              <w:rPr>
                <w:rFonts w:eastAsia="Calibri"/>
                <w:b/>
                <w:bCs/>
                <w:sz w:val="18"/>
                <w:szCs w:val="18"/>
                <w:lang w:val="en-GB" w:eastAsia="ar-SA"/>
              </w:rPr>
              <w:t>Neni 36</w:t>
            </w:r>
          </w:p>
          <w:p w:rsidR="006E5B5B" w:rsidRPr="00F727DA" w:rsidRDefault="006E5B5B" w:rsidP="00A87413">
            <w:pPr>
              <w:pStyle w:val="NormalWeb"/>
              <w:spacing w:before="0" w:beforeAutospacing="0" w:after="0" w:afterAutospacing="0" w:line="276" w:lineRule="auto"/>
              <w:rPr>
                <w:rFonts w:eastAsia="Calibri"/>
                <w:bCs/>
                <w:sz w:val="18"/>
                <w:szCs w:val="18"/>
                <w:lang w:val="en-GB" w:eastAsia="ar-SA"/>
              </w:rPr>
            </w:pPr>
            <w:r w:rsidRPr="00F727DA">
              <w:rPr>
                <w:b/>
                <w:sz w:val="18"/>
                <w:szCs w:val="18"/>
              </w:rPr>
              <w:t>Konfidencialiteti i raportimit</w:t>
            </w:r>
          </w:p>
        </w:tc>
      </w:tr>
      <w:tr w:rsidR="006E5B5B" w:rsidRPr="00F727DA" w:rsidTr="00E24C86">
        <w:trPr>
          <w:trHeight w:val="1341"/>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36(1)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kenë mekanizma në dispozicion për të mbrojtur identitetin e subjekteve të detyruara dhe të punonjësve të tyre, ose të personave në një pozicion të barasvlershëm, duke përfshirë agjentët dhe </w:t>
            </w:r>
            <w:r w:rsidRPr="00F05DD5">
              <w:rPr>
                <w:rFonts w:ascii="Times New Roman" w:hAnsi="Times New Roman"/>
                <w:sz w:val="18"/>
                <w:szCs w:val="18"/>
                <w:lang w:eastAsia="sq-AL" w:bidi="sq-AL"/>
              </w:rPr>
              <w:t>shpërndarësit, të cilët raportojnë dyshimet sipas nenit 69, paragrafi 1, nënparagrafi i parë, germa "a"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A2A48" w:rsidRPr="00DA2A48" w:rsidRDefault="00DA2A48" w:rsidP="00A87413">
            <w:pPr>
              <w:pStyle w:val="Heading2"/>
              <w:spacing w:before="0" w:beforeAutospacing="0" w:after="0" w:afterAutospacing="0"/>
              <w:rPr>
                <w:b w:val="0"/>
                <w:sz w:val="18"/>
                <w:szCs w:val="18"/>
                <w:lang w:val="sq-AL"/>
              </w:rPr>
            </w:pPr>
            <w:r w:rsidRPr="00DA2A48">
              <w:rPr>
                <w:b w:val="0"/>
                <w:sz w:val="18"/>
                <w:szCs w:val="18"/>
                <w:lang w:val="sq-AL"/>
              </w:rPr>
              <w:t>Neni 32</w:t>
            </w:r>
          </w:p>
          <w:p w:rsidR="00DA2A48" w:rsidRPr="00DA2A48" w:rsidRDefault="00DA2A48" w:rsidP="00A87413">
            <w:pPr>
              <w:pStyle w:val="Heading2"/>
              <w:spacing w:before="0" w:beforeAutospacing="0" w:after="0" w:afterAutospacing="0"/>
              <w:rPr>
                <w:b w:val="0"/>
                <w:sz w:val="18"/>
                <w:szCs w:val="18"/>
                <w:lang w:val="sq-AL"/>
              </w:rPr>
            </w:pPr>
            <w:r w:rsidRPr="00DA2A48">
              <w:rPr>
                <w:b w:val="0"/>
                <w:sz w:val="18"/>
                <w:szCs w:val="18"/>
                <w:lang w:val="sq-AL"/>
              </w:rPr>
              <w:t>Konfidencialiteti i raportimit</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05DD5" w:rsidRDefault="00F05DD5" w:rsidP="00A87413">
            <w:pPr>
              <w:pStyle w:val="NormalWeb"/>
              <w:spacing w:before="0" w:beforeAutospacing="0" w:after="0" w:afterAutospacing="0"/>
              <w:rPr>
                <w:bCs/>
                <w:sz w:val="18"/>
                <w:szCs w:val="18"/>
                <w:lang w:val="sq-AL"/>
              </w:rPr>
            </w:pPr>
            <w:r w:rsidRPr="00F05DD5">
              <w:rPr>
                <w:bCs/>
                <w:sz w:val="18"/>
                <w:szCs w:val="18"/>
                <w:lang w:val="sq-AL"/>
              </w:rPr>
              <w:t>1. Agjencia e Inteligjencës Financiare siguron mekanizma të posaçëm për mbrojtjen e identitetit të subjekteve të detyruara dhe të punonjësve të tyre, apo të personave në pozicion të barasvlershëm, përfshirë agjentët dhe përfaqësuesit, të cilët raportojnë transaksione ose veprimtari të dyshimta në përputhje me këtë ligj.</w:t>
            </w:r>
          </w:p>
        </w:tc>
        <w:tc>
          <w:tcPr>
            <w:tcW w:w="1356" w:type="dxa"/>
            <w:shd w:val="clear" w:color="auto" w:fill="auto"/>
            <w:vAlign w:val="center"/>
          </w:tcPr>
          <w:p w:rsidR="006E5B5B" w:rsidRPr="00F727DA" w:rsidRDefault="006E5B5B" w:rsidP="00A87413">
            <w:pPr>
              <w:pStyle w:val="NormalWeb"/>
              <w:spacing w:before="0" w:beforeAutospacing="0" w:after="0" w:afterAutospacing="0"/>
              <w:jc w:val="center"/>
              <w:rPr>
                <w:rFonts w:eastAsia="Calibri"/>
                <w:bCs/>
                <w:sz w:val="18"/>
                <w:szCs w:val="18"/>
                <w:lang w:val="en-GB" w:eastAsia="ar-SA"/>
              </w:rPr>
            </w:pPr>
            <w:r w:rsidRPr="00F727DA">
              <w:rPr>
                <w:rFonts w:eastAsia="Calibri"/>
                <w:bCs/>
                <w:sz w:val="18"/>
                <w:szCs w:val="18"/>
                <w:lang w:val="en-GB" w:eastAsia="ar-SA"/>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Dispozita transpozon detyrimin për mbrojtjen e identitetit të subjekteve të detyruara dhe të personave të lidhur me to, përfshirë punonjësit, agjentët dhe përfaqësuesit, që raportojnë transaksione ose veprimtari të dyshimta, duke ruajtur përmbajtjen dhe qëllimin e direktivës. Terminologjia është përshtatur për të reflektuar formulimet e konsoliduara në legjislacionin shqiptar dhe për të shmangur referencat e drejtpërdrejta ndaj acquis të Bashkimit Evropian.</w:t>
            </w:r>
          </w:p>
          <w:p w:rsidR="006E5B5B" w:rsidRPr="00F727DA" w:rsidRDefault="006E5B5B" w:rsidP="00A87413">
            <w:pPr>
              <w:pStyle w:val="NormalWeb"/>
              <w:spacing w:before="0" w:beforeAutospacing="0" w:after="0" w:afterAutospacing="0"/>
              <w:rPr>
                <w:rFonts w:eastAsia="Calibri"/>
                <w:bCs/>
                <w:sz w:val="18"/>
                <w:szCs w:val="18"/>
                <w:lang w:val="en-GB" w:eastAsia="ar-SA"/>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36(2)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mos zbulojnë burimin e raportit të përmendur në paragrafin 1 të këtij neni, kur u përgjigjen kërkesave për informacion nga autoritetet kompetente në përputhje me nenin 22 ose kur shpërndajnë rezultatet e analizave të tyre në përputhje me nenin 19. Ky paragraf nuk cenon legjislacionin e brendshëm procedural penal në fuqi.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A67EB0" w:rsidRPr="00A67EB0" w:rsidRDefault="00A67EB0" w:rsidP="00A87413">
            <w:pPr>
              <w:pStyle w:val="NormalWeb"/>
              <w:spacing w:before="0" w:beforeAutospacing="0" w:after="0" w:afterAutospacing="0"/>
              <w:rPr>
                <w:bCs/>
                <w:sz w:val="18"/>
                <w:szCs w:val="18"/>
                <w:lang w:val="sq-AL"/>
              </w:rPr>
            </w:pPr>
            <w:r w:rsidRPr="00A67EB0">
              <w:rPr>
                <w:bCs/>
                <w:sz w:val="18"/>
                <w:szCs w:val="18"/>
                <w:lang w:val="sq-AL"/>
              </w:rPr>
              <w:t xml:space="preserve">2. Agjencia e Inteligjencës Financiare nuk zbulon burimin e raportimit të përmendur në pikën 1 të këtij neni, kur i përgjigjet kërkesave për informacion nga autoritetet kompetente ose kur përcjell rezultatet e analizave të saj. </w:t>
            </w:r>
          </w:p>
          <w:p w:rsidR="006E5B5B" w:rsidRPr="00A67EB0" w:rsidRDefault="00A67EB0" w:rsidP="00A87413">
            <w:pPr>
              <w:pStyle w:val="NormalWeb"/>
              <w:spacing w:before="0" w:beforeAutospacing="0" w:after="0" w:afterAutospacing="0"/>
              <w:rPr>
                <w:bCs/>
                <w:sz w:val="18"/>
                <w:szCs w:val="18"/>
                <w:lang w:val="sq-AL"/>
              </w:rPr>
            </w:pPr>
            <w:r w:rsidRPr="00A67EB0">
              <w:rPr>
                <w:bCs/>
                <w:sz w:val="18"/>
                <w:szCs w:val="18"/>
                <w:lang w:val="sq-AL"/>
              </w:rPr>
              <w:t>Kjo dispozitë zbatohet pa cenuar rregullat e legjislacionit penal procedural në fuqi.</w:t>
            </w:r>
          </w:p>
        </w:tc>
        <w:tc>
          <w:tcPr>
            <w:tcW w:w="1356" w:type="dxa"/>
            <w:shd w:val="clear" w:color="auto" w:fill="auto"/>
            <w:vAlign w:val="center"/>
          </w:tcPr>
          <w:p w:rsidR="006E5B5B" w:rsidRPr="00F727DA" w:rsidRDefault="00A67EB0"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ndalimin e zbulimit të burimit të raportimit nga Agjencia e Inteligjencës Financiare gjatë shkëmbimit të informacionit me autoritetet kompetente dhe gjatë përcjelljes së rezultateve të analizave, pa cenuar zbatimin e legjislacionit penal procedural në fuqi, duke ruajtur përmbajtjen dhe qëllimin e direktivës.</w:t>
            </w:r>
          </w:p>
        </w:tc>
      </w:tr>
      <w:tr w:rsidR="00E748BA" w:rsidRPr="00F727DA" w:rsidTr="00E24C86">
        <w:trPr>
          <w:trHeight w:val="578"/>
        </w:trPr>
        <w:tc>
          <w:tcPr>
            <w:tcW w:w="900" w:type="dxa"/>
            <w:shd w:val="clear" w:color="auto" w:fill="auto"/>
            <w:vAlign w:val="center"/>
          </w:tcPr>
          <w:p w:rsidR="00E748BA" w:rsidRPr="00F727DA" w:rsidRDefault="00E748BA"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E748BA" w:rsidRPr="00F727DA" w:rsidRDefault="00E748BA"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E748BA" w:rsidRPr="00F727DA" w:rsidRDefault="00E748BA"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E748BA" w:rsidRPr="00E748BA" w:rsidRDefault="00E748BA" w:rsidP="00A87413">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Neni 33</w:t>
            </w:r>
          </w:p>
          <w:p w:rsidR="00E748BA" w:rsidRPr="00E748BA" w:rsidRDefault="00E748BA" w:rsidP="00A87413">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 xml:space="preserve">Mbrojtja e identitetit të subjektit raportues </w:t>
            </w:r>
          </w:p>
          <w:p w:rsidR="00E748BA" w:rsidRPr="00E748BA" w:rsidRDefault="00E748BA" w:rsidP="00A87413">
            <w:pPr>
              <w:widowControl w:val="0"/>
              <w:snapToGrid w:val="0"/>
              <w:spacing w:after="0" w:line="240" w:lineRule="auto"/>
              <w:rPr>
                <w:rFonts w:ascii="Times New Roman" w:hAnsi="Times New Roman"/>
                <w:i/>
                <w:sz w:val="18"/>
                <w:szCs w:val="18"/>
                <w:lang w:val="sq-AL"/>
              </w:rPr>
            </w:pPr>
          </w:p>
          <w:p w:rsidR="00E748BA" w:rsidRPr="00F727DA" w:rsidRDefault="00E748BA"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E748BA" w:rsidRPr="00E748BA" w:rsidRDefault="00E748BA" w:rsidP="00A87413">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Për raportimet e aktivitetit të dyshimtë, të cilat autoriteti përgjegjës i merr në zbatim të këtij ligji, është i detyruar të ruajë identitetin e subjekteve raportuese dhe të punonjësve të tyre që kanë raportuar.</w:t>
            </w:r>
          </w:p>
        </w:tc>
        <w:tc>
          <w:tcPr>
            <w:tcW w:w="1356" w:type="dxa"/>
            <w:shd w:val="clear" w:color="auto" w:fill="auto"/>
            <w:vAlign w:val="center"/>
          </w:tcPr>
          <w:p w:rsidR="00E748BA" w:rsidRDefault="00E748BA"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E748BA" w:rsidRPr="00F727DA" w:rsidRDefault="00E748BA" w:rsidP="00A87413">
            <w:pPr>
              <w:snapToGrid w:val="0"/>
              <w:spacing w:after="0" w:line="240" w:lineRule="auto"/>
              <w:rPr>
                <w:rFonts w:ascii="Times New Roman" w:hAnsi="Times New Roman"/>
                <w:sz w:val="18"/>
                <w:szCs w:val="18"/>
              </w:rPr>
            </w:pPr>
            <w:r>
              <w:rPr>
                <w:rFonts w:ascii="Times New Roman" w:hAnsi="Times New Roman"/>
                <w:sz w:val="18"/>
                <w:szCs w:val="18"/>
              </w:rPr>
              <w:t>Shtim neni AIF</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76" w:lineRule="auto"/>
              <w:rPr>
                <w:rFonts w:ascii="Times New Roman" w:hAnsi="Times New Roman"/>
                <w:b/>
                <w:sz w:val="18"/>
                <w:szCs w:val="18"/>
              </w:rPr>
            </w:pPr>
            <w:r w:rsidRPr="00F727DA">
              <w:rPr>
                <w:rFonts w:ascii="Times New Roman" w:hAnsi="Times New Roman"/>
                <w:b/>
                <w:sz w:val="18"/>
                <w:szCs w:val="18"/>
              </w:rPr>
              <w:t>Kapitulli IV</w:t>
            </w:r>
          </w:p>
          <w:p w:rsidR="006E5B5B" w:rsidRPr="00FC4DA5" w:rsidRDefault="006E5B5B" w:rsidP="00A87413">
            <w:pPr>
              <w:snapToGrid w:val="0"/>
              <w:spacing w:after="0" w:line="276" w:lineRule="auto"/>
              <w:rPr>
                <w:rFonts w:ascii="Times New Roman" w:hAnsi="Times New Roman"/>
                <w:b/>
                <w:sz w:val="18"/>
                <w:szCs w:val="18"/>
              </w:rPr>
            </w:pPr>
            <w:r w:rsidRPr="00F727DA">
              <w:rPr>
                <w:rFonts w:ascii="Times New Roman" w:hAnsi="Times New Roman"/>
                <w:b/>
                <w:sz w:val="18"/>
                <w:szCs w:val="18"/>
              </w:rPr>
              <w:t>Mbikëqyrja Kundër Pastrimit Të Parave</w:t>
            </w:r>
          </w:p>
        </w:tc>
      </w:tr>
      <w:tr w:rsidR="00FC4DA5" w:rsidRPr="00F727DA" w:rsidTr="00E24C86">
        <w:trPr>
          <w:trHeight w:val="578"/>
        </w:trPr>
        <w:tc>
          <w:tcPr>
            <w:tcW w:w="14397" w:type="dxa"/>
            <w:gridSpan w:val="8"/>
            <w:shd w:val="clear" w:color="auto" w:fill="D9D9D9" w:themeFill="background1" w:themeFillShade="D9"/>
            <w:vAlign w:val="center"/>
          </w:tcPr>
          <w:p w:rsidR="00FC4DA5" w:rsidRPr="00F727DA" w:rsidRDefault="00FC4DA5" w:rsidP="00A87413">
            <w:pPr>
              <w:snapToGrid w:val="0"/>
              <w:spacing w:after="0" w:line="276" w:lineRule="auto"/>
              <w:rPr>
                <w:rFonts w:ascii="Times New Roman" w:hAnsi="Times New Roman"/>
                <w:b/>
                <w:sz w:val="18"/>
                <w:szCs w:val="18"/>
              </w:rPr>
            </w:pPr>
            <w:r w:rsidRPr="00F727DA">
              <w:rPr>
                <w:rFonts w:ascii="Times New Roman" w:hAnsi="Times New Roman"/>
                <w:b/>
                <w:sz w:val="18"/>
                <w:szCs w:val="18"/>
              </w:rPr>
              <w:t>Seksioni 1</w:t>
            </w:r>
          </w:p>
          <w:p w:rsidR="00FC4DA5" w:rsidRPr="00F727DA" w:rsidRDefault="00FC4DA5"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Përgjithshme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37</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Kompetencat dhe burime të mbikëqyrësve kombëtarë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 (1)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garanton që të gjitha subjektet e detyruara të vendosura në territorin e tij, me përjashtim të rrethanave të mbuluara në nenin 38, t'i nënshtrohen një mbikëqyrjeje të përshtatshme dhe efektive. Për këtë qëllim, çdo shtet anëtar emëron një ose disa mbikëqyrës për të monitoruar në mënyrë efektive dhe për të marrë masat e nevojshme për të siguruar pajtueshmërinë e subjekteve të detyruara me Rregulloret (BE) 2024/1624 dhe (BE) 2023/1113.</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926F70" w:rsidRPr="00926F70" w:rsidRDefault="00926F70" w:rsidP="00A87413">
            <w:pPr>
              <w:widowControl w:val="0"/>
              <w:spacing w:after="0"/>
              <w:rPr>
                <w:rFonts w:ascii="Times New Roman" w:hAnsi="Times New Roman"/>
                <w:sz w:val="18"/>
                <w:szCs w:val="18"/>
                <w:lang w:val="sq-AL" w:eastAsia="sq-AL" w:bidi="sq-AL"/>
              </w:rPr>
            </w:pPr>
            <w:r w:rsidRPr="00926F70">
              <w:rPr>
                <w:rFonts w:ascii="Times New Roman" w:hAnsi="Times New Roman"/>
                <w:sz w:val="18"/>
                <w:szCs w:val="18"/>
                <w:lang w:val="sq-AL" w:eastAsia="sq-AL" w:bidi="sq-AL"/>
              </w:rPr>
              <w:t>Neni 34</w:t>
            </w:r>
          </w:p>
          <w:p w:rsidR="00926F70" w:rsidRPr="00926F70" w:rsidRDefault="00926F70" w:rsidP="00A87413">
            <w:pPr>
              <w:widowControl w:val="0"/>
              <w:spacing w:after="0"/>
              <w:rPr>
                <w:rFonts w:ascii="Times New Roman" w:hAnsi="Times New Roman"/>
                <w:sz w:val="18"/>
                <w:szCs w:val="18"/>
                <w:lang w:val="sq-AL" w:eastAsia="sq-AL" w:bidi="sq-AL"/>
              </w:rPr>
            </w:pPr>
            <w:r w:rsidRPr="00926F70">
              <w:rPr>
                <w:rFonts w:ascii="Times New Roman" w:hAnsi="Times New Roman"/>
                <w:sz w:val="18"/>
                <w:szCs w:val="18"/>
                <w:lang w:val="sq-AL" w:eastAsia="sq-AL" w:bidi="sq-AL"/>
              </w:rPr>
              <w:t>Autoritetet mbikëqyrëse dhe kompetencat e tyre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7455C" w:rsidRPr="0027455C" w:rsidRDefault="0027455C" w:rsidP="00A87413">
            <w:pPr>
              <w:widowControl w:val="0"/>
              <w:spacing w:after="0" w:line="240" w:lineRule="auto"/>
              <w:rPr>
                <w:rFonts w:ascii="Times New Roman" w:hAnsi="Times New Roman"/>
                <w:sz w:val="18"/>
                <w:szCs w:val="18"/>
                <w:lang w:val="sq-AL" w:eastAsia="sq-AL" w:bidi="sq-AL"/>
              </w:rPr>
            </w:pPr>
            <w:r w:rsidRPr="0027455C">
              <w:rPr>
                <w:rFonts w:ascii="Times New Roman" w:hAnsi="Times New Roman"/>
                <w:sz w:val="18"/>
                <w:szCs w:val="18"/>
                <w:lang w:val="sq-AL" w:eastAsia="sq-AL" w:bidi="sq-AL"/>
              </w:rPr>
              <w:t>1. Në përputhje me këtë ligj, të gjitha subjektet e detyruara, që ushtrojnë veprimtari në territorin e Republikës së Shqipërisë sipas përcaktimeve në Rregulloren (BE) 1624/2024 dhe Rregulloren (BE) 1113/2023, me përjashtim të rasteve të parashikuara shprehimisht nga ky ligj, i nënshtrohen mbikëqyrjes së përshtatshme dhe efektive nga autoritetet kompetente mbikëqyrëse, me qëllim parandalimin e pastrimit të parave, financimin e terrorizmit dhe financimin e përhapjes së armëve të dëmtimit në masë.</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2. Autoritete mbikëqyrëse, sipas këtij ligji, janë:</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a) Banka e Shqipërisë për subjektet e detyruara që licencon brenda fushës së saj të veprimtarisë;</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b) Autoriteti i Mbikëqyrjes Financiare për subjektet e detyruara që licencon brenda fushës së saj të veprimtarisë;</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c) Autoriteti i Mbikëqyrjes së Lojërave të Fatit, për subjektet që ushtrojnë veprimtari në fushën e lojërave të fatit;</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ç) Dhoma Kombëtare e Avokatisë, për avokatët;</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d) Ministria e Drejtësisë, për noterët, ndërmjetësit e pasurive të paluajtshme dhe profesionistët e tjerë ligjorë të pavarur kur përfshihen në transaksione sipas përcaktimeve në Rregulloren (BE) 1624/2024;</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dh) Bordi i Mbikëqyrjes Publike, për audituesit ligjorë, kontabilistët e miratuar si dhe subjektet e detyruara që licencon brenda fushës së saj të veprimtarisë;</w:t>
            </w:r>
          </w:p>
          <w:p w:rsidR="003D0BFB" w:rsidRPr="003D0BFB" w:rsidRDefault="003D0BFB" w:rsidP="00A87413">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e) ministritë dhe/ose autoritetet e tjera kompetente, për subjektet e detyruara sipas këtij ligji që licencojnë brenda fushës së të tyre të veprimtarisë.</w:t>
            </w:r>
          </w:p>
          <w:p w:rsidR="003D0BFB" w:rsidRPr="003D0BFB" w:rsidRDefault="003D0BFB" w:rsidP="00A87413">
            <w:pPr>
              <w:pStyle w:val="Paragrafi"/>
              <w:ind w:hanging="20"/>
              <w:jc w:val="left"/>
              <w:rPr>
                <w:rFonts w:ascii="Times New Roman" w:hAnsi="Times New Roman"/>
                <w:sz w:val="18"/>
                <w:szCs w:val="18"/>
                <w:lang w:val="sq-AL" w:eastAsia="sq-AL" w:bidi="sq-AL"/>
              </w:rPr>
            </w:pPr>
            <w:r w:rsidRPr="003D0BFB">
              <w:rPr>
                <w:rFonts w:ascii="Times New Roman" w:hAnsi="Times New Roman"/>
                <w:sz w:val="18"/>
                <w:szCs w:val="18"/>
                <w:lang w:val="sq-AL" w:eastAsia="sq-AL" w:bidi="sq-AL"/>
              </w:rPr>
              <w:t xml:space="preserve">3.Autoritetet mbikëqyrëse përcaktohen saktësisht në aktet nënligjore në zbatim të këtij ligji. </w:t>
            </w:r>
          </w:p>
          <w:p w:rsidR="006E5B5B" w:rsidRPr="003D0BFB" w:rsidRDefault="003D0BFB" w:rsidP="00A87413">
            <w:pPr>
              <w:pStyle w:val="Paragrafi"/>
              <w:ind w:hanging="20"/>
              <w:jc w:val="left"/>
              <w:rPr>
                <w:rFonts w:ascii="Times New Roman" w:hAnsi="Times New Roman"/>
                <w:sz w:val="18"/>
                <w:szCs w:val="18"/>
                <w:lang w:val="sq-AL" w:eastAsia="sq-AL" w:bidi="sq-AL"/>
              </w:rPr>
            </w:pPr>
            <w:r w:rsidRPr="003D0BFB">
              <w:rPr>
                <w:rFonts w:ascii="Times New Roman" w:hAnsi="Times New Roman"/>
                <w:sz w:val="18"/>
                <w:szCs w:val="18"/>
                <w:lang w:val="sq-AL" w:eastAsia="sq-AL" w:bidi="sq-AL"/>
              </w:rPr>
              <w:t>4. Procedurat, kriteret dhe mënyrat e ushtrimit të mbikëqyrjes, si dhe masat administrative për zbatimin e këtij neni, përcaktohen në ligjet sektoriale dhe akte nënligjore të nxjerra nga autoritetet kompetente mbikëqyrëse, në përputhje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kërkesat e nenit përkatës të Direktivës (BE) 2024/1640 duke siguruar mbikëqyrje të përshtatshme dhe efektive të të gjitha subjekteve të detyruara nga autoritetet kompetente kombëtare dhe duke përcaktuar autoritetet mbikëqyrëse përgjegjëse. Dispozita parashikon mbështetje zbatuese përmes akteve nënligjore dhe siguron përputhje me objektivat dhe përmbajtjen thelbësore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për arsye të interesit të përgjithshëm mbizotërues, shtetet anëtare kanë prezantuar kërkesa për autorizime specifike për të lejuar subjektet e detyruara që të operojnë në territorin e tyre në bazë të lirisë për të ofruar shërbime, ato garantojnë që veprimtaritë e kryera nga subjektet e detyruara sipas këtyre autorizimeve specifike t'i nënshtrohen mbikëqyrjes nga mbikëqyrësit e tyre kombëtarë, pavarësisht nëse veprimtaritë e autorizuara kryhen përmes një infrastrukture në territorin e tyre apo nga distanca. </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mbikëqyrja sipas këtij nënparagrafi t'u njoftohet mbikëqyrësve të shtetit anëtar ku ndodhet selia qendrore e subjektit të detyruar.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nuk zbatohet kur AMLA vepron në cilësinë e mbikëqyrësit.</w:t>
            </w:r>
          </w:p>
        </w:tc>
        <w:tc>
          <w:tcPr>
            <w:tcW w:w="1266" w:type="dxa"/>
            <w:gridSpan w:val="2"/>
            <w:shd w:val="clear" w:color="auto" w:fill="auto"/>
            <w:vAlign w:val="center"/>
          </w:tcPr>
          <w:p w:rsidR="006E5B5B" w:rsidRPr="00F727DA" w:rsidRDefault="006E5B5B" w:rsidP="00A87413">
            <w:pPr>
              <w:spacing w:after="0" w:line="240" w:lineRule="auto"/>
              <w:outlineLvl w:val="2"/>
              <w:rPr>
                <w:rFonts w:ascii="Times New Roman" w:hAnsi="Times New Roman"/>
                <w:sz w:val="18"/>
                <w:szCs w:val="18"/>
                <w:lang w:eastAsia="sq-AL" w:bidi="sq-AL"/>
              </w:rPr>
            </w:pPr>
          </w:p>
        </w:tc>
        <w:tc>
          <w:tcPr>
            <w:tcW w:w="1980" w:type="dxa"/>
            <w:shd w:val="clear" w:color="auto" w:fill="auto"/>
            <w:vAlign w:val="center"/>
          </w:tcPr>
          <w:p w:rsidR="00D43353" w:rsidRPr="00D43353" w:rsidRDefault="00D43353" w:rsidP="00A87413">
            <w:pPr>
              <w:spacing w:after="0" w:line="240" w:lineRule="auto"/>
              <w:outlineLvl w:val="2"/>
              <w:rPr>
                <w:rFonts w:ascii="Times New Roman" w:hAnsi="Times New Roman"/>
                <w:sz w:val="18"/>
                <w:szCs w:val="18"/>
                <w:lang w:val="sq-AL" w:eastAsia="sq-AL" w:bidi="sq-AL"/>
              </w:rPr>
            </w:pPr>
            <w:r w:rsidRPr="00D43353">
              <w:rPr>
                <w:rFonts w:ascii="Times New Roman" w:hAnsi="Times New Roman"/>
                <w:sz w:val="18"/>
                <w:szCs w:val="18"/>
                <w:lang w:val="sq-AL" w:eastAsia="sq-AL" w:bidi="sq-AL"/>
              </w:rPr>
              <w:t>Neni 35</w:t>
            </w:r>
          </w:p>
          <w:p w:rsidR="00D43353" w:rsidRPr="00D43353" w:rsidRDefault="00D43353" w:rsidP="00A87413">
            <w:pPr>
              <w:spacing w:after="0" w:line="240" w:lineRule="auto"/>
              <w:outlineLvl w:val="2"/>
              <w:rPr>
                <w:rFonts w:ascii="Times New Roman" w:hAnsi="Times New Roman"/>
                <w:sz w:val="18"/>
                <w:szCs w:val="18"/>
                <w:lang w:val="sq-AL" w:eastAsia="sq-AL" w:bidi="sq-AL"/>
              </w:rPr>
            </w:pPr>
            <w:r w:rsidRPr="00D43353">
              <w:rPr>
                <w:rFonts w:ascii="Times New Roman" w:hAnsi="Times New Roman"/>
                <w:sz w:val="18"/>
                <w:szCs w:val="18"/>
                <w:lang w:val="sq-AL" w:eastAsia="sq-AL" w:bidi="sq-AL"/>
              </w:rPr>
              <w:t>Mbikëqyrja e subjekteve të autorizuara që ushtrojnë veprimtari në territorin e Republikës së Shqipërisë apo në distancë</w:t>
            </w:r>
          </w:p>
          <w:p w:rsidR="006E5B5B" w:rsidRPr="00F727DA" w:rsidRDefault="006E5B5B" w:rsidP="00A87413">
            <w:pPr>
              <w:widowControl w:val="0"/>
              <w:spacing w:after="0" w:line="240" w:lineRule="auto"/>
              <w:outlineLvl w:val="2"/>
              <w:rPr>
                <w:rFonts w:ascii="Times New Roman" w:hAnsi="Times New Roman"/>
                <w:sz w:val="18"/>
                <w:szCs w:val="18"/>
                <w:lang w:eastAsia="sq-AL" w:bidi="sq-AL"/>
              </w:rPr>
            </w:pPr>
          </w:p>
        </w:tc>
        <w:tc>
          <w:tcPr>
            <w:tcW w:w="2064" w:type="dxa"/>
            <w:shd w:val="clear" w:color="auto" w:fill="auto"/>
            <w:vAlign w:val="center"/>
          </w:tcPr>
          <w:p w:rsidR="001B04AE" w:rsidRPr="001B04AE" w:rsidRDefault="001B04AE" w:rsidP="00A87413">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1. Kur për arsye të interesit publik mbizotërues/më të lartë dhe për qëllime të parandalimit të pastrimit të parave, financimit të terrorizmit dhe financimit të përhapjes së armëve të shkatërrimit në masë, legjislacioni në fuqi parashikon kërkesa të posaçme autorizimi për subjektet e detyruara që ushtrojnë ose synojnë të ushtrojnë veprimtari në territorin e Republikës së Shqipërisë, veprimtaritë e kryera në bazë të këtyre autorizimeve i nënshtrohen detyrimisht mbikëqyrjes nga autoritetet kompetente mbikëqyrëse, në përputhje me këtë ligj.</w:t>
            </w:r>
          </w:p>
          <w:p w:rsidR="001B04AE" w:rsidRPr="001B04AE" w:rsidRDefault="001B04AE" w:rsidP="00A87413">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2. Mbikëqyrja sipas pikës 1 të këtij neni zbatohet pavarësisht mënyrës së ushtrimit të veprimtarisë, përfshirë rastet kur veprimtaritë autorizuara kryhen përmes një infrastrukture të vendosur në territorin e Republikës së Shqipërisë, apo nëpërmjet mjeteve në distancë, duke përfshirë përdorimin e teknologjive elektronike ose digjitale.</w:t>
            </w:r>
          </w:p>
          <w:p w:rsidR="001B04AE" w:rsidRPr="001B04AE" w:rsidRDefault="001B04AE" w:rsidP="00A87413">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3. Kur subjektet e detyruara, të autorizuara sipas këtij neni, kanë selinë qendrore jashtë territorit të Republikës së Shqipërisë, autoritetet kompetente mbikëqyrëse sigurojnë njoftimin dhe bashkëpunimin me autoritetet përkatëse mbikëqyrëse të vendit ku ndodhet selia qendrore e subjektit, në përputhje me marrëveshjet ndërkombëtare dhe instrumentet e bashkëpunimit në fuqi.</w:t>
            </w:r>
          </w:p>
          <w:p w:rsidR="006E5B5B" w:rsidRPr="00FD44C9" w:rsidRDefault="001B04AE" w:rsidP="00A87413">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 xml:space="preserve">4. Procedurat dhe kriteret për zbatimin e këtij neni, përfshirë kushtet e autorizimit, mënyrat e ushtrimit të mbikëqyrjes dhe bashkëpunimin ndërinstitucional, rregullohen në ligjet sektoriale përkatëse dhe në aktet nënligjore të nxjerra nga autoritetet kompetente, në përputhje me legjislacionin në fuqi. </w:t>
            </w:r>
          </w:p>
        </w:tc>
        <w:tc>
          <w:tcPr>
            <w:tcW w:w="1356" w:type="dxa"/>
            <w:shd w:val="clear" w:color="auto" w:fill="auto"/>
            <w:vAlign w:val="center"/>
          </w:tcPr>
          <w:p w:rsidR="006E5B5B" w:rsidRPr="00F727DA" w:rsidRDefault="00FD44C9"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Kjo dispozitë transpozonnenin 37, pika 1 duke siguruar që subjektet e detyruara, të cilat ushtrojnë veprimtari në territorin e Republikës së Shqipërisë në bazë të kërkesave të posaçme autorizimi, t’i nënshtrohen mbikëqyrjes efektive nga autoritetet kombëtare kompetente, pavarësisht nëse veprimtaria kryhet në territor ose në distancë. Dispozita parashikon gjithashtu bashkëpunimin dhe njoftimin e autoriteteve mbikëqyrëse të vendeve të tjera, kur selia qendrore e subjektit ndodhet jashtë territorit të Republikës së Shqipërisë. Transpozimi është përshtatur për statusin e Republikës së Shqipërisë si vend joanëtar i Bashkimit Evropian, duke ruajtur plotësisht objektivin dhe përmbajtjen thelbësore të Direktivës.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mbikëqyrësit të kenë burime të mjaftueshme financiare, njerëzore dhe teknike për të kryer detyrat e tyre të </w:t>
            </w:r>
            <w:r w:rsidRPr="00745F6E">
              <w:rPr>
                <w:rFonts w:ascii="Times New Roman" w:hAnsi="Times New Roman"/>
                <w:sz w:val="18"/>
                <w:szCs w:val="18"/>
                <w:lang w:eastAsia="sq-AL" w:bidi="sq-AL"/>
              </w:rPr>
              <w:t>renditura në paragrafin 5. Shtetet</w:t>
            </w:r>
            <w:r w:rsidRPr="00F727DA">
              <w:rPr>
                <w:rFonts w:ascii="Times New Roman" w:hAnsi="Times New Roman"/>
                <w:sz w:val="18"/>
                <w:szCs w:val="18"/>
                <w:lang w:eastAsia="sq-AL" w:bidi="sq-AL"/>
              </w:rPr>
              <w:t xml:space="preserve"> anëtare garantojnë që stafi i këtyre autoriteteve të ketë integritet të lartë dhe kualifikimin e duhur, si dhe të zbatojë standarde të larta profesionale, duke përfshirë standardet e konfidencialitetit, mbrojtjes së të dhënave dhe trajtimit të konflikteve të interesit.</w:t>
            </w:r>
          </w:p>
        </w:tc>
        <w:tc>
          <w:tcPr>
            <w:tcW w:w="1266" w:type="dxa"/>
            <w:gridSpan w:val="2"/>
            <w:shd w:val="clear" w:color="auto" w:fill="auto"/>
            <w:vAlign w:val="center"/>
          </w:tcPr>
          <w:p w:rsidR="006E5B5B" w:rsidRPr="00745F6E"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745F6E" w:rsidRPr="00745F6E" w:rsidRDefault="00745F6E" w:rsidP="00A87413">
            <w:pPr>
              <w:pStyle w:val="Heading2"/>
              <w:spacing w:before="0" w:beforeAutospacing="0" w:after="0" w:afterAutospacing="0"/>
              <w:rPr>
                <w:b w:val="0"/>
                <w:sz w:val="18"/>
                <w:szCs w:val="18"/>
                <w:lang w:val="sq-AL"/>
              </w:rPr>
            </w:pPr>
            <w:r w:rsidRPr="00745F6E">
              <w:rPr>
                <w:b w:val="0"/>
                <w:sz w:val="18"/>
                <w:szCs w:val="18"/>
                <w:lang w:val="sq-AL"/>
              </w:rPr>
              <w:t>Neni 36</w:t>
            </w:r>
          </w:p>
          <w:p w:rsidR="00745F6E" w:rsidRPr="00745F6E" w:rsidRDefault="00745F6E" w:rsidP="00A87413">
            <w:pPr>
              <w:pStyle w:val="Heading2"/>
              <w:spacing w:before="0" w:beforeAutospacing="0" w:after="0" w:afterAutospacing="0"/>
              <w:rPr>
                <w:b w:val="0"/>
                <w:sz w:val="18"/>
                <w:szCs w:val="18"/>
                <w:lang w:val="sq-AL"/>
              </w:rPr>
            </w:pPr>
            <w:r w:rsidRPr="00745F6E">
              <w:rPr>
                <w:b w:val="0"/>
                <w:sz w:val="18"/>
                <w:szCs w:val="18"/>
                <w:lang w:val="sq-AL"/>
              </w:rPr>
              <w:t>Garancitë institucionale për ushtrimin e mbikëqyrjes</w:t>
            </w:r>
          </w:p>
          <w:p w:rsidR="006E5B5B" w:rsidRPr="00745F6E"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1. Autoritetet mbikëqyrëse ushtrojnë funksionet e tyre në mënyrë të pavarur, efektive dhe të vazhdueshme, për qëllime të parandalimit të pastrimit të parave, financimit të terrorizmit dhe financimit të përhapjes të armëve të dëmtimit në masë.</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2. Autoriteteve mbikëqyrëse u sigurohen burime të mjaftueshme financiare, njerëzore dhe teknike, të përshtatura me nivelin e rrezikut, natyrën dhe numrin e subjekteve të detyruara që mbikëqyrin, për garantimin e ushtrimit efektiv të funksioneve të tyre sipas përcaktimeve të këtij ligji.</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3. Autoritetet mbikëqyrëse kanë të drejtë dhe detyrim të:</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a) ngrenë dhe të forcojnë struktura të specializuara për parandalimin e pastrimit të parave, financimit të terrorizmit dhe financimit të armëve të dëmtimit në masë;</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b) punësojnë dhe trajnojnë personel të specializuar;</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c) përdorin sisteme dhe mjete teknike për hartimin e analizave sektoriale dhe ato te rrezikut, si dhe për inspektim dhe monitorim të vazhdueshëm.</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4. Personeli i autoriteteve mbikëqyrëse:</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a) duhet të jetë me integritet të lartë profesional dhe me kualifikime të përshtatshme;</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b) i nënshtrohet rregullave të posaçme për ruajtjen e informacionit të klasifikuar, mbrojtjen e të dhënave personale dhe parandalimin e konfliktit të interesit;</w:t>
            </w:r>
          </w:p>
          <w:p w:rsidR="00933E04"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c) gëzon mbrojtje ligjore për veprimet e kryera në mirëbesim dhe në përmbushje të detyrave ligjore, sipas përcaktimeve në këtë ligj.</w:t>
            </w:r>
          </w:p>
          <w:p w:rsidR="006E5B5B" w:rsidRPr="00933E04" w:rsidRDefault="00933E04" w:rsidP="00A87413">
            <w:pPr>
              <w:pStyle w:val="Heading2"/>
              <w:spacing w:before="0" w:beforeAutospacing="0" w:after="0" w:afterAutospacing="0"/>
              <w:rPr>
                <w:b w:val="0"/>
                <w:sz w:val="18"/>
                <w:szCs w:val="18"/>
                <w:lang w:val="sq-AL"/>
              </w:rPr>
            </w:pPr>
            <w:r w:rsidRPr="00933E04">
              <w:rPr>
                <w:b w:val="0"/>
                <w:sz w:val="18"/>
                <w:szCs w:val="18"/>
                <w:lang w:val="sq-AL"/>
              </w:rPr>
              <w:t>5. Mënyra e organizimit dhe funksionimit të autoriteteve mbikëqyrëse, kërkesat për burimet financiare, njerëzore dhe teknike, kriteret për kualifikimin dhe integritetin e personelit, si dhe procedurat për ushtrimin e kompetencave të parashikuara në ketë nen, rregullohen në ligjet sektoriale përkatëse dhe në aktet nënligjore të nxjerra për zbatimin e tyre.</w:t>
            </w:r>
          </w:p>
        </w:tc>
        <w:tc>
          <w:tcPr>
            <w:tcW w:w="1356" w:type="dxa"/>
            <w:shd w:val="clear" w:color="auto" w:fill="auto"/>
            <w:vAlign w:val="center"/>
          </w:tcPr>
          <w:p w:rsidR="006E5B5B" w:rsidRPr="00F727DA" w:rsidRDefault="00745F6E"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subjekteve të detyruara të përmendura në nenin 3, paragrafi 3, germat "a" dhe "b" të Rregullores (BE) 2024/1624, shtetet anëtare mund të lejojnë që funksioni i përmendur në paragrafin 1 të këtij neni të kryhet nga organet vetërregulluese, me kusht që këto organe vetërregulluese të kenë kompetencat e përmendura në paragrafin 6 të këtij neni dhe të kenë burime të mjaftueshme financiare, njerëzore dhe teknike për të kryer funksionet e tyre. Shtetet anëtare garantojnë që stafi i këtyre organeve të ketë integritet të lartë dhe kualifikimin e duhur, si dhe të zbatojë standarde të larta profesionale, duke përfshirë standardet e konfidencialitetit, mbrojtjes së të dhënave dhe trajtimit të konflikteve të interesit.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C7654" w:rsidRPr="005C7654" w:rsidRDefault="005C7654" w:rsidP="00A87413">
            <w:pPr>
              <w:widowControl w:val="0"/>
              <w:snapToGrid w:val="0"/>
              <w:spacing w:after="0" w:line="240" w:lineRule="auto"/>
              <w:rPr>
                <w:rFonts w:ascii="Times New Roman" w:hAnsi="Times New Roman"/>
                <w:sz w:val="18"/>
                <w:szCs w:val="18"/>
                <w:lang w:val="sq-AL"/>
              </w:rPr>
            </w:pPr>
          </w:p>
          <w:p w:rsidR="005C7654" w:rsidRPr="005C7654" w:rsidRDefault="005C7654" w:rsidP="00A87413">
            <w:pPr>
              <w:widowControl w:val="0"/>
              <w:snapToGrid w:val="0"/>
              <w:spacing w:after="0" w:line="240" w:lineRule="auto"/>
              <w:rPr>
                <w:rFonts w:ascii="Times New Roman" w:hAnsi="Times New Roman"/>
                <w:sz w:val="18"/>
                <w:szCs w:val="18"/>
                <w:lang w:val="sq-AL"/>
              </w:rPr>
            </w:pPr>
            <w:r w:rsidRPr="005C7654">
              <w:rPr>
                <w:rFonts w:ascii="Times New Roman" w:hAnsi="Times New Roman"/>
                <w:sz w:val="18"/>
                <w:szCs w:val="18"/>
                <w:lang w:val="sq-AL"/>
              </w:rPr>
              <w:t>Neni 37</w:t>
            </w:r>
          </w:p>
          <w:p w:rsidR="005C7654" w:rsidRPr="005C7654" w:rsidRDefault="005C7654" w:rsidP="00A87413">
            <w:pPr>
              <w:widowControl w:val="0"/>
              <w:snapToGrid w:val="0"/>
              <w:spacing w:after="0" w:line="240" w:lineRule="auto"/>
              <w:rPr>
                <w:rFonts w:ascii="Times New Roman" w:hAnsi="Times New Roman"/>
                <w:sz w:val="18"/>
                <w:szCs w:val="18"/>
                <w:lang w:val="sq-AL"/>
              </w:rPr>
            </w:pPr>
            <w:r w:rsidRPr="005C7654">
              <w:rPr>
                <w:rFonts w:ascii="Times New Roman" w:hAnsi="Times New Roman"/>
                <w:sz w:val="18"/>
                <w:szCs w:val="18"/>
                <w:lang w:val="sq-AL"/>
              </w:rPr>
              <w:t>Delegimi i funksioneve mbikëqyrëse tek organet vetërregulluese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796136" w:rsidRPr="00796136" w:rsidRDefault="00796136" w:rsidP="00A87413">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1. Për kategori të caktuara subjektesh të detyruara të përcaktuara në nenin 3, pikat (3)(a) dhe (b), të Rregullores (BE) 2024/1624, ushtrimi i funksioneve mbikëqyrëse, mund t’u besohet organeve vetërregulluese, me kusht që këto organe:</w:t>
            </w:r>
          </w:p>
          <w:p w:rsidR="00796136" w:rsidRPr="00796136" w:rsidRDefault="00796136" w:rsidP="00A87413">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a) të jenë të pajisura me kompetencat e nevojshme për ushtrimin e mbikëqyrjes, sipas këtij ligji;</w:t>
            </w:r>
          </w:p>
          <w:p w:rsidR="00796136" w:rsidRPr="00796136" w:rsidRDefault="00796136" w:rsidP="00A87413">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b) të disponojnë burime të mjaftueshme financiare, njerëzore dhe teknike për ushtrimin e funksioneve të tyre.</w:t>
            </w:r>
          </w:p>
          <w:p w:rsidR="006E5B5B" w:rsidRPr="00796136" w:rsidRDefault="00796136" w:rsidP="00A87413">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37(3) i Direktivës (BE) 2024/1640 parashikon një mundësi opsionale për</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shtetet anëtare që funksionet mbikëqyrëse për disa kategori subjektesh të</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detyruara të kryhen nga organe vetërregulluese. Ligji nr. 9917 parashikon një model mbikëqyrjeje të ushtruar nga autoritete publike dhe nuk delegon</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funksionet e mbikëqyrjes AML/CFT te organe vetërregulluese. Kjo zgjedhje</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legjislative është në përputhje me natyrën opsionale të nenit 37(3).</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shtet anëtar ia ka besuar mbikëqyrjen e një kategorie subjektesh të detyruara disa mbikëqyrësve, ai siguron që këta mbikëqyrës t’i mbikëqyrin subjektet e detyruara në mënyrë konsistente dhe efikase në mbarë sektorin. Për këtë qëllim, shteti anëtar emëron një kryembikëqyrës ose ngre një mekanizëm koordinimi midis këtyre mbikëqyrësve.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shtet anëtar ia ka besuar mbikëqyrjen e të gjitha subjekteve të detyruara disa mbikëqyrësve, ai ngre një mekanizëm koordinimi midis këtyre mbikëqyrësve për të garantuar që subjektet e detyruara të mbikëqyren në mënyrë efektive sipas standardeve më të larta. Ky mekanizëm koordinimi përfshin të gjithë mbikëqyrësit, me përjashtim të rasteve kur: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F1C50" w:rsidRPr="00DF1C50" w:rsidRDefault="00DF1C50" w:rsidP="00A87413">
            <w:pPr>
              <w:pStyle w:val="Heading2"/>
              <w:spacing w:before="0" w:beforeAutospacing="0" w:after="0" w:afterAutospacing="0"/>
              <w:rPr>
                <w:b w:val="0"/>
                <w:sz w:val="18"/>
                <w:szCs w:val="18"/>
                <w:lang w:val="sq-AL"/>
              </w:rPr>
            </w:pPr>
            <w:r w:rsidRPr="00DF1C50">
              <w:rPr>
                <w:b w:val="0"/>
                <w:sz w:val="18"/>
                <w:szCs w:val="18"/>
                <w:lang w:val="sq-AL"/>
              </w:rPr>
              <w:t>Neni 38</w:t>
            </w:r>
          </w:p>
          <w:p w:rsidR="00DF1C50" w:rsidRPr="00DF1C50" w:rsidRDefault="00DF1C50" w:rsidP="00A87413">
            <w:pPr>
              <w:pStyle w:val="Heading2"/>
              <w:spacing w:before="0" w:beforeAutospacing="0" w:after="0" w:afterAutospacing="0"/>
              <w:rPr>
                <w:b w:val="0"/>
                <w:sz w:val="18"/>
                <w:szCs w:val="18"/>
                <w:lang w:val="sq-AL"/>
              </w:rPr>
            </w:pPr>
            <w:r w:rsidRPr="00DF1C50">
              <w:rPr>
                <w:b w:val="0"/>
                <w:sz w:val="18"/>
                <w:szCs w:val="18"/>
                <w:lang w:val="sq-AL"/>
              </w:rPr>
              <w:t>Bashkërendimi i mbikëqyrjes në rast të shumë autoriteteve mbikëqyrëse</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1. Kur mbikëqyrja e një kategorie subjektesh të detyruara i është besuar më shumë se një autoriteti mbikëqyrës, autoritetet përkatëse janë të detyruara të ushtrojnë mbikëqyrjen në mënyrë të qëndrueshme, të njëtrajtshme dhe efektive në të gjithë sektorin përkatës.</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2. Për qëllimet e pikës 1 të këtij neni, krijohet detyrimisht një mekanizëm bashkërendimi ndërmjet autoriteteve mbikëqyrëse ose caktohet një autoritet udhëheqës, me qëllim:</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a) sigurimin e një qasjeje të unifikuar mbikëqyrëse ndaj kategorisë përkatëse të subjekteve të detyruara;</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b) shmangien e mbivendosjes ose mospërputhjes së praktikave mbikëqyrëse;</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c) rritjen e efektivitetit dhe koherencës së mbikëqyrjes në sektor.</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3. Kur mbikëqyrja e të gjitha subjekteve të detyruara i është besuar më shumë se një autoriteti mbikëqyrës, krijohet një mekanizëm bashkërendimi ndërmjet këtyre autoriteteve, me qëllim garantimin e një mbikëqyrjeje efektive të subjekteve të detyruara, në përputhje me standardet më të larta.</w:t>
            </w:r>
          </w:p>
          <w:p w:rsidR="001C18EA" w:rsidRPr="001C18EA" w:rsidRDefault="001C18EA" w:rsidP="00A87413">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Mekanizmi i bashkërendimit përfshin të gjitha autoritetet mbikëqyrëse, me përjashtim të rasteve kur:</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ar-SA"/>
              </w:rPr>
            </w:pPr>
            <w:r w:rsidRPr="00F727DA">
              <w:rPr>
                <w:rFonts w:eastAsia="Calibri"/>
                <w:bCs/>
                <w:sz w:val="18"/>
                <w:szCs w:val="18"/>
                <w:lang w:val="en-GB" w:eastAsia="ar-SA"/>
              </w:rPr>
              <w:t>Dispozita është transpozuar në legjislacionin kombëtar duke parashikuar detyrimin për bashkërendimin e mbikëqyrjes në rastet kur mbikëqyrja e një kategorie ose e të gjitha subjekteve të detyruara ushtrohet nga më shumë se një autoritet. Parashikohet krijimi i një mekanizmi bashkërendimi ose caktimi i një autoriteti udhëheqës, si dhe përfshirja e autoritetit publik përgjegjës në rastet kur mbikëqyrja i është besuar organeve vetërregulluese.</w:t>
            </w:r>
          </w:p>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mbikëqyrja i besohet një organi vetërregullues, rast në të cilin autoriteti publik i përmendur në nenin 52 merr pjesë në mekanizmin e koordinimit;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a) kur mbikëqyrja i është besuar një organi vetërregullues, autoriteti publik përgjegjës merr pjesë detyrimisht në mekanizmin e bashkërendimit;</w:t>
            </w: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mbikëqyrja e një kategorie subjektesh të detyruara u besohet disa mbikëqyrësve, rast në të cilin kryembikëqyrësi merr pjesë në mekanizmin e koordinimit; kur nuk është caktuar asnjë kryembikëqyrës, mbikëqyrësit caktojnë një përfaqësues nga radhët e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rsidR="006E5B5B" w:rsidRPr="005C0DDE" w:rsidRDefault="005C0DDE" w:rsidP="00A87413">
            <w:pPr>
              <w:widowControl w:val="0"/>
              <w:spacing w:after="0" w:line="240" w:lineRule="auto"/>
              <w:rPr>
                <w:rFonts w:ascii="Times New Roman" w:hAnsi="Times New Roman"/>
                <w:sz w:val="18"/>
                <w:szCs w:val="18"/>
                <w:lang w:val="sq-AL"/>
              </w:rPr>
            </w:pPr>
            <w:r w:rsidRPr="005C0DDE">
              <w:rPr>
                <w:rFonts w:ascii="Times New Roman" w:hAnsi="Times New Roman"/>
                <w:sz w:val="18"/>
                <w:szCs w:val="18"/>
                <w:lang w:val="sq-AL"/>
              </w:rPr>
              <w:t>4. Mekanizmi i bashkërendimit dhe sipas rastit, autoriteti udhëheqës, përcaktohen me akt nënligjor, të nxjerrë në zbatim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Ligji nr. 9917 parashikon ushtrimin e mbikëqyrjes AML/CFT nga disa autoritete</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mbikëqyrëse, por nuk rregullon shprehimisht pjesëmarrjen e kryembikëqyrësit</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ose të një përfaqësuesi të autoriteteve mbikëqyrëse në një mekanizëm të</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formalizuar koordinimi, siç kërkohet nga neni 37(4)(b) i Direktivës (BE)</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2024/1640.</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Mbulohet nga propozimi i përgjithshëm për koordinim</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kombëtarë të kryejnë detyrat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p>
          <w:p w:rsidR="00A27A1E" w:rsidRPr="00A27A1E" w:rsidRDefault="00A27A1E" w:rsidP="00A87413">
            <w:pPr>
              <w:pStyle w:val="Heading2"/>
              <w:spacing w:before="0" w:beforeAutospacing="0" w:after="0" w:afterAutospacing="0"/>
              <w:rPr>
                <w:b w:val="0"/>
                <w:sz w:val="18"/>
                <w:szCs w:val="18"/>
                <w:lang w:val="sq-AL" w:eastAsia="sq-AL" w:bidi="sq-AL"/>
              </w:rPr>
            </w:pPr>
            <w:r w:rsidRPr="00A27A1E">
              <w:rPr>
                <w:b w:val="0"/>
                <w:sz w:val="18"/>
                <w:szCs w:val="18"/>
                <w:lang w:val="sq-AL" w:eastAsia="sq-AL" w:bidi="sq-AL"/>
              </w:rPr>
              <w:t>Neni 39</w:t>
            </w:r>
          </w:p>
          <w:p w:rsidR="00A27A1E" w:rsidRPr="00A27A1E" w:rsidRDefault="00A27A1E" w:rsidP="00A87413">
            <w:pPr>
              <w:pStyle w:val="Heading2"/>
              <w:spacing w:before="0" w:beforeAutospacing="0" w:after="0" w:afterAutospacing="0"/>
              <w:rPr>
                <w:b w:val="0"/>
                <w:sz w:val="18"/>
                <w:szCs w:val="18"/>
                <w:lang w:val="sq-AL" w:eastAsia="sq-AL" w:bidi="sq-AL"/>
              </w:rPr>
            </w:pPr>
            <w:r w:rsidRPr="00A27A1E">
              <w:rPr>
                <w:b w:val="0"/>
                <w:sz w:val="18"/>
                <w:szCs w:val="18"/>
                <w:lang w:val="sq-AL" w:eastAsia="sq-AL" w:bidi="sq-AL"/>
              </w:rPr>
              <w:t>Funksionet e autoriteteve mbikëqyrëse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ligji, autoritetet mbikëqyrëse ushtrojnë këto funksione:</w:t>
            </w:r>
          </w:p>
        </w:tc>
        <w:tc>
          <w:tcPr>
            <w:tcW w:w="1356" w:type="dxa"/>
            <w:shd w:val="clear" w:color="auto" w:fill="auto"/>
            <w:vAlign w:val="center"/>
          </w:tcPr>
          <w:p w:rsidR="006E5B5B" w:rsidRPr="00F727DA" w:rsidRDefault="003D5D98"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në mënyrë të detajuar funksionet e autoriteteve mbikëqyrëse, përfshirë shpërndarjen e informacionit dhe udhëzimeve për subjektet e detyruara, përcaktimin e rasteve të përjashtimit nga vlerësimet individuale të rrezikut, verifikimin e politikave, procedurave, kontrolleve të brendshme dhe burimeve njerëzore, vlerësimin dhe monitorimin e rreziqeve të pastrimit të parave, financimit të terrorizmit dhe sanksioneve financiare të synuara, kryerjen e inspektimeve dhe veprimeve verifikuese, si dhe marrjen dhe ndjekjen e masave mbikëqyrëse në rast shkeljesh.</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t’u shpërndajnë informacionin përkatës subjekteve të detyruara në përputhje me nenin 39;</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0B1BD2" w:rsidRPr="000B1BD2" w:rsidRDefault="000B1BD2" w:rsidP="00A87413">
            <w:pPr>
              <w:widowControl w:val="0"/>
              <w:spacing w:after="0" w:line="240" w:lineRule="auto"/>
              <w:rPr>
                <w:rFonts w:ascii="Times New Roman" w:hAnsi="Times New Roman"/>
                <w:sz w:val="18"/>
                <w:szCs w:val="18"/>
                <w:lang w:val="sq-AL" w:eastAsia="sq-AL" w:bidi="sq-AL"/>
              </w:rPr>
            </w:pPr>
            <w:r w:rsidRPr="000B1BD2">
              <w:rPr>
                <w:rFonts w:ascii="Times New Roman" w:hAnsi="Times New Roman"/>
                <w:sz w:val="18"/>
                <w:szCs w:val="18"/>
                <w:lang w:val="sq-AL" w:eastAsia="sq-AL" w:bidi="sq-AL"/>
              </w:rPr>
              <w:t>1.Shpërndajnë informacionin dhe udhëzimet përkatëse për subjektet e detyruara, në përputhje me këtë ligj;</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0B1BD2"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vendosin për ato raste ku rreziqet specifike të qenësishme në një sektor janë të qarta dhe të kuptuara dhe nuk kërkohen vlerësime individuale të dokumentuara të rrezikut në përputhje me nenin 10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33613A" w:rsidRDefault="0033613A" w:rsidP="00A87413">
            <w:pPr>
              <w:pStyle w:val="NormalWeb"/>
              <w:spacing w:before="0" w:beforeAutospacing="0" w:after="0" w:afterAutospacing="0"/>
              <w:rPr>
                <w:bCs/>
                <w:sz w:val="18"/>
                <w:szCs w:val="18"/>
                <w:lang w:val="sq-AL" w:eastAsia="sq-AL" w:bidi="sq-AL"/>
              </w:rPr>
            </w:pPr>
            <w:r w:rsidRPr="0033613A">
              <w:rPr>
                <w:bCs/>
                <w:sz w:val="18"/>
                <w:szCs w:val="18"/>
                <w:lang w:val="sq-AL" w:eastAsia="sq-AL" w:bidi="sq-AL"/>
              </w:rPr>
              <w:t>2. Përcaktojnë rastet kur rreziqet specifike të një sektori janë të qarta dhe të njohura dhe, për rrjedhojë, nuk kërkohet kryerja e vlerësimeve individuale të dokumentuara të rrezikut nga subjektet e detyruara sipas nenit 10 të Rregullores (BE) 2024/1624.</w:t>
            </w:r>
          </w:p>
        </w:tc>
        <w:tc>
          <w:tcPr>
            <w:tcW w:w="1356" w:type="dxa"/>
            <w:shd w:val="clear" w:color="auto" w:fill="auto"/>
            <w:vAlign w:val="center"/>
          </w:tcPr>
          <w:p w:rsidR="006E5B5B" w:rsidRPr="00F727DA" w:rsidRDefault="000B1BD2"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verifikojnë përshtatshmërinë dhe vënien në zbatim të politikave, procedurave dhe kontrolleve të brendshme të subjekteve të detyruara sipas kreut II të Rregullores (BE) 2024/1624, si dhe përshtatshmërinë dhe vënien në përdorim të burimeve njerëzore të alokuara për kryerjen e detyrave të parashikuara sipas kësaj rregulloreje, si dhe në rastin e mbikëqyrësve të ndërmarrjeve të investimeve kolektive, të vendosin për ato raste ku ndërmarrja e investimeve kolektive mund t’ia kontraktojë raportimin e veprimtarive të dyshimta sipas nenit 18, paragrafi 7 të Rregullores (BE) 2024/1624 një ofruesi shërbimesh;</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3613A" w:rsidRPr="0033613A" w:rsidRDefault="0033613A" w:rsidP="00A87413">
            <w:pPr>
              <w:widowControl w:val="0"/>
              <w:spacing w:after="0" w:line="240" w:lineRule="auto"/>
              <w:rPr>
                <w:rFonts w:ascii="Times New Roman" w:hAnsi="Times New Roman"/>
                <w:sz w:val="18"/>
                <w:szCs w:val="18"/>
                <w:lang w:val="sq-AL" w:eastAsia="sq-AL" w:bidi="sq-AL"/>
              </w:rPr>
            </w:pPr>
            <w:r w:rsidRPr="0033613A">
              <w:rPr>
                <w:rFonts w:ascii="Times New Roman" w:hAnsi="Times New Roman"/>
                <w:sz w:val="18"/>
                <w:szCs w:val="18"/>
                <w:lang w:val="sq-AL" w:eastAsia="sq-AL" w:bidi="sq-AL"/>
              </w:rPr>
              <w:t>3. Verifikojnë përshtatshmërinë dhe zbatimin e politikave, procedurave dhe kontrolleve të brendshme të subjekteve të detyruara, në përputhje me këtë ligj.si dhe mjaftueshmërinë dhe përshtatshmërinë e burimeve njerëzore të alokuara për përmbushjen e detyrimeve të parashikuara në këtë ligj.</w:t>
            </w:r>
          </w:p>
          <w:p w:rsidR="006E5B5B" w:rsidRPr="0033613A" w:rsidRDefault="0033613A" w:rsidP="00A87413">
            <w:pPr>
              <w:widowControl w:val="0"/>
              <w:spacing w:after="0" w:line="240" w:lineRule="auto"/>
              <w:rPr>
                <w:rFonts w:ascii="Times New Roman" w:hAnsi="Times New Roman"/>
                <w:sz w:val="18"/>
                <w:szCs w:val="18"/>
                <w:highlight w:val="yellow"/>
                <w:lang w:val="sq-AL" w:eastAsia="sq-AL" w:bidi="sq-AL"/>
              </w:rPr>
            </w:pPr>
            <w:r w:rsidRPr="0033613A">
              <w:rPr>
                <w:rFonts w:ascii="Times New Roman" w:hAnsi="Times New Roman"/>
                <w:sz w:val="18"/>
                <w:szCs w:val="18"/>
                <w:lang w:val="sq-AL" w:eastAsia="sq-AL" w:bidi="sq-AL"/>
              </w:rPr>
              <w:t>Si dhe për autoritetet mbikëqyrëse të subjekteve të investimeve kolektive, përcaktojnë rastet kur raportimi i veprimtarive të dyshimta mund t’u besohet ofruesve të shërbimeve, në përputhje me neni 18(7) të Rregullores (BE) 2024/1624.</w:t>
            </w:r>
          </w:p>
        </w:tc>
        <w:tc>
          <w:tcPr>
            <w:tcW w:w="1356" w:type="dxa"/>
            <w:shd w:val="clear" w:color="auto" w:fill="auto"/>
            <w:vAlign w:val="center"/>
          </w:tcPr>
          <w:p w:rsidR="006E5B5B" w:rsidRPr="00F727DA" w:rsidRDefault="000B1BD2"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vlerësojnë dhe monitorojnë rregullisht rreziqet e pastrimit të parave dhe financimit të terrorizmit, si dhe rreziqet e moszbatimit dhe shmangies së sanksioneve financiare të targetuara ndaj të cilave janë të ekspozuara subjektet e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285FAF" w:rsidRDefault="00285FAF" w:rsidP="00A87413">
            <w:pPr>
              <w:widowControl w:val="0"/>
              <w:spacing w:after="0" w:line="240" w:lineRule="auto"/>
              <w:rPr>
                <w:rFonts w:ascii="Times New Roman" w:hAnsi="Times New Roman"/>
                <w:bCs/>
                <w:sz w:val="18"/>
                <w:szCs w:val="18"/>
                <w:lang w:val="sq-AL" w:eastAsia="sq-AL" w:bidi="sq-AL"/>
              </w:rPr>
            </w:pPr>
            <w:r w:rsidRPr="00285FAF">
              <w:rPr>
                <w:rFonts w:ascii="Times New Roman" w:hAnsi="Times New Roman"/>
                <w:bCs/>
                <w:sz w:val="18"/>
                <w:szCs w:val="18"/>
                <w:lang w:val="sq-AL" w:eastAsia="sq-AL" w:bidi="sq-AL"/>
              </w:rPr>
              <w:t>4. Vlerësojnë dhe monitorojnë në mënyrë periodike rreziqet e pastrimit të parave, financimit të terrorizmit apo financimit te armeve te dëmtimit ne mase, si dhe rreziqet e moszbatimit ose shmangies së masave shtrënguese ndërkombëtare, ndaj të cilave janë të ekspozuara subjektet e detyruara.</w:t>
            </w:r>
          </w:p>
        </w:tc>
        <w:tc>
          <w:tcPr>
            <w:tcW w:w="1356" w:type="dxa"/>
            <w:shd w:val="clear" w:color="auto" w:fill="auto"/>
            <w:vAlign w:val="center"/>
          </w:tcPr>
          <w:p w:rsidR="006E5B5B" w:rsidRPr="00F727DA" w:rsidRDefault="00285FAF"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monitorojnë pajtueshmërinë e subjekteve të detyruara lidhur me detyrimet e tyre në raport me sanksionet financiare të targetuara;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bCs/>
                <w:sz w:val="18"/>
                <w:szCs w:val="18"/>
                <w:lang w:eastAsia="sq-AL" w:bidi="sq-AL"/>
              </w:rPr>
            </w:pPr>
          </w:p>
        </w:tc>
        <w:tc>
          <w:tcPr>
            <w:tcW w:w="2064" w:type="dxa"/>
            <w:shd w:val="clear" w:color="auto" w:fill="auto"/>
            <w:vAlign w:val="center"/>
          </w:tcPr>
          <w:p w:rsidR="006E5B5B" w:rsidRPr="00197C51" w:rsidRDefault="00197C51" w:rsidP="00A87413">
            <w:pPr>
              <w:widowControl w:val="0"/>
              <w:spacing w:after="0" w:line="240" w:lineRule="auto"/>
              <w:rPr>
                <w:rFonts w:ascii="Times New Roman" w:hAnsi="Times New Roman"/>
                <w:bCs/>
                <w:sz w:val="18"/>
                <w:szCs w:val="18"/>
                <w:lang w:val="sq-AL" w:eastAsia="sq-AL" w:bidi="sq-AL"/>
              </w:rPr>
            </w:pPr>
            <w:r w:rsidRPr="00197C51">
              <w:rPr>
                <w:rFonts w:ascii="Times New Roman" w:hAnsi="Times New Roman"/>
                <w:bCs/>
                <w:sz w:val="18"/>
                <w:szCs w:val="18"/>
                <w:lang w:val="sq-AL" w:eastAsia="sq-AL" w:bidi="sq-AL"/>
              </w:rPr>
              <w:t>5. Monitorojnë përputhshmërinë e subjekteve të detyruara me detyrimet që lidhen me masat shtrënguese financiare.</w:t>
            </w:r>
          </w:p>
        </w:tc>
        <w:tc>
          <w:tcPr>
            <w:tcW w:w="1356" w:type="dxa"/>
            <w:shd w:val="clear" w:color="auto" w:fill="auto"/>
            <w:vAlign w:val="center"/>
          </w:tcPr>
          <w:p w:rsidR="006E5B5B" w:rsidRPr="00F727DA" w:rsidRDefault="00A364B7"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kryejnë të gjitha hetimet jashtë terrenit, inspektimet në terren dhe kontrollet tematike që nevojiten, si dhe çdo hetim, vlerësim dhe analizë tjetër të nevojshme për të verifikuar që subjektet e detyruara respektojnë Rregulloren (BE) 2024/1624 dhe çdo masë administrative të marrë sipas nenit 56 të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846AB" w:rsidRPr="006846AB" w:rsidRDefault="006846AB" w:rsidP="00A87413">
            <w:pPr>
              <w:widowControl w:val="0"/>
              <w:spacing w:after="0" w:line="240" w:lineRule="auto"/>
              <w:rPr>
                <w:rFonts w:ascii="Times New Roman" w:hAnsi="Times New Roman"/>
                <w:sz w:val="18"/>
                <w:szCs w:val="18"/>
                <w:lang w:val="sq-AL" w:eastAsia="sq-AL" w:bidi="sq-AL"/>
              </w:rPr>
            </w:pPr>
            <w:r w:rsidRPr="006846AB">
              <w:rPr>
                <w:rFonts w:ascii="Times New Roman" w:hAnsi="Times New Roman"/>
                <w:sz w:val="18"/>
                <w:szCs w:val="18"/>
                <w:lang w:val="sq-AL" w:eastAsia="sq-AL" w:bidi="sq-AL"/>
              </w:rPr>
              <w:t>6. Autoritetet mbikëqyrëse kryejnë të gjitha inspektime në distancë, inspektimet në vend, kontrollet tematike,  si dhe çdo veprim tjetër sqarues dhe verifikues, përfshirë kërkesa për sqarime, vlerësim dhe analizë tjetër të nevojshme, me qëllim verifikimin e përputhshmërisë së subjekteve të detyruara me detyrimet e parashikuara në këtë ligj, si dhe me masat administrative të marra në zbatim të këtij ligji.</w:t>
            </w:r>
          </w:p>
          <w:p w:rsidR="006E5B5B" w:rsidRPr="006846AB" w:rsidRDefault="006846AB" w:rsidP="00A87413">
            <w:pPr>
              <w:widowControl w:val="0"/>
              <w:spacing w:after="0" w:line="240" w:lineRule="auto"/>
              <w:rPr>
                <w:rFonts w:ascii="Times New Roman" w:hAnsi="Times New Roman"/>
                <w:sz w:val="18"/>
                <w:szCs w:val="18"/>
                <w:lang w:val="sq-AL" w:eastAsia="sq-AL" w:bidi="sq-AL"/>
              </w:rPr>
            </w:pPr>
            <w:r w:rsidRPr="006846AB">
              <w:rPr>
                <w:rFonts w:ascii="Times New Roman" w:hAnsi="Times New Roman"/>
                <w:sz w:val="18"/>
                <w:szCs w:val="18"/>
                <w:lang w:val="sq-AL" w:eastAsia="sq-AL" w:bidi="sq-AL"/>
              </w:rPr>
              <w:t>Për këtë qëllim, autoritetet mbikëqyrëse kanë të drejtë të kërkojnë dhe të marrin nga subjektet e detyruara çdo informacion, dokument ose të dhënë të nevojshme, pavarësisht nga parashikimet e ligjeve të tjera.</w:t>
            </w:r>
          </w:p>
        </w:tc>
        <w:tc>
          <w:tcPr>
            <w:tcW w:w="1356" w:type="dxa"/>
            <w:shd w:val="clear" w:color="auto" w:fill="auto"/>
            <w:vAlign w:val="center"/>
          </w:tcPr>
          <w:p w:rsidR="006E5B5B" w:rsidRPr="00F727DA" w:rsidRDefault="00A364B7"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37(5)(g)</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marrin masat e duhura mbikëqyrëse për të adresuar çfarëdolloj shkeljeje nga ana e subjekteve të detyruara të kërkesave të zbatueshme, që është identifikuar në procesin e vlerësimeve mbikëqyrëse, si dhe të ndjekin zbatimin e këtyre masave.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A2CAB" w:rsidRPr="008A2CAB" w:rsidRDefault="008A2CAB" w:rsidP="00A87413">
            <w:pPr>
              <w:widowControl w:val="0"/>
              <w:spacing w:after="0" w:line="240" w:lineRule="auto"/>
              <w:rPr>
                <w:rFonts w:ascii="Times New Roman" w:hAnsi="Times New Roman"/>
                <w:sz w:val="18"/>
                <w:szCs w:val="18"/>
                <w:lang w:val="sq-AL" w:eastAsia="sq-AL" w:bidi="sq-AL"/>
              </w:rPr>
            </w:pPr>
            <w:r w:rsidRPr="008A2CAB">
              <w:rPr>
                <w:rFonts w:ascii="Times New Roman" w:hAnsi="Times New Roman"/>
                <w:sz w:val="18"/>
                <w:szCs w:val="18"/>
                <w:lang w:val="sq-AL" w:eastAsia="sq-AL" w:bidi="sq-AL"/>
              </w:rPr>
              <w:t>7. Autoritet mbikëqyrëse marrin masa të përshtatshme mbikëqyrëse për trajtimin e çdo shkeljeje të kërkesave të zbatueshme nga subjektet e detyruara, të konstatuara gjatë procesit të vlerësimit mbikëqyrës, si dhe ndjekin zbatimin e këtyre masave.</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8A2CAB"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kompetenca të mjaftueshme për të kryer detyrat e tyre, siç parashikohet në paragrafin 5, duke përfshirë kompetencën: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A2CAB" w:rsidRPr="008A2CAB" w:rsidRDefault="008A2CAB" w:rsidP="00A87413">
            <w:pPr>
              <w:widowControl w:val="0"/>
              <w:spacing w:after="0" w:line="240" w:lineRule="auto"/>
              <w:rPr>
                <w:rFonts w:ascii="Times New Roman" w:hAnsi="Times New Roman"/>
                <w:sz w:val="18"/>
                <w:szCs w:val="18"/>
                <w:lang w:val="sq-AL" w:eastAsia="sq-AL" w:bidi="sq-AL"/>
              </w:rPr>
            </w:pPr>
            <w:r w:rsidRPr="008A2CAB">
              <w:rPr>
                <w:rFonts w:ascii="Times New Roman" w:hAnsi="Times New Roman"/>
                <w:sz w:val="18"/>
                <w:szCs w:val="18"/>
                <w:lang w:val="sq-AL" w:eastAsia="sq-AL" w:bidi="sq-AL"/>
              </w:rPr>
              <w:t>8. Autoritetet mbikëqyrëse kanë  kompetenca të mjaftueshme për ushtrimin e funksioneve të parashikuara në këtë ligj, përfshirë, ndër të tjera, të drejtën për të:</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8A2CAB"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që autoritetet mbikëqyrëse të pajisen me kompetenca të mjaftueshme për ushtrimin e funksioneve mbikëqyrëse, përfshirë të drejtën për të detyruar paraqitjen e informacionit dhe dokumentacionit të nevojshëm, si dhe për të zbatuar masa administrative të përshtatshme dhe proporcionale, përfshirë vendosjen e sanksioneve financiare, në rast shkeljesh.</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37(6)(a)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detyruar gjenerimin e çdo informacioni nga subjektet e detyruara që është i rëndësishëm për monitorimin dhe verifikimin e pajtueshmërisë me Rregulloren (BE) 2024/1624 ose Rregulloren (BE) 2023/1113, si dhe për të kryer kontrolle, duke përfshirë edhe nga ofruesit e shërbimeve të cilëve subjekti i detyruar u ka kontraktuar një pjesë të detyrave të tij për të përmbushur kërkesat e këtyre rregulloreve;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3E0CEA" w:rsidRDefault="003E0CEA" w:rsidP="00A87413">
            <w:pPr>
              <w:widowControl w:val="0"/>
              <w:spacing w:after="0" w:line="240" w:lineRule="auto"/>
              <w:rPr>
                <w:rFonts w:ascii="Times New Roman" w:hAnsi="Times New Roman"/>
                <w:bCs/>
                <w:sz w:val="18"/>
                <w:szCs w:val="18"/>
                <w:lang w:val="sq-AL" w:eastAsia="sq-AL" w:bidi="sq-AL"/>
              </w:rPr>
            </w:pPr>
            <w:r w:rsidRPr="003E0CEA">
              <w:rPr>
                <w:rFonts w:ascii="Times New Roman" w:hAnsi="Times New Roman"/>
                <w:bCs/>
                <w:sz w:val="18"/>
                <w:szCs w:val="18"/>
                <w:lang w:val="sq-AL" w:eastAsia="sq-AL" w:bidi="sq-AL"/>
              </w:rPr>
              <w:t>a) të detyrojnë subjektet e detyruara të paraqesin çdo informacion ose dokument që është i nevojshëm për monitorimin dhe verifikimin e përputhshmërisë me detyrimet e parashikuara në këtë ligj, si dhe të kryejnë verifikime përkatëse, përfshirë edhe pranë ofruesve të shërbimeve, të cilëve subjektet e detyruara u kanë besuar kryerjen e një pjese të detyrimeve të tyre ligjore.</w:t>
            </w:r>
          </w:p>
        </w:tc>
        <w:tc>
          <w:tcPr>
            <w:tcW w:w="1356" w:type="dxa"/>
            <w:shd w:val="clear" w:color="auto" w:fill="auto"/>
            <w:vAlign w:val="center"/>
          </w:tcPr>
          <w:p w:rsidR="006E5B5B" w:rsidRPr="00F727DA" w:rsidRDefault="003E0CEA"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37(6)(b)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zbatuar masa të përshtatshme dhe proporcionale administrative për të korrigjuar situatën në rast të shkeljeve, duke përfshirë përmes vendosjes së sanksioneve në formë gjobe në përputhje me seksionin 4 të këtij kreu.</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3E0CEA" w:rsidRDefault="003E0CEA" w:rsidP="00A87413">
            <w:pPr>
              <w:widowControl w:val="0"/>
              <w:spacing w:after="0" w:line="240" w:lineRule="auto"/>
              <w:rPr>
                <w:rFonts w:ascii="Times New Roman" w:hAnsi="Times New Roman"/>
                <w:bCs/>
                <w:sz w:val="18"/>
                <w:szCs w:val="18"/>
                <w:lang w:val="sq-AL" w:eastAsia="sq-AL" w:bidi="sq-AL"/>
              </w:rPr>
            </w:pPr>
            <w:r w:rsidRPr="003E0CEA">
              <w:rPr>
                <w:rFonts w:ascii="Times New Roman" w:hAnsi="Times New Roman"/>
                <w:bCs/>
                <w:sz w:val="18"/>
                <w:szCs w:val="18"/>
                <w:lang w:val="sq-AL" w:eastAsia="sq-AL" w:bidi="sq-AL"/>
              </w:rPr>
              <w:t>b) të zbatojnë masa administrative të përshtatshme dhe proporcionale për korrigjimin e shkeljeve të konstatuara, përfshirë vendosjen e gjobave administrative në përputhje me dispozitat përkatëse të këtij ligji.</w:t>
            </w:r>
          </w:p>
        </w:tc>
        <w:tc>
          <w:tcPr>
            <w:tcW w:w="1356" w:type="dxa"/>
            <w:shd w:val="clear" w:color="auto" w:fill="auto"/>
            <w:vAlign w:val="center"/>
          </w:tcPr>
          <w:p w:rsidR="006E5B5B" w:rsidRPr="00F727DA" w:rsidRDefault="003E0CEA"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financiarë dhe mbikëqyrësit përgjegjës për ofruesit e shërbimeve të lojërave të fatit të kenë kompetenca shtesë përveç atyre të përmendura në paragrafin 6, duke përfshirë kompetencat për të inspektuar mjediset e biznesit të subjektit të detyruar pa njoftim paraprak, kur kjo nevojitet për kryerjen e duhur dhe efikasitetin e një inspektimi, dhe që të kenë të gjitha mjetet e nevojshme për të kryer një inspektim të tillë.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nënparagrafit të parë, mbikëqyrësit duhet të jenë të paktën në gjendje që: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C760A" w:rsidRPr="002C760A" w:rsidRDefault="002C760A" w:rsidP="00A87413">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 xml:space="preserve">9. Autoritetet mbikëqyrëse financiare dhe autoritetet mbikëqyrëse përgjegjëse për ofruesit e shërbimeve të lojërave të fatit pajisen me kompetenca shtesë veç 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nevojshme për kryerjen e këtyre inspektimeve. </w:t>
            </w:r>
          </w:p>
          <w:p w:rsidR="006E5B5B" w:rsidRPr="002C760A" w:rsidRDefault="002C760A" w:rsidP="00A87413">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Për qëllimet e paragrafit të parë të kësaj pike, autoritetet mbikëqyrëse janë, të paktën, të autorizuara të:</w:t>
            </w:r>
          </w:p>
        </w:tc>
        <w:tc>
          <w:tcPr>
            <w:tcW w:w="1356" w:type="dxa"/>
            <w:shd w:val="clear" w:color="auto" w:fill="auto"/>
            <w:vAlign w:val="center"/>
          </w:tcPr>
          <w:p w:rsidR="006E5B5B" w:rsidRPr="00F727DA" w:rsidRDefault="002C760A"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kompetenca shtesë për autoritetet mbikëqyrëse financiare dhe autoritetet përgjegjëse për mbikëqyrjen e ofruesve të shërbimeve të lojërave të fatit, përtej kompetencave të përgjithshme mbikëqyrëse. Transpozimi përfshin të drejtën për kryerjen e inspektimeve në ambientet e subjekteve të detyruara pa njoftim paraprak, kur kjo është e nevojshme për garantimin e efektivitetit të kontrollit, si dhe pajisjen e autoriteteve me mjetet e nevojshme për ushtrimin e këtyre kompetencave. Gjithashtu, parashikohen kompetencat minimale për shqyrtimin e librave dhe regjistrave, aksesin në sisteme informatike dhe marrjen e informacionit me shkrim ose me gojë, në përputhje me kërkesat e mbikëqyrjes AML/CFT.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shqyrtojnë librat dhe regjistrat e subjektit të detyruar dhe të marrin kopje ose ekstrakte nga këto libra dhe regjistra;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a)</w:t>
            </w:r>
            <w:r w:rsidRPr="00F727DA">
              <w:rPr>
                <w:rFonts w:ascii="Times New Roman" w:hAnsi="Times New Roman"/>
                <w:sz w:val="18"/>
                <w:szCs w:val="18"/>
                <w:lang w:eastAsia="sq-AL" w:bidi="sq-AL"/>
              </w:rPr>
              <w:t xml:space="preserve"> </w:t>
            </w:r>
            <w:r w:rsidRPr="00F727DA">
              <w:rPr>
                <w:rFonts w:ascii="Times New Roman" w:hAnsi="Times New Roman"/>
                <w:bCs/>
                <w:sz w:val="18"/>
                <w:szCs w:val="18"/>
                <w:lang w:eastAsia="sq-AL" w:bidi="sq-AL"/>
              </w:rPr>
              <w:t>të shqyrtojnë librat dhe regjistrat e subjekteve të detyruara dhe të marrin kopje ose ekstrakte nga këta libra dhe regjistra.</w:t>
            </w:r>
          </w:p>
        </w:tc>
        <w:tc>
          <w:tcPr>
            <w:tcW w:w="1356" w:type="dxa"/>
            <w:shd w:val="clear" w:color="auto" w:fill="auto"/>
            <w:vAlign w:val="center"/>
          </w:tcPr>
          <w:p w:rsidR="006E5B5B" w:rsidRPr="00F727DA" w:rsidRDefault="002C760A"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përfitojnë akses në çdo softuer, bazë të dhënash, mjet TI ose mjete të tjera elektronike për regjistrimin e informacionit të përdorura nga subjekti i detyruar;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b)</w:t>
            </w:r>
            <w:r w:rsidRPr="00F727DA">
              <w:rPr>
                <w:rFonts w:ascii="Times New Roman" w:hAnsi="Times New Roman"/>
                <w:sz w:val="18"/>
                <w:szCs w:val="18"/>
                <w:lang w:eastAsia="sq-AL" w:bidi="sq-AL"/>
              </w:rPr>
              <w:t xml:space="preserve"> </w:t>
            </w:r>
            <w:r w:rsidRPr="00F727DA">
              <w:rPr>
                <w:rFonts w:ascii="Times New Roman" w:hAnsi="Times New Roman"/>
                <w:bCs/>
                <w:sz w:val="18"/>
                <w:szCs w:val="18"/>
                <w:lang w:eastAsia="sq-AL" w:bidi="sq-AL"/>
              </w:rPr>
              <w:t>të kenë hyrje në çdo program kompjuterik, bazë të dhënash, mjet teknologjik informatik ose mjet tjetër elektronik për regjistrimin e informacionit, që përdoret nga subjektet e detyruara.</w:t>
            </w:r>
          </w:p>
        </w:tc>
        <w:tc>
          <w:tcPr>
            <w:tcW w:w="1356" w:type="dxa"/>
            <w:shd w:val="clear" w:color="auto" w:fill="auto"/>
            <w:vAlign w:val="center"/>
          </w:tcPr>
          <w:p w:rsidR="006E5B5B" w:rsidRPr="00F727DA" w:rsidRDefault="002C760A"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marrin informacion me shkrim ose me gojë nga çdo person përgjegjës për politikat, procedurat dhe kontrollet e brendshme lidhur me luftën kundër pastrimit të parave dhe financimit të terrorizmit, ose nga përfaqësuesit apo stafi i tyre, si dhe nga çdo përfaqësues ose staf i subjekteve të cilave subjekti i detyruar u ka kontraktuar detyra në përputhje me nenin 18 të Rregullores (BE) 2024/1624, si dhe të marrin në pyetje çdo person tjetër që pranon të merret në pyetje me qëllim mbledhjen e informacionit në lidhje me objektin e një hetimi.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të marrin informacion me shkrim ose me gojë nga çdo person përgjegjës për politikat, procedurat dhe kontrollet e brendshme për parandalimin e pastrimit të parave dhe financimit të terrorizmit, nga përfaqësuesit ose personeli i tyre, si dhe nga përfaqësuesit ose personeli i subjekteve të cilave u janë besuar detyra të deleguara nga subjektet e detyruara; si dhe të intervistojnë çdo person tjetër që jep pëlqimin për intervistim, për qëllime të mbledhjes së informacionit që lidhet me objektin e verifikimit ose inspektimit.</w:t>
            </w:r>
          </w:p>
          <w:p w:rsidR="002C760A" w:rsidRPr="002C760A" w:rsidRDefault="002C760A" w:rsidP="00A87413">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10. Kompetencat mbikëqyrëse të parashikuara në këtë ligj ushtrohen pavarësisht nga kufizimet ose parashikimet e ndryshme në ligjet sektoriale, për aq sa lidhen me parandalimin e pastrimit të parave, financimit të terrorizmit dhe financimit të përhapjes të armëve të shkatërrimit në masë.</w:t>
            </w:r>
          </w:p>
          <w:p w:rsidR="006E5B5B" w:rsidRPr="00245511" w:rsidRDefault="002C760A" w:rsidP="00A87413">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tc>
        <w:tc>
          <w:tcPr>
            <w:tcW w:w="1356" w:type="dxa"/>
            <w:shd w:val="clear" w:color="auto" w:fill="auto"/>
            <w:vAlign w:val="center"/>
          </w:tcPr>
          <w:p w:rsidR="006E5B5B" w:rsidRPr="00F727DA" w:rsidRDefault="002C760A"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2C760A" w:rsidRPr="002C760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 xml:space="preserve">Sugjerohet te shtohet nje nen lidhes ne ligjet sektoriale </w:t>
            </w:r>
          </w:p>
          <w:p w:rsidR="002C760A" w:rsidRPr="002C760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 ligjin e bankave,</w:t>
            </w:r>
          </w:p>
          <w:p w:rsidR="002C760A" w:rsidRPr="002C760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ligjin e sigurimeve;</w:t>
            </w:r>
          </w:p>
          <w:p w:rsidR="002C760A" w:rsidRPr="002C760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ligjin për lojërat e fatit</w:t>
            </w:r>
          </w:p>
          <w:p w:rsidR="002C760A" w:rsidRPr="002C760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ligjin për tregjet financiar</w:t>
            </w:r>
          </w:p>
          <w:p w:rsidR="002C760A" w:rsidRDefault="002C760A" w:rsidP="00A87413">
            <w:pPr>
              <w:snapToGrid w:val="0"/>
              <w:spacing w:after="0" w:line="240" w:lineRule="auto"/>
              <w:rPr>
                <w:rFonts w:ascii="Times New Roman" w:hAnsi="Times New Roman"/>
                <w:sz w:val="18"/>
                <w:szCs w:val="18"/>
              </w:rPr>
            </w:pPr>
          </w:p>
          <w:p w:rsidR="006E5B5B" w:rsidRPr="00F727DA" w:rsidRDefault="002C760A" w:rsidP="00A87413">
            <w:pPr>
              <w:snapToGrid w:val="0"/>
              <w:spacing w:after="0" w:line="240" w:lineRule="auto"/>
              <w:rPr>
                <w:rFonts w:ascii="Times New Roman" w:hAnsi="Times New Roman"/>
                <w:sz w:val="18"/>
                <w:szCs w:val="18"/>
              </w:rPr>
            </w:pPr>
            <w:r w:rsidRPr="002C760A">
              <w:rPr>
                <w:rFonts w:ascii="Times New Roman" w:hAnsi="Times New Roman"/>
                <w:sz w:val="18"/>
                <w:szCs w:val="18"/>
              </w:rPr>
              <w:t>Ushtrimi i veprimtarisë së subjekteve të rregulluara sipas këtij ligji i nënshtrohet gjithashtu detyrimeve, mbikëqyrjes, kompetencave dhe masave administrative të parashikuara në legjislacionin për parandalimin e pastrimit të parave, financimit të terrorizmit dhe financimit të armëve të shkatërrimit në masë. (Autoriteti mbikëqyrës) ushtron kompetencat e tij në përputhje me këtë legjislacion dhe në bashkërendim me kompetencat sektoriale të parashikuara në këtë ligj</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38</w:t>
            </w:r>
          </w:p>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Mbikëqyrja e formave të infrastrukturës së disa ndërmjetësve që operojnë nën lirinë për ofrimin e shërbimeve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veprimtaritë e subjekteve të detyruara të mëposhtme kryhen në territorin e tyre në bazë të lirisë për të ofruar shërbime përmes agjentëve ose shpërndarësve, ose përmes llojeve të tjera të infrastrukturës, duke përfshirë kur këto veprimtari kryhen nën një autorizim të marrë sipas Direktivës 2013/36/BE, shtetet anëtare garantojnë që këto veprimtari t’i nënshtrohen mbikëqyrjes nga mbikëqyrësit e tyre kombëtarë: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FE5582" w:rsidRPr="00FE5582" w:rsidRDefault="00FE5582" w:rsidP="00A87413">
            <w:pPr>
              <w:suppressAutoHyphens w:val="0"/>
              <w:spacing w:after="0" w:line="240" w:lineRule="auto"/>
              <w:rPr>
                <w:rFonts w:ascii="Times New Roman" w:hAnsi="Times New Roman"/>
                <w:sz w:val="18"/>
                <w:szCs w:val="18"/>
                <w:lang w:val="sq-AL" w:eastAsia="sq-AL" w:bidi="sq-AL"/>
              </w:rPr>
            </w:pPr>
            <w:r w:rsidRPr="00FE5582">
              <w:rPr>
                <w:rFonts w:ascii="Times New Roman" w:hAnsi="Times New Roman"/>
                <w:sz w:val="18"/>
                <w:szCs w:val="18"/>
                <w:lang w:val="sq-AL" w:eastAsia="sq-AL" w:bidi="sq-AL"/>
              </w:rPr>
              <w:t>Neni 40</w:t>
            </w:r>
          </w:p>
          <w:p w:rsidR="006E5B5B" w:rsidRPr="00FE5582" w:rsidRDefault="00FE5582" w:rsidP="00A87413">
            <w:pPr>
              <w:suppressAutoHyphens w:val="0"/>
              <w:spacing w:after="0" w:line="240" w:lineRule="auto"/>
              <w:rPr>
                <w:rFonts w:ascii="Times New Roman" w:hAnsi="Times New Roman"/>
                <w:b/>
                <w:sz w:val="18"/>
                <w:szCs w:val="18"/>
                <w:lang w:val="sq-AL" w:eastAsia="sq-AL" w:bidi="sq-AL"/>
              </w:rPr>
            </w:pPr>
            <w:r w:rsidRPr="00FE5582">
              <w:rPr>
                <w:rFonts w:ascii="Times New Roman" w:hAnsi="Times New Roman"/>
                <w:sz w:val="18"/>
                <w:szCs w:val="18"/>
                <w:lang w:val="sq-AL" w:eastAsia="sq-AL" w:bidi="sq-AL"/>
              </w:rPr>
              <w:t>Mbikëqyrja e agjentëve, distributorëve dhe strukturave të tjera të ndërmjetësve që operojnë në bazë të lirisë së ofrimit të shërbimeve</w:t>
            </w:r>
          </w:p>
        </w:tc>
        <w:tc>
          <w:tcPr>
            <w:tcW w:w="2064" w:type="dxa"/>
            <w:shd w:val="clear" w:color="auto" w:fill="auto"/>
            <w:vAlign w:val="center"/>
          </w:tcPr>
          <w:p w:rsidR="00434CAA" w:rsidRPr="00434CAA" w:rsidRDefault="00434CAA" w:rsidP="00A87413">
            <w:pPr>
              <w:suppressAutoHyphens w:val="0"/>
              <w:spacing w:after="0" w:line="240" w:lineRule="auto"/>
              <w:rPr>
                <w:rFonts w:ascii="Times New Roman" w:hAnsi="Times New Roman"/>
                <w:sz w:val="18"/>
                <w:szCs w:val="18"/>
                <w:lang w:val="sq-AL" w:eastAsia="sq-AL" w:bidi="sq-AL"/>
              </w:rPr>
            </w:pPr>
            <w:r w:rsidRPr="00434CAA">
              <w:rPr>
                <w:rFonts w:ascii="Times New Roman" w:hAnsi="Times New Roman"/>
                <w:sz w:val="18"/>
                <w:szCs w:val="18"/>
                <w:lang w:val="sq-AL" w:eastAsia="sq-AL" w:bidi="sq-AL"/>
              </w:rPr>
              <w:t>1. Kur veprimtaritë e subjekteve të detyruara të mëposhtme ushtrohen në territorin e Republikës së Shqipërisë në bazë të lirisë së ofrimit të shërbimeve, përmes agjentëve, distributorëve ose formave të tjera të pranishmërisë, përfshirë rastet kur këto veprimtari ushtrohen në bazë të një autorizimi të dhënë sipas legjislacionit në fuqi për institucionet e kreditit dhe mbikëqyrjen prudenciale të tyre, këto veprimtari i nënshtrohen mbikëqyrjes për qëllime të parandalimit të pastrimit të parave, financimit të terrorizmit apo financimit të përhapjes së armëve të dëmtimit në masë nga autoritetet mbikëqyrëse kompetente shqiptare për:</w:t>
            </w:r>
          </w:p>
          <w:p w:rsidR="006E5B5B" w:rsidRPr="00434CA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38 i Direktivës (BE) 2024/1640 rregullon mbikëqyrjen e veprimtarive të</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emetuesve të parasë elektronike, ofruesve të shërbimeve të pagesave dhe</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ofruesve të shërbimeve të kriptoaseteve që operojnë në territorin e një</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nën lirinë për të ofruar shërbime, përmes agjentëve, distributorëve</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ose formave të tjera infrastrukturore. Këto çështje rregullohen nga</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sektorial përkatës dhe nuk bien në fushën e zbatimit të ligjit</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nr. 9917, i cili është një ligj horizontal AML/CFT.</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parimin e mbikëqyrjes AML/CFT mbi bazë territoriale për subjektet e detyruara që ushtrojnë veprimtari në Republikën e Shqipërisë, pavarësisht juridiksionit të licencimit, përfshirë përmes agjentëve, përfaqësuesve ose formave të tjera organizative. Rregulli horizontal është parashikuar në ligjin AML, ndërsa modalitetet dhe kompetencat specifike të mbikëqyrjes rregullohen nga legjislacioni sektorial përkatës, në përputhje me strukturën institucionale kombëtare dhe statusin e Shqipërisë si vend jo-anëtar i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emetuesit e parasë elektronike siç përcaktohen në nenin 2, paragrafi 3 të Direktivës 2009/110/BE të Parlamentit Evropian dhe të Këshillit (42</w:t>
            </w:r>
            <w:r w:rsidRPr="00F727DA">
              <w:rPr>
                <w:rStyle w:val="FootnoteReference"/>
                <w:rFonts w:ascii="Times New Roman" w:hAnsi="Times New Roman"/>
                <w:sz w:val="18"/>
                <w:szCs w:val="18"/>
                <w:lang w:eastAsia="sq-AL" w:bidi="sq-AL"/>
              </w:rPr>
              <w:footnoteReference w:id="9"/>
            </w:r>
            <w:r w:rsidRPr="00F727DA">
              <w:rPr>
                <w:rFonts w:ascii="Times New Roman" w:hAnsi="Times New Roman"/>
                <w:sz w:val="18"/>
                <w:szCs w:val="18"/>
                <w:lang w:eastAsia="sq-AL" w:bidi="sq-AL"/>
              </w:rPr>
              <w:t xml:space="preserve"> );</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r w:rsidRPr="00F727DA">
              <w:rPr>
                <w:rFonts w:eastAsia="Calibri"/>
                <w:sz w:val="18"/>
                <w:szCs w:val="18"/>
                <w:lang w:val="en-GB" w:eastAsia="sq-AL" w:bidi="sq-AL"/>
              </w:rPr>
              <w:t>a) emetuesit e parasë elektronike, sipas legjislacionit në fuqi;</w:t>
            </w:r>
          </w:p>
        </w:tc>
        <w:tc>
          <w:tcPr>
            <w:tcW w:w="1356" w:type="dxa"/>
            <w:shd w:val="clear" w:color="auto" w:fill="auto"/>
          </w:tcPr>
          <w:p w:rsidR="006E5B5B" w:rsidRPr="00F727DA" w:rsidRDefault="006E5B5B" w:rsidP="00A8741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Ligji AML parashikon rregullin kornizë dhe ndarjen e kompetencave, ndërsa kriteret, procedurat dhe modalitetet konkrete të mbikëqyrjes rregullohen në legjislacionin sektorial përkatës nga autoritetet kompetente (BSH, AMF, MD, etj.), në përputhje me strukturën institucionale kombëtare.</w:t>
            </w:r>
          </w:p>
        </w:tc>
      </w:tr>
      <w:tr w:rsidR="006E5B5B" w:rsidRPr="00F727DA" w:rsidTr="00E24C86">
        <w:trPr>
          <w:trHeight w:val="983"/>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shërbimeve të pagesave siç përcaktohen në nenin 4, paragrafi 11 të Direktivës (BE) 2015/2366; dhe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ofruesit e shërbimeve të pagesave, sipas përkufizimit të legjislacionit në fuqi.</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shërbimeve të kriptoaseteve.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nënparagrafit të parë, mbikëqyrësit e shtetit anëtar ku kryhen veprimtaritë monitorojnë në mënyrë efektive dhe sigurojnë pajtueshmërinë me Rregulloret (BE) 2024/1624 dhe (BE) 2023/1113.</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ofruesit e shërbimeve të kripto aseteve, sipas përkufizimit të legjislacionit në fuqi.</w:t>
            </w:r>
          </w:p>
          <w:p w:rsidR="006E5B5B" w:rsidRPr="00F727DA" w:rsidRDefault="006E5B5B" w:rsidP="00A8741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kësaj pike, autoritetet mbikqyrëse kompetente shqiptare, në territorin e të cilit ushtrohen veprimtaritë, mbikëqyrin në mënyrë efektive zbatimin e tyre dhe sigurojnë përputhshmërinë me dispozitat e këtij ligji dhe me dispozitat që harmonizojnë Rregulloren (BE) 2024/1624 dhe Rregulloren (BE) 2023/1113.</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paragrafi 1, mbikëqyrja e agjentëve, shpërndarësve ose llojeve të tjera të infrastrukturës, të përmendura në këtë paragraf, kryhet nga mbikëqyrësi i shtetit anëtar ku ndodhet selia qendrore e subjektit të detyruar, kur: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2. Në përjashtim nga pika 1 e këtij neni, mbikëqyrja për qëllime të parandalimit të pastrimit të parave, financimit të terrorizmit dhe financimit të armëve të dëmtimit në masë e agjentëve, përfaqësuesve ose formave të tjera infrastrukturore të përmendura në atë pikë  kryhet nga autoriteti kompetent i juridiksionit ku ndodhet selia qendrore e subjektit të detyruar, kur: </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Përshtatje funksionale.</w:t>
            </w:r>
            <w:r w:rsidRPr="00F727DA">
              <w:rPr>
                <w:rFonts w:ascii="Times New Roman" w:hAnsi="Times New Roman"/>
                <w:sz w:val="18"/>
                <w:szCs w:val="18"/>
                <w:lang w:eastAsia="sq-AL" w:bidi="sq-AL"/>
              </w:rPr>
              <w:t xml:space="preserve"> Dispozita transpozon përjashtimin nga rregulli i mbikëqyrjes territoriale, duke parashikuar ushtrimin e mbikëqyrjes nga autoriteti i juridiksionit ku ndodhet selia e subjektit të detyruar, në rastet kur nuk plotësohen kriteret për mbikëqyrje territoriale. Referencat ndaj standardeve teknike të BE-së janë përshtatur në përputhje me kuadrin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përcaktuara në standardin teknik rregullator të përmendur në nenin 41, paragrafi 2 nuk janë përmbushur; dhe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434CAA" w:rsidRDefault="00434CAA" w:rsidP="00A87413">
            <w:pPr>
              <w:suppressAutoHyphens w:val="0"/>
              <w:spacing w:after="0" w:line="240" w:lineRule="auto"/>
              <w:rPr>
                <w:rFonts w:ascii="Times New Roman" w:hAnsi="Times New Roman"/>
                <w:sz w:val="18"/>
                <w:szCs w:val="18"/>
                <w:lang w:val="sq-AL" w:eastAsia="sq-AL" w:bidi="sq-AL"/>
              </w:rPr>
            </w:pPr>
            <w:r w:rsidRPr="00434CAA">
              <w:rPr>
                <w:rFonts w:ascii="Times New Roman" w:hAnsi="Times New Roman"/>
                <w:sz w:val="18"/>
                <w:szCs w:val="18"/>
                <w:lang w:val="sq-AL" w:eastAsia="sq-AL" w:bidi="sq-AL"/>
              </w:rPr>
              <w:t>a) kriteret për ushtrimin e mbikëqyrjes territoriale nuk plotësohen, sipas përcaktimeve të legjislacionit në fuqi;</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 i shtetit anëtar ku ndodhen këta agjentë, shpërndarës ose lloje të tjera të infrastrukturës njofton mbikëqyrësin e shtetit anëtar ku ndodhet selia qendrore e subjektit të detyruar se, duke marrë parasysh infrastrukturën e kufizuar të subjektit në territorin e tij, mbikëqyrja e veprimtarive të përmendura në paragrafin 1 duhet të kryhet nga mbikëqyrësi i shtetit anëtar ku ndodhet selia qendrore e subjektit të detyruar.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dhe financimit të armëve të dëmtimit në masë e veprimtarive të përmendura në pikën 1 kryhet nga autoriteti kompetent i juridiksionit ku ndodhet selia qendrore e subjektit të detyruar.</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neni, mbikëqyrësi i shtetit anëtar ku ndodhet selia qendrore e subjektit të detyruar dhe mbikëqyrësi i shtetit anëtar ku subjekti i detyruar operon në bazë të lirisë për të ofruar shërbime përmes agjentëve ose shpërndarësve ose përmes llojeve të tjera të infrastrukturës, i japin njëri-tjetrit çdo informacion të nevojshëm për të vlerësuar nëse janë përmbushur kriteret e përmendura në paragrafin 2, germa "a," duke përfshirë mbi çdo ndryshim në rrethanat e subjektit të detyruar që mund të ketë ndikim në përmbushjen e këtyre kritereve.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D2738" w:rsidRDefault="00FD2738" w:rsidP="00A87413">
            <w:pPr>
              <w:widowControl w:val="0"/>
              <w:spacing w:after="0" w:line="240" w:lineRule="auto"/>
              <w:rPr>
                <w:rFonts w:ascii="Times New Roman" w:hAnsi="Times New Roman"/>
                <w:bCs/>
                <w:sz w:val="18"/>
                <w:szCs w:val="18"/>
                <w:lang w:val="sq-AL" w:eastAsia="sq-AL" w:bidi="sq-AL"/>
              </w:rPr>
            </w:pPr>
            <w:r w:rsidRPr="00FD2738">
              <w:rPr>
                <w:rFonts w:ascii="Times New Roman" w:hAnsi="Times New Roman"/>
                <w:bCs/>
                <w:sz w:val="18"/>
                <w:szCs w:val="18"/>
                <w:lang w:val="sq-AL" w:eastAsia="sq-AL" w:bidi="sq-AL"/>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4817"/>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 i shtetit anëtar ku ndodhet selia qendrore e subjektit të detyruar të informojë subjektin e detyruar brenda 2 javëve nga marrja e njoftimit sipas paragrafit 2, germa “b”, se do të mbikëqyrë veprimtaritë e agjentëve, shpërndarësve ose llojeve të tjera të infrastrukturës, përmes të cilave subjektet e detyruara operojnë në bazë të lirisë së ofrimit të shërbimeve në një shtet tjetër anëtar, dhe për çdo ndryshim të mëvonshëm në mbikëqyrjen e tyre.</w:t>
            </w:r>
          </w:p>
        </w:tc>
        <w:tc>
          <w:tcPr>
            <w:tcW w:w="1266" w:type="dxa"/>
            <w:gridSpan w:val="2"/>
            <w:shd w:val="clear" w:color="auto" w:fill="auto"/>
            <w:vAlign w:val="center"/>
          </w:tcPr>
          <w:p w:rsidR="006E5B5B" w:rsidRPr="00F727DA" w:rsidRDefault="006E5B5B" w:rsidP="00A87413">
            <w:pPr>
              <w:snapToGrid w:val="0"/>
              <w:spacing w:after="0" w:line="240" w:lineRule="auto"/>
              <w:jc w:val="center"/>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rsidR="006E5B5B" w:rsidRPr="00202AD1" w:rsidRDefault="00202AD1" w:rsidP="00A87413">
            <w:pPr>
              <w:suppressAutoHyphens w:val="0"/>
              <w:spacing w:after="0" w:line="240" w:lineRule="auto"/>
              <w:rPr>
                <w:rFonts w:ascii="Times New Roman" w:hAnsi="Times New Roman"/>
                <w:sz w:val="18"/>
                <w:szCs w:val="18"/>
                <w:lang w:val="sq-AL" w:eastAsia="sq-AL" w:bidi="sq-AL"/>
              </w:rPr>
            </w:pPr>
            <w:r w:rsidRPr="00202AD1">
              <w:rPr>
                <w:rFonts w:ascii="Times New Roman" w:hAnsi="Times New Roman"/>
                <w:sz w:val="18"/>
                <w:szCs w:val="18"/>
                <w:lang w:val="sq-AL" w:eastAsia="sq-AL" w:bidi="sq-AL"/>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dëmtimit në masë mbi veprimtarinë e agjentëve, përfaqësuesve ose formave të tjera infrastrukturore, përmes të cilave subjekti ushtron veprimtari në një juridiksion tjetër. Çdo ndryshim pasues në mbikëqyrje i komunikohet subjektit të detyruar pa vonesë.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nen nuk zbatohet kur AMLA vepron në cilësinë e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 Dispozita i referohet rastit kur Autoriteti për Parandalimin e Pastrimit të Parave në nivel të Bashkimit Evropian (AMLA) ushtron funksione mbikëqyrëse. Duke qenë se Shqipëria nuk është shtet anëtar i Bashkimit Evropian dhe AMLA nuk ushtron kompetenca mbikëqyrëse në nivel kombëtar, kjo dispozitë nuk është e zbatueshme për transpozim në ligjin shqiptar.</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39</w:t>
            </w:r>
          </w:p>
          <w:p w:rsidR="006E5B5B" w:rsidRPr="00F727DA" w:rsidRDefault="006E5B5B" w:rsidP="00A87413">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Ofrimi i informacionit ndaj subjekteve të detyruara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vënë në dispozicion të subjekteve të detyruara nën mbikëqyrjen e tyre informacionin për pastrimin e parave dhe financimin e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8C098B" w:rsidRPr="008C098B" w:rsidRDefault="008C098B" w:rsidP="00A87413">
            <w:pPr>
              <w:widowControl w:val="0"/>
              <w:spacing w:after="0" w:line="240" w:lineRule="auto"/>
              <w:rPr>
                <w:rFonts w:ascii="Times New Roman" w:hAnsi="Times New Roman"/>
                <w:sz w:val="18"/>
                <w:szCs w:val="18"/>
                <w:lang w:val="sq-AL"/>
              </w:rPr>
            </w:pPr>
            <w:r w:rsidRPr="008C098B">
              <w:rPr>
                <w:rFonts w:ascii="Times New Roman" w:hAnsi="Times New Roman"/>
                <w:sz w:val="18"/>
                <w:szCs w:val="18"/>
                <w:lang w:val="sq-AL"/>
              </w:rPr>
              <w:t>Neni 41</w:t>
            </w:r>
          </w:p>
          <w:p w:rsidR="008C098B" w:rsidRPr="008C098B" w:rsidRDefault="008C098B" w:rsidP="00A87413">
            <w:pPr>
              <w:widowControl w:val="0"/>
              <w:spacing w:after="0" w:line="240" w:lineRule="auto"/>
              <w:rPr>
                <w:rFonts w:ascii="Times New Roman" w:hAnsi="Times New Roman"/>
                <w:sz w:val="18"/>
                <w:szCs w:val="18"/>
                <w:lang w:val="sq-AL"/>
              </w:rPr>
            </w:pPr>
            <w:r w:rsidRPr="008C098B">
              <w:rPr>
                <w:rFonts w:ascii="Times New Roman" w:hAnsi="Times New Roman"/>
                <w:sz w:val="18"/>
                <w:szCs w:val="18"/>
                <w:lang w:val="sq-AL"/>
              </w:rPr>
              <w:t>Informimi i subjekteve të detyruara</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1. Autoritetet mbikëqyrëse vënë në dispozicion për subjektet e detyruara që janë nën mbikëqyrjen e tyre informacionin e duhur mbi pastrimin e parave, financimin e terrorizmit dhe financimin e armëve të dëmtimit në masë. </w:t>
            </w:r>
          </w:p>
        </w:tc>
        <w:tc>
          <w:tcPr>
            <w:tcW w:w="1356" w:type="dxa"/>
            <w:shd w:val="clear" w:color="auto" w:fill="auto"/>
          </w:tcPr>
          <w:p w:rsidR="00816A1C" w:rsidRDefault="00816A1C" w:rsidP="00A87413">
            <w:pPr>
              <w:spacing w:after="0"/>
              <w:jc w:val="center"/>
              <w:rPr>
                <w:rFonts w:ascii="Times New Roman" w:hAnsi="Times New Roman"/>
                <w:sz w:val="18"/>
                <w:szCs w:val="18"/>
                <w:lang w:eastAsia="sq-AL" w:bidi="sq-AL"/>
              </w:rPr>
            </w:pPr>
          </w:p>
          <w:p w:rsidR="00816A1C" w:rsidRDefault="00816A1C" w:rsidP="00A87413">
            <w:pPr>
              <w:spacing w:after="0"/>
              <w:jc w:val="center"/>
              <w:rPr>
                <w:rFonts w:ascii="Times New Roman" w:hAnsi="Times New Roman"/>
                <w:sz w:val="18"/>
                <w:szCs w:val="18"/>
                <w:lang w:eastAsia="sq-AL" w:bidi="sq-AL"/>
              </w:rPr>
            </w:pPr>
          </w:p>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paragrafin 1 përfshin sa më poshtë: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2.</w:t>
            </w:r>
            <w:r w:rsidRPr="00F727DA">
              <w:rPr>
                <w:rFonts w:eastAsia="Calibri"/>
                <w:sz w:val="18"/>
                <w:szCs w:val="18"/>
                <w:lang w:val="en-GB" w:eastAsia="sq-AL" w:bidi="sq-AL"/>
              </w:rPr>
              <w:t xml:space="preserve"> Informacioni i përmendur në pikën 1 përfshin, ndër të tjera:</w:t>
            </w:r>
          </w:p>
          <w:p w:rsidR="006E5B5B" w:rsidRPr="00F727DA" w:rsidRDefault="006E5B5B" w:rsidP="00A87413">
            <w:pPr>
              <w:pStyle w:val="NormalWeb"/>
              <w:widowControl w:val="0"/>
              <w:snapToGrid w:val="0"/>
              <w:spacing w:before="0" w:beforeAutospacing="0" w:after="0" w:afterAutospacing="0"/>
              <w:rPr>
                <w:sz w:val="18"/>
                <w:szCs w:val="18"/>
                <w:lang w:eastAsia="sq-AL" w:bidi="sq-AL"/>
              </w:rPr>
            </w:pPr>
          </w:p>
        </w:tc>
        <w:tc>
          <w:tcPr>
            <w:tcW w:w="1356" w:type="dxa"/>
            <w:shd w:val="clear" w:color="auto" w:fill="auto"/>
            <w:vAlign w:val="center"/>
          </w:tcPr>
          <w:p w:rsidR="006E5B5B" w:rsidRPr="00F727DA" w:rsidRDefault="006E5B5B" w:rsidP="00A8741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vënien në dispozicion të subjekteve të detyruara të informacionit përkatës mbi rreziqet e pastrimit të parave, financimit të terrorizmit dhe financimit të armëve të shkatërrimit në masë, duke përfshirë vlerësime rreziku, udhëzime, rekomandime, tipologji dhe informacion mbi juridiksione me risk të lartë. Referencat ndaj strukturave dhe akteve të Bashkimit Evropian janë përshtatur përmes përdorimit të autoriteteve kompetente kombëtare dhe burimeve ndërkombëtare përkatëse, në përputhje me statusin e Shqipërisë si vend jo-anëtar i BE-së dhe me qëllimin informues të dispozitës.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vlerësimin e rrezikut në nivel BE-je të kryer nga Komisioni në përputhje me nenin 7 dhe çdo rekomandim përkatës nga Komisioni në bazë të këtij neni;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 vlerësimet e rrezikut të kryera në nivel ndërkombëtar ose rajonal, si dhe çdo rekomandim përkatës i nxjerrë mbi bazën e këtyre vlerësimeve, në masën që janë të zbatueshme për Shqipërinë.</w:t>
            </w: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vlerësimet kombëtare ose sektoriale të rrezikut të kryera sipas nenit 8;</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vlerësimet kombëtare ose sektoriale të rrezikut të kryera në përputhje me këtë ligj;</w:t>
            </w:r>
          </w:p>
        </w:tc>
        <w:tc>
          <w:tcPr>
            <w:tcW w:w="1356" w:type="dxa"/>
            <w:shd w:val="clear" w:color="auto" w:fill="auto"/>
          </w:tcPr>
          <w:p w:rsidR="006E5B5B" w:rsidRPr="00F727DA" w:rsidRDefault="006E5B5B" w:rsidP="00A8741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udhëzimet, rekomandimet dhe opinionet përkatëse të nxjerra nga AMLA në përputhje me nenet 54 dhe 55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16A1C"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c)</w:t>
            </w:r>
            <w:r w:rsidRPr="00F727DA">
              <w:rPr>
                <w:rFonts w:eastAsia="Calibri"/>
                <w:sz w:val="18"/>
                <w:szCs w:val="18"/>
                <w:lang w:val="en-GB" w:eastAsia="sq-AL" w:bidi="sq-AL"/>
              </w:rPr>
              <w:t xml:space="preserve"> udhëzime, rekomandime dhe opinione të nxjerra nga autoritetet kompetente kombëtare, si dhe, sipas rastit, nga organizata ose mekanizma ndërkombëtarë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informacionet për vendet e treta të identifikuara sipas kreut III, seksioni 2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816A1C" w:rsidRDefault="00816A1C" w:rsidP="00A87413">
            <w:pPr>
              <w:pStyle w:val="NormalWeb"/>
              <w:spacing w:before="0" w:beforeAutospacing="0" w:after="0" w:afterAutospacing="0"/>
              <w:rPr>
                <w:bCs/>
                <w:sz w:val="18"/>
                <w:szCs w:val="18"/>
                <w:lang w:val="sq-AL" w:eastAsia="sq-AL" w:bidi="sq-AL"/>
              </w:rPr>
            </w:pPr>
            <w:r w:rsidRPr="00816A1C">
              <w:rPr>
                <w:bCs/>
                <w:sz w:val="18"/>
                <w:szCs w:val="18"/>
                <w:lang w:val="sq-AL" w:eastAsia="sq-AL" w:bidi="sq-AL"/>
              </w:rPr>
              <w:t>d) informacion mbi shtete ose juridiksione të identifikuara si me risk të lartë ose që paraqesin mangësi strategjike në fushën e parandalimit të pastrimit të parave, financimit të terrorizmit ose financimit të armëve të dëmtimit në masë, në përputhje me vlerësimet dhe listimet përkatëse ndërkombëtare sipas përcaktimeve ne seksioni 2 të Rregullores (BE) 2024/1624.</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udhëzim dhe raport të përgatitur nga AMLA, mbikëqyrës të tjerë dhe, sipas rastit, nga autoriteti publik që mbikëqyr organet vetërregulluese, NjIF-ja ose çdo autoritet tjetër kompetent ose nga organizata ndërkombëtare dhe përcaktues të standardeve në lidhje me metodat e pastrimit të parave dhe financimit të terrorizmit që mund të zbatohen për një sektor dhe treguesit që mund të lehtësojnë identifikimin e transaksioneve ose veprimtarive që rrezikojnë të lidhen me pastrimin e parave dhe financimin e terrorizmit në atë sektor, si dhe udhëzimet për detyrimet e subjekteve të detyruara në lidhje me sanksionet financiare të targetuara.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e)</w:t>
            </w:r>
            <w:r w:rsidRPr="00F727DA">
              <w:rPr>
                <w:rFonts w:ascii="Times New Roman" w:hAnsi="Times New Roman"/>
                <w:sz w:val="18"/>
                <w:szCs w:val="18"/>
                <w:lang w:eastAsia="sq-AL" w:bidi="sq-AL"/>
              </w:rPr>
              <w:t xml:space="preserve"> çdo udhëzim, raport ose dokument orientues i hartuar nga autoritetet kompetente kombëtare, autoritetet mbikëqyrëse, Agjencia e Inteligjencës Financiare, autoritetet publike që mbikëqyrin organet vetërregulluese, si dhe, </w:t>
            </w:r>
            <w:r w:rsidRPr="00F727DA">
              <w:rPr>
                <w:rFonts w:ascii="Times New Roman" w:hAnsi="Times New Roman"/>
                <w:bCs/>
                <w:sz w:val="18"/>
                <w:szCs w:val="18"/>
                <w:lang w:eastAsia="sq-AL" w:bidi="sq-AL"/>
              </w:rPr>
              <w:t>për qëllime referimi</w:t>
            </w:r>
            <w:r w:rsidRPr="00F727DA">
              <w:rPr>
                <w:rFonts w:ascii="Times New Roman" w:hAnsi="Times New Roman"/>
                <w:sz w:val="18"/>
                <w:szCs w:val="18"/>
                <w:lang w:eastAsia="sq-AL" w:bidi="sq-AL"/>
              </w:rPr>
              <w:t>, nga institucionet dhe organet e Bashkimit Evropian, organizatat ndërkombëtare si dhe nga hartuesit e standardeve, lidhur me mënyrat e pastrimit të parave,  financimit të terrorizmit dhe financimit të armëve të dëmtimit në masë që mund të zbatohen në një sektor të caktuar, si dhe treguesit që lehtësojnë identifikimin e transaksioneve ose veprimtarive me rrezik, si dhe udhëzime mbi detyrimet e subjekteve të detyruara në lidhje me sanksionet financiare të synuara.</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kryejnë veprimtari informimi, sipas rastit, për të informuar subjektet e detyruara nën mbikëqyrjen e tyre lidhur me detyrimet e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3.</w:t>
            </w:r>
            <w:r w:rsidRPr="00F727DA">
              <w:rPr>
                <w:rFonts w:ascii="Times New Roman" w:hAnsi="Times New Roman"/>
                <w:sz w:val="18"/>
                <w:szCs w:val="18"/>
                <w:lang w:eastAsia="sq-AL" w:bidi="sq-AL"/>
              </w:rPr>
              <w:t xml:space="preserve"> Autoritetet mbikëqyrëse </w:t>
            </w:r>
            <w:r w:rsidRPr="00F727DA">
              <w:rPr>
                <w:rFonts w:ascii="Times New Roman" w:hAnsi="Times New Roman"/>
                <w:bCs/>
                <w:sz w:val="18"/>
                <w:szCs w:val="18"/>
                <w:lang w:eastAsia="sq-AL" w:bidi="sq-AL"/>
              </w:rPr>
              <w:t>kryejnë</w:t>
            </w:r>
            <w:r w:rsidRPr="00F727DA">
              <w:rPr>
                <w:rFonts w:ascii="Times New Roman" w:hAnsi="Times New Roman"/>
                <w:sz w:val="18"/>
                <w:szCs w:val="18"/>
                <w:lang w:eastAsia="sq-AL" w:bidi="sq-AL"/>
              </w:rPr>
              <w:t xml:space="preserve"> veprimtari informuese dhe ndërgjegjësuese, sipas rastit, për të informuar subjektet e detyruara që janë nën mbikëqyrjen e tyre mbi detyrimet që rrjedhin nga legjislacioni për parandalimin e pastrimit të parave, financimit të terrorizmit dhe financimit të armëve të shkatërrimit në masë.</w:t>
            </w: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e autoriteteve mbikëqyrëse për të kryer veprimtari informuese dhe ndërgjegjësuese ndaj subjekteve të detyruara nën mbikëqyrjen e tyre, duke siguruar informimin mbi detyrimet ligjore në fushën e parandalimit të pastrimit të parave, financimit të terrorizmit dhe financimit të armëve të shkatërrimit në masë. Formulimi ruan karakterin detyrues të dispozitës, ndërkohë që lejon fleksibilitet në modalitetet e zbatimit, në përputhje me nivelin e rrezikut dhe kompetencat sektoriale.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vënë menjëherë në dispozicion të subjekteve të detyruara nën mbikëqyrjen e tyre informacionin mbi persona ose subjekte të caktuara në lidhje me sanksionet financiare të targetuara dhe sanksionet financiare të OKB-së.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16A1C" w:rsidRPr="00816A1C" w:rsidRDefault="00816A1C" w:rsidP="00A87413">
            <w:pPr>
              <w:widowControl w:val="0"/>
              <w:spacing w:after="0" w:line="240" w:lineRule="auto"/>
              <w:rPr>
                <w:rFonts w:ascii="Times New Roman" w:hAnsi="Times New Roman"/>
                <w:sz w:val="18"/>
                <w:szCs w:val="18"/>
                <w:lang w:val="sq-AL" w:eastAsia="sq-AL" w:bidi="sq-AL"/>
              </w:rPr>
            </w:pPr>
            <w:r w:rsidRPr="00816A1C">
              <w:rPr>
                <w:rFonts w:ascii="Times New Roman" w:hAnsi="Times New Roman"/>
                <w:sz w:val="18"/>
                <w:szCs w:val="18"/>
                <w:lang w:val="sq-AL" w:eastAsia="sq-AL" w:bidi="sq-AL"/>
              </w:rPr>
              <w:t xml:space="preserve">4. Autoritetet mbikëqyrëse sigurojnë që menjëherë t’u vihet në dispozicion subjekteve të detyruara që janë nën mbikëqyrjen e tyre., informacioni mbi personat apo entitetet e shpaluara në lidhje me masat shtrënguese ndërkombëtare dhe masat kundër financimit të terrorizmit të vendosura nga Kombet e Bashkuara. </w:t>
            </w:r>
          </w:p>
          <w:p w:rsidR="006E5B5B" w:rsidRPr="00816A1C" w:rsidRDefault="00816A1C" w:rsidP="00A87413">
            <w:pPr>
              <w:widowControl w:val="0"/>
              <w:spacing w:after="0" w:line="240" w:lineRule="auto"/>
              <w:rPr>
                <w:rFonts w:ascii="Times New Roman" w:hAnsi="Times New Roman"/>
                <w:sz w:val="18"/>
                <w:szCs w:val="18"/>
                <w:lang w:val="sq-AL" w:eastAsia="sq-AL" w:bidi="sq-AL"/>
              </w:rPr>
            </w:pPr>
            <w:r w:rsidRPr="00816A1C">
              <w:rPr>
                <w:rFonts w:ascii="Times New Roman" w:hAnsi="Times New Roman"/>
                <w:sz w:val="18"/>
                <w:szCs w:val="18"/>
                <w:lang w:val="sq-AL" w:eastAsia="sq-AL" w:bidi="sq-AL"/>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e autoriteteve mbikëqyrëse për të vënë në dispozicion të subjekteve të detyruara informacion mbi rreziqet e pastrimit të parave, financimit të terrorizmit dhe financimit të armëve të shkatërrimit në masë, për të kryer veprimtari informuese dhe ndërgjegjësuese, si dhe për të komunikuar menjëherë informacionin mbi sanksionet financiare të synuara. Neni është formuluar si dispozitë kornizë, ndërsa rregullat dhe procedurat e hollësishme të zbatimit parashikohen në legjislacionin sektorial përkatës, në përputhje me kompetencat e autoriteteve mbikëqyrëse dhe statusin e Shqipërisë si vend jo-anëtar i Bashkimit Evropian.</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Heading2"/>
              <w:spacing w:before="0" w:beforeAutospacing="0" w:after="0" w:afterAutospacing="0" w:line="276" w:lineRule="auto"/>
              <w:rPr>
                <w:rFonts w:eastAsia="Calibri"/>
                <w:bCs w:val="0"/>
                <w:sz w:val="18"/>
                <w:szCs w:val="18"/>
                <w:lang w:val="en-GB" w:eastAsia="sq-AL" w:bidi="sq-AL"/>
              </w:rPr>
            </w:pPr>
            <w:r w:rsidRPr="00F727DA">
              <w:rPr>
                <w:rFonts w:eastAsia="Calibri"/>
                <w:bCs w:val="0"/>
                <w:sz w:val="18"/>
                <w:szCs w:val="18"/>
                <w:lang w:val="en-GB" w:eastAsia="sq-AL" w:bidi="sq-AL"/>
              </w:rPr>
              <w:t>Neni 40</w:t>
            </w:r>
          </w:p>
          <w:p w:rsidR="006E5B5B" w:rsidRPr="00F727DA" w:rsidRDefault="006E5B5B" w:rsidP="00A87413">
            <w:pPr>
              <w:pStyle w:val="Heading2"/>
              <w:spacing w:before="0" w:beforeAutospacing="0" w:after="0" w:afterAutospacing="0" w:line="276" w:lineRule="auto"/>
              <w:rPr>
                <w:rFonts w:eastAsia="Calibri"/>
                <w:b w:val="0"/>
                <w:bCs w:val="0"/>
                <w:sz w:val="18"/>
                <w:szCs w:val="18"/>
                <w:lang w:val="en-GB" w:eastAsia="sq-AL" w:bidi="sq-AL"/>
              </w:rPr>
            </w:pPr>
            <w:r w:rsidRPr="00F727DA">
              <w:rPr>
                <w:rFonts w:eastAsia="Calibri"/>
                <w:bCs w:val="0"/>
                <w:sz w:val="18"/>
                <w:szCs w:val="18"/>
                <w:lang w:val="en-GB" w:eastAsia="sq-AL" w:bidi="sq-AL"/>
              </w:rPr>
              <w:t>Mbikëqyrja e bazuar në risk</w:t>
            </w:r>
            <w:r w:rsidRPr="00F727DA">
              <w:rPr>
                <w:rFonts w:eastAsia="Calibri"/>
                <w:b w:val="0"/>
                <w:bCs w:val="0"/>
                <w:sz w:val="18"/>
                <w:szCs w:val="18"/>
                <w:lang w:val="en-GB" w:eastAsia="sq-AL" w:bidi="sq-AL"/>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3" w:name="_Hlk220320726"/>
            <w:r w:rsidRPr="00F727DA">
              <w:rPr>
                <w:rFonts w:ascii="Times New Roman" w:hAnsi="Times New Roman"/>
                <w:sz w:val="18"/>
                <w:szCs w:val="18"/>
              </w:rPr>
              <w:t>40(1)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zbatojnë një qasje të bazuar në rrezik ndaj mbikëqyrjes. Për këtë qëllim, shtetet anëtare sigurohen që ata: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564BA" w:rsidRPr="005564BA" w:rsidRDefault="005564BA" w:rsidP="00A87413">
            <w:pPr>
              <w:pStyle w:val="Heading2"/>
              <w:spacing w:before="0" w:beforeAutospacing="0" w:after="0" w:afterAutospacing="0"/>
              <w:rPr>
                <w:b w:val="0"/>
                <w:sz w:val="18"/>
                <w:szCs w:val="18"/>
                <w:lang w:val="sq-AL" w:eastAsia="sq-AL" w:bidi="sq-AL"/>
              </w:rPr>
            </w:pPr>
            <w:r w:rsidRPr="005564BA">
              <w:rPr>
                <w:b w:val="0"/>
                <w:sz w:val="18"/>
                <w:szCs w:val="18"/>
                <w:lang w:val="sq-AL" w:eastAsia="sq-AL" w:bidi="sq-AL"/>
              </w:rPr>
              <w:t>Neni 42</w:t>
            </w:r>
          </w:p>
          <w:p w:rsidR="005564BA" w:rsidRPr="005564BA" w:rsidRDefault="005564BA" w:rsidP="00A87413">
            <w:pPr>
              <w:pStyle w:val="Heading2"/>
              <w:spacing w:before="0" w:beforeAutospacing="0" w:after="0" w:afterAutospacing="0"/>
              <w:rPr>
                <w:b w:val="0"/>
                <w:sz w:val="18"/>
                <w:szCs w:val="18"/>
                <w:lang w:val="sq-AL" w:eastAsia="sq-AL" w:bidi="sq-AL"/>
              </w:rPr>
            </w:pPr>
            <w:r w:rsidRPr="005564BA">
              <w:rPr>
                <w:b w:val="0"/>
                <w:sz w:val="18"/>
                <w:szCs w:val="18"/>
                <w:lang w:val="sq-AL" w:eastAsia="sq-AL" w:bidi="sq-AL"/>
              </w:rPr>
              <w:t>Mbikëqyrja e bazuar në rrezik</w:t>
            </w:r>
          </w:p>
          <w:p w:rsidR="006E5B5B" w:rsidRPr="005564BA" w:rsidRDefault="006E5B5B" w:rsidP="00A87413">
            <w:pPr>
              <w:pStyle w:val="Heading2"/>
              <w:spacing w:before="0" w:beforeAutospacing="0" w:after="0" w:afterAutospacing="0"/>
              <w:rPr>
                <w:b w:val="0"/>
                <w:sz w:val="18"/>
                <w:szCs w:val="18"/>
                <w:lang w:eastAsia="sq-AL" w:bidi="sq-AL"/>
              </w:rPr>
            </w:pPr>
          </w:p>
        </w:tc>
        <w:tc>
          <w:tcPr>
            <w:tcW w:w="2064"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 xml:space="preserve">1. Autoritetet mbikëqyrëse zbatojnë një qasje të bazuar në rrezik në ushtrimin e mbikëqyrjes së subjekteve të detyruara. </w:t>
            </w:r>
          </w:p>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Për këtë qëllim, autoritetet mbikëqyrëse sigurojnë që:</w:t>
            </w:r>
          </w:p>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Dispozita transpozon detyrimin që autoritetet mbikëqyrëse të ushtrojnë mbikëqyrjen mbi bazën e një qasjeje të bazuar në rrezik, duke siguruar një kuptim të qartë dhe të përditësuar të rreziqeve të pastrimit të parave dhe financimit të terrorizmit në nivel kombëtar. Ky detyrim lidhet drejtpërdrejt me rezultatet e Vlerësimit Kombëtar të Rrezikut dhe shërben si bazë për planifikimin dhe intensitetin e veprimtarive mbikëqyrëse.</w:t>
            </w:r>
          </w:p>
        </w:tc>
      </w:tr>
      <w:bookmarkEnd w:id="3"/>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kuptojnë qartë rreziqet e pastrimit të parave dhe financimit të terrorizmit ekzistuese në shtetin e tyre anëtar;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a)</w:t>
            </w:r>
            <w:r w:rsidRPr="00F727DA">
              <w:rPr>
                <w:rFonts w:eastAsia="Calibri"/>
                <w:sz w:val="18"/>
                <w:szCs w:val="18"/>
                <w:lang w:val="en-GB" w:eastAsia="sq-AL" w:bidi="sq-AL"/>
              </w:rPr>
              <w:t xml:space="preserve"> të kuptojnë qartë rreziqet e  pastrimit të parave, financimit të terrorizmit dhe financimit të arëmëve të dëmtimit në masë që janë të pranishme në Republikën e Shqipërisë.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tcPr>
          <w:p w:rsidR="006E5B5B" w:rsidRPr="00F727DA" w:rsidRDefault="006E5B5B" w:rsidP="00A87413">
            <w:pPr>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vlerësojnë të gjithë informacionin përkatës mbi rreziqet specifike vendase dhe ndërkombëtare që lidhen me klientët, produktet dhe shërbimet e subjekteve të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të vlerësojnë të gjithë informacionin përkatës mbi rreziqet kombëtare dhe ndërkombëtare që lidhen me klientët, produktet dhe shërbimet e subjekteve të detyruara.</w:t>
            </w: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e autoriteteve mbikëqyrëse për të vlerësuar informacionin përkatës mbi rreziqet kombëtare dhe ndërkombëtare që lidhen me klientët, produktet dhe shërbimet e subjekteve të detyruara, si pjesë e zbatimit të qasjes së bazuar në rrezik. Kjo vlerësim shërben si bazë për përcaktimin e fokusit, intensitetit dhe prioriteteve të mbikëqyrjes.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4" w:name="_Hlk220320816"/>
            <w:r w:rsidRPr="00F727DA">
              <w:rPr>
                <w:rFonts w:ascii="Times New Roman" w:hAnsi="Times New Roman"/>
                <w:sz w:val="18"/>
                <w:szCs w:val="18"/>
              </w:rPr>
              <w:t>40(1)(c)</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ta bazojnë shpeshtësinë dhe intensitetin e mbikëqyrjes në terren, jashtë terrenit dhe asaj tematike në profilin e rrezikut të subjekteve të detyruara, si dhe në rreziqet e pastrimit të parave dhe financimit të terrorizmit në atë shtet anëtar.</w:t>
            </w:r>
          </w:p>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germës “c” të nënparagrafit të parë të këtij paragrafi, mbikëqyrësit përgatisin programe vjetore mbikëqyrjeje, të cilat marrin parasysh afatet kohore dhe burimet e nevojshme për të reaguar menjëherë në rast të treguesve objektivë dhe të konsiderueshëm të shkeljeve të Rregulloreve (BE) 2024/1624 dhe (BE) 2023/1113.</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autoSpaceDE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c) të bazojnë shpeshtësinë dhe intensitetin e mbikëqyrjes në në vend dhe në distancë dhe tematike në profilin e rrezikut të subjekteve të detyruara, si dhe në rreziqet e pastrimit të parave, financimit të terrorizmit dhe financimit të armëve të dëmtimit në masë në nivel kombëtar.</w:t>
            </w:r>
          </w:p>
          <w:p w:rsidR="006E5B5B" w:rsidRPr="00F727DA" w:rsidRDefault="006E5B5B" w:rsidP="00A87413">
            <w:pPr>
              <w:pStyle w:val="NormalWeb"/>
              <w:autoSpaceDE w:val="0"/>
              <w:spacing w:before="0" w:beforeAutospacing="0" w:after="0" w:afterAutospacing="0"/>
              <w:rPr>
                <w:sz w:val="18"/>
                <w:szCs w:val="18"/>
                <w:lang w:eastAsia="sq-AL" w:bidi="sq-AL"/>
              </w:rPr>
            </w:pPr>
            <w:r w:rsidRPr="00F727DA">
              <w:rPr>
                <w:rFonts w:eastAsia="Calibri"/>
                <w:sz w:val="18"/>
                <w:szCs w:val="18"/>
                <w:lang w:val="en-GB" w:eastAsia="sq-AL" w:bidi="sq-AL"/>
              </w:rPr>
              <w:t>Për qëllimet e kësaj pike, autoritetet mbikëqyrëse hartojnë programe vjetore mbikëqyrjeje, të cilat marrin në konsideratë afatet dhe burimet e nevojshme për të reaguar në mënyrë të menjëhershme në rast të treguesve objektivë dhe domethënës të shkeljeve të legjislacionit për parandalimin e pastrimit të parave, financimit të terrorizmit dhe financimit të armëve të dëmtimit në masë, si dhe të masave shtrënguese ndërkombëtare.</w:t>
            </w:r>
          </w:p>
        </w:tc>
        <w:tc>
          <w:tcPr>
            <w:tcW w:w="1356" w:type="dxa"/>
            <w:shd w:val="clear" w:color="auto" w:fill="auto"/>
            <w:vAlign w:val="center"/>
          </w:tcPr>
          <w:p w:rsidR="006E5B5B" w:rsidRPr="00F727DA" w:rsidRDefault="006E5B5B" w:rsidP="00A87413">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që autoritetet mbikëqyrëse të përcaktojnë shpeshtësinë dhe intensitetin e mbikëqyrjes në bazë të profilit të rrezikut të subjekteve të detyruara dhe të rreziqeve kombëtare të pastrimit të parave, financimit të terrorizmit dhe financimit të armëve të dëmtimit në masë. Parashikimi i programeve vjetore të mbikëqyrjes siguron planifikim të strukturuar dhe aftësi reagimi në kohë ndaj treguesve objektivë të shkeljeve të kuadrit AML/CFT/CPF.</w:t>
            </w:r>
          </w:p>
        </w:tc>
      </w:tr>
      <w:bookmarkEnd w:id="4"/>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40(2)</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përcaktojnë standardet dhe metodologjinë për vlerësimin dhe klasifikimin e profilit të rrezikut të qenësishëm dhe të mbetur të subjekteve të detyruara, si dhe shpeshtësinë me të cilën do të rishikohet ky profil rreziku. Kjo shpeshtësi merr parasysh çdo ngjarje ose zhvillim madhor në menaxhimin dhe operacionet e subjektit të detyruar, si dhe natyrën dhe përmasat e biznesit.</w:t>
            </w:r>
          </w:p>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2. Autoritetet mbikëqyrëse për zbatimin e mbikqyrejes së bazuar në rrezik zbatojnë kritere dhe metodologji të standardizuara për vlerësimin dhe klasifikimin e </w:t>
            </w:r>
            <w:r w:rsidRPr="00F727DA">
              <w:rPr>
                <w:rFonts w:eastAsia="Calibri"/>
                <w:bCs/>
                <w:sz w:val="18"/>
                <w:szCs w:val="18"/>
                <w:lang w:val="en-GB" w:eastAsia="sq-AL" w:bidi="sq-AL"/>
              </w:rPr>
              <w:t>profilit të rrezikut të natyrshëm</w:t>
            </w:r>
            <w:r w:rsidRPr="00F727DA">
              <w:rPr>
                <w:rFonts w:eastAsia="Calibri"/>
                <w:sz w:val="18"/>
                <w:szCs w:val="18"/>
                <w:lang w:val="en-GB" w:eastAsia="sq-AL" w:bidi="sq-AL"/>
              </w:rPr>
              <w:t xml:space="preserve"> dhe të </w:t>
            </w:r>
            <w:r w:rsidRPr="00F727DA">
              <w:rPr>
                <w:rFonts w:eastAsia="Calibri"/>
                <w:bCs/>
                <w:sz w:val="18"/>
                <w:szCs w:val="18"/>
                <w:lang w:val="en-GB" w:eastAsia="sq-AL" w:bidi="sq-AL"/>
              </w:rPr>
              <w:t>profilit të rrezikut të mbetur</w:t>
            </w:r>
            <w:r w:rsidRPr="00F727DA">
              <w:rPr>
                <w:rFonts w:eastAsia="Calibri"/>
                <w:sz w:val="18"/>
                <w:szCs w:val="18"/>
                <w:lang w:val="en-GB" w:eastAsia="sq-AL" w:bidi="sq-AL"/>
              </w:rPr>
              <w:t xml:space="preserve"> të subjekteve të detyruara, si dhe për përcaktimin e shpeshtësisë së rishikimit të këtij profili rreziku.</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Shpeshtësia e rishikimit të profilit të rrezikut merr në konsideratë, ndër të tjera, ndryshime të rëndësishme në strukturën, menaxhimin ose veprimtarinë e subjektit të detyruar, si dhe natyrën, përmasën dhe kompleksitetin e veprimtarisë së tij.</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Kriteret, metodologjia dhe procedurat përkatëse përcaktohen në ligjet sektoriale apo nënligjore, sipas fushës së kompetencave të secilit autoritet mbikëqyrës.</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kërkesën për përdorimin e kritereve dhe metodologjive të standardizuara për vlerësimin dhe klasifikimin e profileve të rrezikut të subjekteve të detyruara dhe për rishikimin periodik të tyre, në kuadër të mbikëqyrjes së bazuar në rrezik. Referencat ndaj AMLA-s dhe Komisionit Evropian janë përshtatur përmes parashikimit të kompetencës së autoriteteve mbikëqyrëse kombëtare për të rregulluar këto elemente nëpërmjet akteve nënligjore ose legjislacionit sektorial, në përputhje me kuadrin institucional kombëtar dhe statusin e Shqipërisë si vend jo-anëtar i Bashkimit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udhëzime adresuar mbikëqyrësve mbi: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40(3)(a)</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karakteristikat e qasjes së bazuar në rrezik për mbikëqyrjen;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40(3)(b)</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që duhet të merren në radhët e mbikëqyrësve për të siguruar mbikëqyrje të përshtatshme dhe efektive, duke përfshirë trajnimin e stafit të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40(3)(c)</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hapat që duhet të ndërmerren në kryerjen e mbikëqyrjes në bazë të rrezikut.</w:t>
            </w:r>
          </w:p>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Sipas rastit, udhëzimet e përmendura në nënparagrafin e parë marrin parasysh rezultatet e vlerësimeve të kryera në përputhje me nenet 30 dhe 35 të Rregullores (BE) nr.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marrin parasysh shkallën e diskrecionit që i lejohet subjektit të detyruar dhe të rishikojnë siç duhet vlerësimet e rrezikut në themel të këtij diskrecioni, si dhe përshtatshmërinë e politikave, procedurave dhe kontrolleve të brendshme të subjektit.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Autoritetet mbikëqyrëse, gjatë ushtrimit të funksioneve të tyre mbikëqyrëse në fushën e parandalimit të pastrimit të parave, financimit të terrorizmit dhe financimit të armëve të dëmtimit në masë, marrin në konsideratë </w:t>
            </w:r>
            <w:r w:rsidRPr="00F727DA">
              <w:rPr>
                <w:rFonts w:eastAsia="Calibri"/>
                <w:bCs/>
                <w:sz w:val="18"/>
                <w:szCs w:val="18"/>
                <w:lang w:val="en-GB" w:eastAsia="sq-AL" w:bidi="sq-AL"/>
              </w:rPr>
              <w:t>hapësirën e vlerësimit të lejuar nga kuadri ligjor</w:t>
            </w:r>
            <w:r w:rsidRPr="00F727DA">
              <w:rPr>
                <w:rFonts w:eastAsia="Calibri"/>
                <w:sz w:val="18"/>
                <w:szCs w:val="18"/>
                <w:lang w:val="en-GB" w:eastAsia="sq-AL" w:bidi="sq-AL"/>
              </w:rPr>
              <w:t xml:space="preserve"> (diskrecionin) që ushtrohet nga subjektet e detyruara në zbatimin e qasjes së bazuar në rrezik.</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Për këtë qëllim, autoritetet mbikëqyrëse shqyrtojnë dhe vlerësojnë në mënyrë të përshtatshme vlerësimet e rrezikut që qëndrojnë në bazë të kësaj hapësire vlerësimi, si dhe përshtatshmërinë dhe efektivitetin e politikave, procedurave dhe kontrolleve të brendshme të subjekteve të detyruara.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Diskrcion/ “Me termin “hapësirë vlerësimi” nënkuptohet fleksibiliteti i lejuar nga kuadri ligjor për subjektet e detyruara për të përshtatur masat AML/CFT në bazë të profilit të tyre të rrezikut. Autoritetet mbikëqyrëse vlerësojnë mënyrën se si kjo hapësirë përdoret nga subjektet e detyruara, duke shqyrtuar vlerësimet e rrezikut që qëndrojnë në bazë të saj, si dhe përshtatshmërinë dhe efektivitetin e politikave, procedurave dhe kontrolleve të brendshme, në përputhje me parimin e mbikëqyrjes së bazuar në rrezik.</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përgatisin një raport të detajuar të veprimtarive vjetore dhe që një përmbledhje e këtij raporti të publikohet. Kjo përmbledhje nuk përmban informacion konfidencial dhe përfshin: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FE61A4" w:rsidRPr="00FE61A4" w:rsidRDefault="00FE61A4" w:rsidP="00A87413">
            <w:pPr>
              <w:widowControl w:val="0"/>
              <w:snapToGrid w:val="0"/>
              <w:spacing w:after="0" w:line="240" w:lineRule="auto"/>
              <w:rPr>
                <w:rFonts w:ascii="Times New Roman" w:hAnsi="Times New Roman"/>
                <w:sz w:val="18"/>
                <w:szCs w:val="18"/>
                <w:lang w:val="sq-AL" w:eastAsia="sq-AL" w:bidi="sq-AL"/>
              </w:rPr>
            </w:pPr>
            <w:r w:rsidRPr="00FE61A4">
              <w:rPr>
                <w:rFonts w:ascii="Times New Roman" w:hAnsi="Times New Roman"/>
                <w:sz w:val="18"/>
                <w:szCs w:val="18"/>
                <w:lang w:val="sq-AL" w:eastAsia="sq-AL" w:bidi="sq-AL"/>
              </w:rPr>
              <w:t>Neni 43</w:t>
            </w:r>
          </w:p>
          <w:p w:rsidR="00FE61A4" w:rsidRPr="00FE61A4" w:rsidRDefault="00FE61A4" w:rsidP="00A87413">
            <w:pPr>
              <w:widowControl w:val="0"/>
              <w:snapToGrid w:val="0"/>
              <w:spacing w:after="0" w:line="240" w:lineRule="auto"/>
              <w:rPr>
                <w:rFonts w:ascii="Times New Roman" w:hAnsi="Times New Roman"/>
                <w:sz w:val="18"/>
                <w:szCs w:val="18"/>
                <w:lang w:val="sq-AL" w:eastAsia="sq-AL" w:bidi="sq-AL"/>
              </w:rPr>
            </w:pPr>
            <w:r w:rsidRPr="00FE61A4">
              <w:rPr>
                <w:rFonts w:ascii="Times New Roman" w:hAnsi="Times New Roman"/>
                <w:sz w:val="18"/>
                <w:szCs w:val="18"/>
                <w:lang w:val="sq-AL" w:eastAsia="sq-AL" w:bidi="sq-AL"/>
              </w:rPr>
              <w:t>Raportimi vjetor i veprimtarisë mbikëqyrëse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C9236B" w:rsidRPr="00C9236B" w:rsidRDefault="00C9236B" w:rsidP="00A87413">
            <w:pPr>
              <w:pStyle w:val="NormalWeb"/>
              <w:spacing w:before="0" w:beforeAutospacing="0" w:after="0" w:afterAutospacing="0"/>
              <w:rPr>
                <w:bCs/>
                <w:sz w:val="18"/>
                <w:szCs w:val="18"/>
                <w:lang w:val="sq-AL" w:eastAsia="sq-AL" w:bidi="sq-AL"/>
              </w:rPr>
            </w:pPr>
            <w:r w:rsidRPr="00C9236B">
              <w:rPr>
                <w:bCs/>
                <w:sz w:val="18"/>
                <w:szCs w:val="18"/>
                <w:lang w:val="sq-AL" w:eastAsia="sq-AL" w:bidi="sq-AL"/>
              </w:rPr>
              <w:t>Secili autoritet mbikëqyrës, brenda fushës së kompetencave të tij, përgatit një raport vjetor të detajuar mbi veprimtarinë e vet mbikëqyrëse në fushën e parandalimit të pastrimit të parave, financimit të terrorizmit dhe financimit të armëve të dëmtimit në masë.</w:t>
            </w:r>
          </w:p>
          <w:p w:rsidR="006E5B5B" w:rsidRPr="00C9236B" w:rsidRDefault="00C9236B" w:rsidP="00A87413">
            <w:pPr>
              <w:pStyle w:val="NormalWeb"/>
              <w:spacing w:before="0" w:beforeAutospacing="0" w:after="0" w:afterAutospacing="0"/>
              <w:rPr>
                <w:bCs/>
                <w:sz w:val="18"/>
                <w:szCs w:val="18"/>
                <w:lang w:val="sq-AL" w:eastAsia="sq-AL" w:bidi="sq-AL"/>
              </w:rPr>
            </w:pPr>
            <w:r w:rsidRPr="00C9236B">
              <w:rPr>
                <w:bCs/>
                <w:sz w:val="18"/>
                <w:szCs w:val="18"/>
                <w:lang w:val="sq-AL" w:eastAsia="sq-AL" w:bidi="sq-AL"/>
              </w:rPr>
              <w:t>Një përmbledhje e këtij raporti bëhet publike nga autoriteti përkatës. Përmbledhja nuk përmban informacion konfidencial dhe përfshin, të paktën:</w:t>
            </w:r>
          </w:p>
        </w:tc>
        <w:tc>
          <w:tcPr>
            <w:tcW w:w="1356" w:type="dxa"/>
            <w:shd w:val="clear" w:color="auto" w:fill="auto"/>
            <w:vAlign w:val="center"/>
          </w:tcPr>
          <w:p w:rsidR="006E5B5B" w:rsidRPr="00F727DA" w:rsidRDefault="00C9236B"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siguron që secili autoritet mbikëqyrës të raportojë individualisht mbi veprimtarinë e tij, në përputhje me kërkesat e transparencës dhe llogaridhënies. Publikimi i një përmbledhjeje jo-konfidenciale të raportit vjetor garanton informimin e publikut, duke respektuar njëkohësisht detyrimet për mbrojtjen e informacionit të ndjeshëm. Kjo qasje është në përputhje me nenin 40(5) dhe praktikat e mira të Bashkimit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kategoritë e subjekteve të detyruara nën mbikëqyrje dhe numrin e subjekteve të detyruara për kategori;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 kategoritë e subjekteve të detyruara nën mbikëqyrjen e autoritetit dhe numrin e subjekteve të detyruara për secilën kategori;</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2B318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përshkrim të kompetencave që u janë besuar mbikëqyrësve dhe të detyrave që u janë caktuar atyre dhe, sipas rastit, të mekanizmave të përmendur në nenin 37, paragrafi 4, në të cilët ata marrin pjesë dhe, për kryembikëqyrësin, një përmbledhje të veprimtarive të koordinimit të kryera;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2B3184"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 një përshkrim të kompetencave dhe detyrave të autoritetit mbikëqyrës, si dhe, kur është e zbatueshme, të mekanizmave të bashkëpunimit dhe koordinimit në të cilët ai merr pjesë;</w:t>
            </w:r>
          </w:p>
        </w:tc>
        <w:tc>
          <w:tcPr>
            <w:tcW w:w="1356" w:type="dxa"/>
            <w:shd w:val="clear" w:color="auto" w:fill="auto"/>
            <w:vAlign w:val="center"/>
          </w:tcPr>
          <w:p w:rsidR="006E5B5B" w:rsidRPr="00F727DA" w:rsidRDefault="002B318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veprimtarive mbikëqyrëse të kryera.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2B3184" w:rsidRDefault="006E5B5B" w:rsidP="00A87413">
            <w:pPr>
              <w:widowControl w:val="0"/>
              <w:spacing w:after="0" w:line="240" w:lineRule="auto"/>
              <w:rPr>
                <w:rFonts w:ascii="Times New Roman" w:hAnsi="Times New Roman"/>
                <w:sz w:val="18"/>
                <w:szCs w:val="18"/>
              </w:rPr>
            </w:pPr>
            <w:r w:rsidRPr="002B3184">
              <w:rPr>
                <w:rFonts w:ascii="Times New Roman" w:hAnsi="Times New Roman"/>
                <w:sz w:val="18"/>
                <w:szCs w:val="18"/>
                <w:lang w:eastAsia="sq-AL" w:bidi="sq-AL"/>
              </w:rPr>
              <w:t>c) një përmbledhje të veprimtarisë mbikëqyrëse të ushtruar gjatë periudhës raportuese.</w:t>
            </w:r>
          </w:p>
        </w:tc>
        <w:tc>
          <w:tcPr>
            <w:tcW w:w="1356" w:type="dxa"/>
            <w:shd w:val="clear" w:color="auto" w:fill="auto"/>
            <w:vAlign w:val="center"/>
          </w:tcPr>
          <w:p w:rsidR="006E5B5B" w:rsidRPr="00F727DA" w:rsidRDefault="002B318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41</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Pikat qendrore të kontaktit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nenit 37, paragrafi 1 dhe nenit 38, paragrafi 1, shtetet anëtare mund t’u kërkojnë emetuesve të parasë elektronike, ofruesve të shërbimeve të pagesave dhe ofruesve të shërbimeve të kriptoaseteve që operojnë njësi në territorin e tyre, të ndryshme nga filialet apo degët, ose që operojnë në territorin e tyre përmes agjentëve ose shpërndarësve ose përmes llojeve të tjera të infrastrukturës, në bazë të lirisë për të ofruar shërbime, që të caktojnë një pikë qendrore kontakti në territorin e tyre. Kjo pikë qendrore kontakti garanton, në emër të subjektit të detyruar, pajtueshmërinë me rregullat kundër pastrimit të parave dhe financimit të terrorizmit dhe lehtëson mbikëqyrjen nga mbikëqyrësit, duke përfshirë përmes vënies në dispozicion të mbikëqyrësve, me kërkesë të tyre, të dokumenteve dhe informacioneve.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62250" w:rsidRPr="00C62250" w:rsidRDefault="00C62250" w:rsidP="00A87413">
            <w:pPr>
              <w:pStyle w:val="Heading2"/>
              <w:spacing w:before="0" w:beforeAutospacing="0" w:after="0" w:afterAutospacing="0"/>
              <w:rPr>
                <w:b w:val="0"/>
                <w:sz w:val="18"/>
                <w:szCs w:val="18"/>
                <w:lang w:val="sq-AL" w:eastAsia="sq-AL" w:bidi="sq-AL"/>
              </w:rPr>
            </w:pPr>
            <w:r w:rsidRPr="00C62250">
              <w:rPr>
                <w:b w:val="0"/>
                <w:sz w:val="18"/>
                <w:szCs w:val="18"/>
                <w:lang w:val="sq-AL" w:eastAsia="sq-AL" w:bidi="sq-AL"/>
              </w:rPr>
              <w:t>Neni 44</w:t>
            </w:r>
          </w:p>
          <w:p w:rsidR="00C62250" w:rsidRPr="00C62250" w:rsidRDefault="00C62250" w:rsidP="00A87413">
            <w:pPr>
              <w:pStyle w:val="Heading2"/>
              <w:spacing w:before="0" w:beforeAutospacing="0" w:after="0" w:afterAutospacing="0"/>
              <w:rPr>
                <w:b w:val="0"/>
                <w:sz w:val="18"/>
                <w:szCs w:val="18"/>
                <w:lang w:val="sq-AL" w:eastAsia="sq-AL" w:bidi="sq-AL"/>
              </w:rPr>
            </w:pPr>
            <w:r w:rsidRPr="00C62250">
              <w:rPr>
                <w:b w:val="0"/>
                <w:sz w:val="18"/>
                <w:szCs w:val="18"/>
                <w:lang w:val="sq-AL" w:eastAsia="sq-AL" w:bidi="sq-AL"/>
              </w:rPr>
              <w:t>Pika qendrore e kontaktit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EE5232" w:rsidRPr="00EE5232" w:rsidRDefault="00EE5232" w:rsidP="00A87413">
            <w:pPr>
              <w:pStyle w:val="NormalWeb"/>
              <w:spacing w:before="0" w:beforeAutospacing="0" w:after="0" w:afterAutospacing="0"/>
              <w:rPr>
                <w:sz w:val="18"/>
                <w:szCs w:val="18"/>
                <w:lang w:val="sq-AL" w:eastAsia="sq-AL" w:bidi="sq-AL"/>
              </w:rPr>
            </w:pPr>
            <w:r w:rsidRPr="00EE5232">
              <w:rPr>
                <w:sz w:val="18"/>
                <w:szCs w:val="18"/>
                <w:lang w:val="sq-AL" w:eastAsia="sq-AL" w:bidi="sq-AL"/>
              </w:rPr>
              <w:t>1. Autoriteti mbikëqyrës përkatës, brenda fushës së kompetencave të tij, për qëllim të zbatimit të këtij ligji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distributorëve ose formave të tjera të infrastrukturës, të caktojnë një pikë qendrore kontakti në territorin e Republikës së Shqipërisë.</w:t>
            </w:r>
          </w:p>
          <w:p w:rsidR="00EE5232" w:rsidRPr="00EE5232" w:rsidRDefault="00EE5232" w:rsidP="00A87413">
            <w:pPr>
              <w:pStyle w:val="NormalWeb"/>
              <w:spacing w:before="0" w:beforeAutospacing="0" w:after="0" w:afterAutospacing="0"/>
              <w:rPr>
                <w:sz w:val="18"/>
                <w:szCs w:val="18"/>
                <w:lang w:val="sq-AL" w:eastAsia="sq-AL" w:bidi="sq-AL"/>
              </w:rPr>
            </w:pPr>
            <w:r w:rsidRPr="00EE5232">
              <w:rPr>
                <w:sz w:val="18"/>
                <w:szCs w:val="18"/>
                <w:lang w:val="sq-AL" w:eastAsia="sq-AL" w:bidi="sq-AL"/>
              </w:rPr>
              <w:t>Pika qendrore e kontaktit siguron, në emër të subjektit të detyruar, përputhshmërinë me kërkesat e legjislacionit për parandalimin e pastrimit të parave, financimit të terrorizmit dhe financimit të përhapjes së armëve të dëmtimit në masë, si dhe lehtëson ushtrimin e mbikëqyrjes nga autoritetet kompetente, përfshirë vënien në dispozicion, sipas kërkesës, të dokumentacionit dhe informacionit përkatës.</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e nenit 41(1) ka karakter opsional sipas acquis (“may require”). Transpozimi parashikon mundësinë që autoriteti mbikëqyrës përkatës të kërkojë caktimin e një pike qendrore kontakti për subjektet që ushtrojnë veprimtari në territorin e Republikës së Shqipërisë pa prani të qëndrueshme (filial ose degë). Referenca ndaj “lirisë për të ofruar shërbime” është përshtatur me kuadrin kombëtar për ofrimin ndërkufitar të shërbimeve. Qasja siguron përafrim me acquis, pa krijuar detyrime të panevojshme në këtë fazë.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caktojnë kriteret për përcaktimin e rrethanave në të cilat është i përshtatshëm caktimi i një pike qendrore kontakti sipas paragrafit 1, si dhe funksionet e pikave qendrore të kontaktit.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E5232" w:rsidRDefault="00EE5232" w:rsidP="00A87413">
            <w:pPr>
              <w:widowControl w:val="0"/>
              <w:spacing w:after="0" w:line="240" w:lineRule="auto"/>
              <w:rPr>
                <w:rFonts w:ascii="Times New Roman" w:hAnsi="Times New Roman"/>
                <w:bCs/>
                <w:sz w:val="18"/>
                <w:szCs w:val="18"/>
                <w:lang w:val="sq-AL" w:eastAsia="sq-AL" w:bidi="sq-AL"/>
              </w:rPr>
            </w:pPr>
            <w:r w:rsidRPr="00EE5232">
              <w:rPr>
                <w:rFonts w:ascii="Times New Roman" w:hAnsi="Times New Roman"/>
                <w:bCs/>
                <w:sz w:val="18"/>
                <w:szCs w:val="18"/>
                <w:lang w:val="sq-AL" w:eastAsia="sq-AL" w:bidi="sq-AL"/>
              </w:rPr>
              <w:t>2. Kriteret për përcaktimin e rasteve kur kërkohet caktimi i një pike qendrore kontakti, si dhe funksionet dhe mënyra e ushtrimit të veprimtarisë së saj, përcaktohen me akte nënligjor nga autoriteti mbikëqyrës përkatës, brenda fushës së kompetencave të tij.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e BE-së i drejtohet AMLA-s dhe Komisionit dhe nuk është e zbatueshme drejtpërdrejt për Shqipërinë si vend jo anëtar. Transpozimi realizohet në mënyrë funksionale, duke parashikuar që kriteret dhe funksionet e pikës qendrore të kontaktit të përcaktohen në nivel kombëtar nga autoritetet mbikëqyrëse përkatëse. Transpozimi institucional i plotë do të realizohet pas anëtarësimit në BE.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42</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Zbulimi ndaj Njësive për Inteligjencë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nëse, gjatë verifikimeve të kryera mbi subjektet e detyruara, ose në çfarëdolloj mënyre tjetër, mbikëqyrësit zbulojnë fakte që mund të lidhen me pastrimin e parave, veprat penale bazë të lidhura me të ose financimin e terrorizmit, ata të informojnë menjëherë NjIF-në.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E66ACB" w:rsidRPr="00E66ACB" w:rsidRDefault="00E66ACB" w:rsidP="00A87413">
            <w:pPr>
              <w:widowControl w:val="0"/>
              <w:snapToGrid w:val="0"/>
              <w:spacing w:after="0" w:line="240" w:lineRule="auto"/>
              <w:rPr>
                <w:rFonts w:ascii="Times New Roman" w:hAnsi="Times New Roman"/>
                <w:sz w:val="18"/>
                <w:szCs w:val="18"/>
                <w:lang w:val="sq-AL" w:eastAsia="sq-AL" w:bidi="sq-AL"/>
              </w:rPr>
            </w:pPr>
            <w:r w:rsidRPr="00E66ACB">
              <w:rPr>
                <w:rFonts w:ascii="Times New Roman" w:hAnsi="Times New Roman"/>
                <w:sz w:val="18"/>
                <w:szCs w:val="18"/>
                <w:lang w:val="sq-AL" w:eastAsia="sq-AL" w:bidi="sq-AL"/>
              </w:rPr>
              <w:t>Neni 45</w:t>
            </w:r>
          </w:p>
          <w:p w:rsidR="00E66ACB" w:rsidRPr="00E66ACB" w:rsidRDefault="00E66ACB" w:rsidP="00A87413">
            <w:pPr>
              <w:widowControl w:val="0"/>
              <w:snapToGrid w:val="0"/>
              <w:spacing w:after="0" w:line="240" w:lineRule="auto"/>
              <w:rPr>
                <w:rFonts w:ascii="Times New Roman" w:hAnsi="Times New Roman"/>
                <w:sz w:val="18"/>
                <w:szCs w:val="18"/>
                <w:lang w:val="sq-AL" w:eastAsia="sq-AL" w:bidi="sq-AL"/>
              </w:rPr>
            </w:pPr>
            <w:r w:rsidRPr="00E66ACB">
              <w:rPr>
                <w:rFonts w:ascii="Times New Roman" w:hAnsi="Times New Roman"/>
                <w:sz w:val="18"/>
                <w:szCs w:val="18"/>
                <w:lang w:val="sq-AL" w:eastAsia="sq-AL" w:bidi="sq-AL"/>
              </w:rPr>
              <w:t>Detyrimi për raportim pranë autoritetit përgjegjës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13178" w:rsidRDefault="00E13178" w:rsidP="00A87413">
            <w:pPr>
              <w:suppressAutoHyphens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të, financimin e terrorizmit apo financimin e përhapjes të armëve të dëmtimit në masë, informojnë pa vonesë autoritetin përgjegjës.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42(1), duke vendosur detyrimin për autoritetet mbikëqyrëse që të informojnë pa vonesë Agjencinë e Inteligjencës Financiare në rast se gjatë ushtrimit të funksioneve të tyre konstatojnë fakte ose rrethana që mund të lidhen me pastrim parash, veprat penale burimore ose financim terrorizmi.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autorizuar për të mbikëqyrur tregjet e aksioneve, të këmbimit valutor dhe të derivateve financiare, të informojnë NjIF-në nëse zbulojnë informacion që mund të ketë lidhje me pastrimin e parave ose financimin e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13178" w:rsidRDefault="00E13178" w:rsidP="00A87413">
            <w:pPr>
              <w:widowControl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2. Detyrimi i parashikuar në pikën 1 të këtij neni zbatohet gjithashtu për autoritetet mbikëqyrëse të tregjeve të kapitalit, tregut valutor dhe instrumenteve financiare të prejardhura (derivative).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42(1) dhe 42(2), duke vendosur detyrimin për të gjitha autoritetet mbikëqyrëse, përfshirë ato të tregjeve të kapitalit, këmbimit valutor dhe instrumenteve financiare derivative, që të raportojnë pa vonesë pranë Agjencisë së Inteligjencës Financiare në rast zbulimi të fakteve që mund të lidhen me pastrim parash, veprat penale burimore ose financim terrorizmi.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pajtueshmëria me kërkesat e këtij neni të mos zëvendësojë asnjë detyrim që parashikon që autoritetet mbikëqyrëse t'i raportojnë autoriteteve kompetente përkatëse për çdo veprimtari kriminale që zbulojnë ose për të cilën vihen në dijeni në kontekstin e veprimtarive të tyre mbikëqyrëse.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13178" w:rsidRDefault="00E13178" w:rsidP="00A87413">
            <w:pPr>
              <w:widowControl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3. Përmbushja e detyrimit për raportim pranë Agjencisë së 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siguron që detyrimi për raportim pranë FIU-së nuk cenon detyrimet ekzistuese të autoriteteve mbikëqyrëse për të njoftuar autoritetet kompetente për ndjekjen penale në rast zbulimi të veprimtarive kriminale.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uppressAutoHyphens w:val="0"/>
              <w:spacing w:after="0" w:line="276"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43</w:t>
            </w:r>
          </w:p>
          <w:p w:rsidR="006E5B5B" w:rsidRPr="00F727DA" w:rsidRDefault="006E5B5B" w:rsidP="00A87413">
            <w:pPr>
              <w:suppressAutoHyphens w:val="0"/>
              <w:spacing w:after="0" w:line="276" w:lineRule="auto"/>
              <w:rPr>
                <w:rFonts w:ascii="Times New Roman" w:hAnsi="Times New Roman"/>
                <w:sz w:val="18"/>
                <w:szCs w:val="18"/>
                <w:lang w:eastAsia="sq-AL" w:bidi="sq-AL"/>
              </w:rPr>
            </w:pPr>
            <w:r w:rsidRPr="00F727DA">
              <w:rPr>
                <w:rFonts w:ascii="Times New Roman" w:hAnsi="Times New Roman"/>
                <w:b/>
                <w:sz w:val="18"/>
                <w:szCs w:val="18"/>
              </w:rPr>
              <w:t>Ofrimi i informacionit ndaj Njësive të Inteligjencës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t'i komunikojnë NjIF-së të paktën informacionin e mëposhtëm: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F9666A" w:rsidRPr="00F9666A" w:rsidRDefault="00F9666A" w:rsidP="00A87413">
            <w:pPr>
              <w:widowControl w:val="0"/>
              <w:snapToGrid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Neni 46</w:t>
            </w:r>
          </w:p>
          <w:p w:rsidR="00F9666A" w:rsidRPr="00F9666A" w:rsidRDefault="00F9666A" w:rsidP="00A87413">
            <w:pPr>
              <w:widowControl w:val="0"/>
              <w:snapToGrid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Shkëmbimi i të dhënave me Agjencinë e Inteligjencës Financiare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9666A" w:rsidRDefault="00F9666A" w:rsidP="00A87413">
            <w:pPr>
              <w:suppressAutoHyphens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Autoritetet mbikëqyrëse i komunikojnë Agjencisë së Inteligjencës Financiare, në mënyrë periodike dhe sipas kërkesës, të paktën të dhënat dhe informacionin e mëposhtëm:</w:t>
            </w:r>
          </w:p>
        </w:tc>
        <w:tc>
          <w:tcPr>
            <w:tcW w:w="1356" w:type="dxa"/>
            <w:shd w:val="clear" w:color="auto" w:fill="auto"/>
            <w:vAlign w:val="center"/>
          </w:tcPr>
          <w:p w:rsidR="006E5B5B" w:rsidRPr="00F727DA" w:rsidRDefault="006E5B5B" w:rsidP="00A87413">
            <w:pPr>
              <w:suppressAutoHyphens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43 (a-c) duke vendosur detyrimin për autoritetet mbikëqyrëse që t’i komunikojnë Agjencisë së Inteligjencës Financiare te dhena dhe informacion strukturor dhe analitik mbi subjektet nën mbikëqyrje, dobësitë serioze të sistemeve të raportimit dhe rezultatet e vlerësimeve të rrezikut në formë të përmbledhur. Qëllimi i kësaj dispozite është forcimi i bashkëpunimit institucional dhe mbështetja e analizës strategjike të AIF-së, pa cenuar mbrojtjen e të dhënave dhe informacionit konfidencial. Dispozita është në përputhje të plotë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njësive që operojnë në shtetin anëtar përkatës dhe listën e infrastrukturave nën mbikëqyrjen e tyre në përputhje me nenin 38, paragrafi 1, dhe çdo ndryshim në këto lista;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listën e subjekteve të detyruara dhe, kur është e zbatueshme, të agjentëve, degëve ose formave të tjera të infrastrukturës nën mbikëqyrjen e tyre, si dhe çdo ndryshim në këto lista;</w:t>
            </w:r>
          </w:p>
          <w:p w:rsidR="006E5B5B" w:rsidRPr="00F727DA" w:rsidRDefault="006E5B5B" w:rsidP="00A87413">
            <w:pPr>
              <w:suppressAutoHyphens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konstatim përkatës që tregon cenueshmëri të konsiderueshme të sistemeve të raportimit të subjekteve të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çdo gjetje të rëndësishme që evidenton dobësi serioze në sistemet e raportimit të subjekteve të detyruara;</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rezultatet e vlerësimeve të rrezikut të kryera në përputhje me nenin 40, në formë të përmbledhur.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3D725B" w:rsidRDefault="003D725B" w:rsidP="00A87413">
            <w:pPr>
              <w:suppressAutoHyphens w:val="0"/>
              <w:spacing w:after="0" w:line="240" w:lineRule="auto"/>
              <w:rPr>
                <w:rFonts w:ascii="Times New Roman" w:hAnsi="Times New Roman"/>
                <w:sz w:val="18"/>
                <w:szCs w:val="18"/>
                <w:lang w:val="sq-AL" w:eastAsia="sq-AL" w:bidi="sq-AL"/>
              </w:rPr>
            </w:pPr>
            <w:r w:rsidRPr="003D725B">
              <w:rPr>
                <w:rFonts w:ascii="Times New Roman" w:hAnsi="Times New Roman"/>
                <w:sz w:val="18"/>
                <w:szCs w:val="18"/>
                <w:lang w:val="sq-AL" w:eastAsia="sq-AL" w:bidi="sq-AL"/>
              </w:rPr>
              <w:t>c) rezultatet e vlerësimeve të rrezikut të kryera nga autoritetet mbikëqyrëse në përputhje këtë ligj, në formë të përmbledhur.</w:t>
            </w: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44</w:t>
            </w:r>
          </w:p>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Parimet e përgjithshme lidhur me bashkëpunimin ndërmjet mbikëqyrësve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bashkëpunojnë me njëri-tjetrin në masën maksimale të mundshme, pavarësisht nga natyra apo statusi i tyre. Ky bashkëpunim mund të përfshijë kryerjen, brenda kompetencave të mbikëqyrësit që merr kërkesën, të hetimeve në emër të një mbikëqyrësi që paraqet kërkesën, si dhe shkëmbimin vijues të informacionit të marrë përmes këtyre hetimeve, ose lehtësimin e kryerjes së këtyre hetimeve nga mbikëqyrësi që paraqet kërkesën.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F115F6" w:rsidRPr="00F115F6" w:rsidRDefault="00F115F6" w:rsidP="00A87413">
            <w:pPr>
              <w:widowControl w:val="0"/>
              <w:autoSpaceDE w:val="0"/>
              <w:spacing w:after="0" w:line="240" w:lineRule="auto"/>
              <w:rPr>
                <w:rFonts w:ascii="Times New Roman" w:hAnsi="Times New Roman"/>
                <w:sz w:val="18"/>
                <w:szCs w:val="18"/>
                <w:lang w:val="sq-AL" w:eastAsia="sq-AL" w:bidi="sq-AL"/>
              </w:rPr>
            </w:pPr>
            <w:r w:rsidRPr="00F115F6">
              <w:rPr>
                <w:rFonts w:ascii="Times New Roman" w:hAnsi="Times New Roman"/>
                <w:sz w:val="18"/>
                <w:szCs w:val="18"/>
                <w:lang w:val="sq-AL" w:eastAsia="sq-AL" w:bidi="sq-AL"/>
              </w:rPr>
              <w:t>Neni 47</w:t>
            </w:r>
          </w:p>
          <w:p w:rsidR="00F115F6" w:rsidRPr="00F115F6" w:rsidRDefault="00F115F6" w:rsidP="00A87413">
            <w:pPr>
              <w:widowControl w:val="0"/>
              <w:autoSpaceDE w:val="0"/>
              <w:spacing w:after="0" w:line="240" w:lineRule="auto"/>
              <w:rPr>
                <w:rFonts w:ascii="Times New Roman" w:hAnsi="Times New Roman"/>
                <w:sz w:val="18"/>
                <w:szCs w:val="18"/>
                <w:lang w:val="sq-AL" w:eastAsia="sq-AL" w:bidi="sq-AL"/>
              </w:rPr>
            </w:pPr>
            <w:r w:rsidRPr="00F115F6">
              <w:rPr>
                <w:rFonts w:ascii="Times New Roman" w:hAnsi="Times New Roman"/>
                <w:sz w:val="18"/>
                <w:szCs w:val="18"/>
                <w:lang w:val="sq-AL" w:eastAsia="sq-AL" w:bidi="sq-AL"/>
              </w:rPr>
              <w:t>Parimet e përgjithshme të bashkëpunimit mbikëqyrës</w:t>
            </w:r>
          </w:p>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rsidR="003F06B6" w:rsidRPr="003F06B6" w:rsidRDefault="003F06B6" w:rsidP="00A87413">
            <w:pPr>
              <w:pStyle w:val="NormalWeb"/>
              <w:spacing w:before="0" w:beforeAutospacing="0" w:after="0" w:afterAutospacing="0"/>
              <w:rPr>
                <w:sz w:val="18"/>
                <w:szCs w:val="18"/>
                <w:lang w:val="sq-AL" w:eastAsia="sq-AL" w:bidi="sq-AL"/>
              </w:rPr>
            </w:pPr>
            <w:r w:rsidRPr="003F06B6">
              <w:rPr>
                <w:sz w:val="18"/>
                <w:szCs w:val="18"/>
                <w:lang w:val="sq-AL" w:eastAsia="sq-AL" w:bidi="sq-AL"/>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rsidR="003F06B6" w:rsidRPr="003F06B6" w:rsidRDefault="003F06B6" w:rsidP="00A87413">
            <w:pPr>
              <w:pStyle w:val="NormalWeb"/>
              <w:spacing w:before="0" w:beforeAutospacing="0" w:after="0" w:afterAutospacing="0"/>
              <w:rPr>
                <w:sz w:val="18"/>
                <w:szCs w:val="18"/>
                <w:lang w:val="sq-AL" w:eastAsia="sq-AL" w:bidi="sq-AL"/>
              </w:rPr>
            </w:pPr>
            <w:r w:rsidRPr="003F06B6">
              <w:rPr>
                <w:sz w:val="18"/>
                <w:szCs w:val="18"/>
                <w:lang w:val="sq-AL" w:eastAsia="sq-AL" w:bidi="sq-AL"/>
              </w:rPr>
              <w:t>2.Bashkëpunimi mund të përfshijë, brenda kufijve të kompetencave ligjore përkatëse:</w:t>
            </w:r>
          </w:p>
          <w:p w:rsidR="003F06B6" w:rsidRPr="003F06B6" w:rsidRDefault="003F06B6" w:rsidP="00A87413">
            <w:pPr>
              <w:pStyle w:val="NormalWeb"/>
              <w:spacing w:before="0" w:beforeAutospacing="0" w:after="0" w:afterAutospacing="0"/>
              <w:rPr>
                <w:sz w:val="18"/>
                <w:szCs w:val="18"/>
                <w:lang w:val="sq-AL" w:eastAsia="sq-AL" w:bidi="sq-AL"/>
              </w:rPr>
            </w:pPr>
            <w:r w:rsidRPr="003F06B6">
              <w:rPr>
                <w:sz w:val="18"/>
                <w:szCs w:val="18"/>
                <w:lang w:val="sq-AL" w:eastAsia="sq-AL" w:bidi="sq-AL"/>
              </w:rPr>
              <w:t>a) kryerjen e kontrolleve, inspektimeve ose veprimeve të tjera mbikëqyrëse në emër të një autoriteti tjetër kërkues mbikëqyrës;</w:t>
            </w:r>
          </w:p>
          <w:p w:rsidR="003F06B6" w:rsidRPr="003F06B6" w:rsidRDefault="003F06B6" w:rsidP="00A87413">
            <w:pPr>
              <w:pStyle w:val="NormalWeb"/>
              <w:spacing w:before="0" w:beforeAutospacing="0" w:after="0" w:afterAutospacing="0"/>
              <w:rPr>
                <w:sz w:val="18"/>
                <w:szCs w:val="18"/>
                <w:lang w:val="sq-AL" w:eastAsia="sq-AL" w:bidi="sq-AL"/>
              </w:rPr>
            </w:pPr>
            <w:r w:rsidRPr="003F06B6">
              <w:rPr>
                <w:sz w:val="18"/>
                <w:szCs w:val="18"/>
                <w:lang w:val="sq-AL" w:eastAsia="sq-AL" w:bidi="sq-AL"/>
              </w:rPr>
              <w:t>b) shkëmbimin e informacionit të siguruar nëpërmjet këtyre veprimeve;</w:t>
            </w:r>
          </w:p>
          <w:p w:rsidR="006E5B5B" w:rsidRPr="001A25C0" w:rsidRDefault="003F06B6" w:rsidP="00A87413">
            <w:pPr>
              <w:pStyle w:val="NormalWeb"/>
              <w:spacing w:before="0" w:beforeAutospacing="0" w:after="0" w:afterAutospacing="0"/>
              <w:rPr>
                <w:sz w:val="18"/>
                <w:szCs w:val="18"/>
                <w:lang w:val="sq-AL" w:eastAsia="sq-AL" w:bidi="sq-AL"/>
              </w:rPr>
            </w:pPr>
            <w:r w:rsidRPr="003F06B6">
              <w:rPr>
                <w:sz w:val="18"/>
                <w:szCs w:val="18"/>
                <w:lang w:val="sq-AL" w:eastAsia="sq-AL" w:bidi="sq-AL"/>
              </w:rPr>
              <w:t>c) lehtësimin e kryerjes së kontrolleve, inspektimeve ose veprimeve të tjera mbikëqyrëse nga autoriteti kërkues.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44 duke vendosur detyrimin për autoritetet mbikëqyrëse që të bashkëpunojnë në masën më të gjerë të mundshme dhe duke parashikuar mundësinë e kryerjes së veprimeve mbikëqyrëse në emër të një autoriteti tjetër dhe shkëmbimin e informacionit përkatës.</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45</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Ofrimi i informacionit mbi aktivitetet ndërkufitare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45(1)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të origjinës të informojnë mbikëqyrësit e shtetit anëtar pritës sa më shpejt të jetë e mundur, dhe në çdo rast brenda 3 muajve nga marrja e njoftimit sipas nenit 8, paragrafi 1 të Rregullores (BE) 2024/1624 mbi veprimtaritë që subjekti i detyruar synon të kryejë në shtetin anëtar pritës.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ndryshim i mëvonshëm që u njoftohet mbikëqyrësve të shtetit anëtar të origjinës në përputhje me nenin 8, paragrafi 2 të Rregullores (BE) 2024/1624, u njoftohet mbikëqyrësve të shtetit anëtar pritës sa më shpejt të jetë e mundur dhe në çdo rast brenda 1 muaji nga marrja e njoftimit.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D9363E" w:rsidRPr="00D9363E" w:rsidRDefault="00D9363E" w:rsidP="00A87413">
            <w:pPr>
              <w:widowControl w:val="0"/>
              <w:snapToGrid w:val="0"/>
              <w:spacing w:after="0" w:line="240" w:lineRule="auto"/>
              <w:rPr>
                <w:rFonts w:ascii="Times New Roman" w:hAnsi="Times New Roman"/>
                <w:sz w:val="18"/>
                <w:szCs w:val="18"/>
                <w:lang w:val="sq-AL" w:eastAsia="sq-AL" w:bidi="sq-AL"/>
              </w:rPr>
            </w:pPr>
            <w:r w:rsidRPr="00D9363E">
              <w:rPr>
                <w:rFonts w:ascii="Times New Roman" w:hAnsi="Times New Roman"/>
                <w:sz w:val="18"/>
                <w:szCs w:val="18"/>
                <w:lang w:val="sq-AL" w:eastAsia="sq-AL" w:bidi="sq-AL"/>
              </w:rPr>
              <w:t>Neni 48</w:t>
            </w:r>
          </w:p>
          <w:p w:rsidR="00D9363E" w:rsidRPr="00D9363E" w:rsidRDefault="00D9363E" w:rsidP="00A87413">
            <w:pPr>
              <w:widowControl w:val="0"/>
              <w:snapToGrid w:val="0"/>
              <w:spacing w:after="0" w:line="240" w:lineRule="auto"/>
              <w:rPr>
                <w:rFonts w:ascii="Times New Roman" w:hAnsi="Times New Roman"/>
                <w:sz w:val="18"/>
                <w:szCs w:val="18"/>
                <w:lang w:val="sq-AL" w:eastAsia="sq-AL" w:bidi="sq-AL"/>
              </w:rPr>
            </w:pPr>
            <w:r w:rsidRPr="00D9363E">
              <w:rPr>
                <w:rFonts w:ascii="Times New Roman" w:hAnsi="Times New Roman"/>
                <w:sz w:val="18"/>
                <w:szCs w:val="18"/>
                <w:lang w:val="sq-AL" w:eastAsia="sq-AL" w:bidi="sq-AL"/>
              </w:rPr>
              <w:t>Shkëmbimi i informacionit mbi veprimtaritë ndërkufitare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D43FC" w:rsidRPr="00FD43FC" w:rsidRDefault="00FD43FC" w:rsidP="00A87413">
            <w:pPr>
              <w:pStyle w:val="Heading3"/>
              <w:spacing w:before="0" w:line="240" w:lineRule="auto"/>
              <w:rPr>
                <w:rFonts w:ascii="Times New Roman" w:hAnsi="Times New Roman"/>
                <w:color w:val="auto"/>
                <w:sz w:val="18"/>
                <w:szCs w:val="18"/>
                <w:lang w:val="sq-AL" w:eastAsia="sq-AL" w:bidi="sq-AL"/>
              </w:rPr>
            </w:pPr>
            <w:r w:rsidRPr="00FD43FC">
              <w:rPr>
                <w:rFonts w:ascii="Times New Roman" w:hAnsi="Times New Roman"/>
                <w:color w:val="auto"/>
                <w:sz w:val="18"/>
                <w:szCs w:val="18"/>
                <w:lang w:val="sq-AL" w:eastAsia="sq-AL" w:bidi="sq-AL"/>
              </w:rPr>
              <w:t>1.Autoriteti mbikëqyrës i Republikës së Shqipërisë,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parashikohet në nenin 8 pika 1 e Rregullores (BE) 2024/1624.</w:t>
            </w:r>
          </w:p>
          <w:p w:rsidR="00FD43FC" w:rsidRPr="00FD43FC" w:rsidRDefault="00FD43FC" w:rsidP="00A87413">
            <w:pPr>
              <w:pStyle w:val="Heading3"/>
              <w:spacing w:before="0" w:line="240" w:lineRule="auto"/>
              <w:rPr>
                <w:rFonts w:ascii="Times New Roman" w:hAnsi="Times New Roman"/>
                <w:color w:val="auto"/>
                <w:sz w:val="18"/>
                <w:szCs w:val="18"/>
                <w:lang w:val="sq-AL" w:eastAsia="sq-AL" w:bidi="sq-AL"/>
              </w:rPr>
            </w:pPr>
            <w:r w:rsidRPr="00FD43FC">
              <w:rPr>
                <w:rFonts w:ascii="Times New Roman" w:hAnsi="Times New Roman"/>
                <w:color w:val="auto"/>
                <w:sz w:val="18"/>
                <w:szCs w:val="18"/>
                <w:lang w:val="sq-AL" w:eastAsia="sq-AL" w:bidi="sq-AL"/>
              </w:rPr>
              <w:t>Çdo ndryshim i mëpasshëm i njoftuar nga subjekti i detyruar lidhur me këto veprimtari i komunikohet autoritetit mbikëqyrës të shtetit pritës sa më shpejt të jetë e mundur dhe në çdo rast brenda 1 muaji nga marrja e njoftimit.</w:t>
            </w:r>
          </w:p>
          <w:p w:rsidR="006E5B5B" w:rsidRPr="00FD43FC"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plotësisht nenin 45(1), duke vendosur detyrimin e autoritetit mbikëqyrës të shtetit të origjinës për të informuar autoritetin mbikëqyrës të shtetit pritës mbi veprimtaritë ndërkufitare që subjekti i detyruar synon të ushtrojë, brenda afatit maksimal prej 3 muajsh nga marrja e njoftimit. Gjithashtu, parashikohet detyrimi për komunikimin e çdo ndryshimi të mëvonshëm brenda afatit 1-mujor. </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Referencat ndaj Rregullores (EU) 2024/1624 janë përshtatur me kuadrin kombëtar për njoftimin e veprimtarive ndërkufitare, pa ndryshuar përmbajtjen thelbësore të kërkesës së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45(2)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të origjinës të ndajnë me mbikëqyrësit e shtetit anëtar pritës informacionin mbi veprimtaritë e kryera në mënyrë efektive nga subjekti i detyruar në territorin e shtetit anëtar pritës që ata sigurojnë në kuadër të veprimtarive të tyre mbikëqyrëse, duke përfshirë informacionin e paraqitur nga subjektet e detyruara në përgjigje të pyetësorëve mbikëqyrës dhe çdo informacion përkatës që lidhet me veprimtaritë e kryera në shtetin anëtar pritës.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BA6D0E" w:rsidRPr="00BA6D0E" w:rsidRDefault="00BA6D0E" w:rsidP="00A87413">
            <w:pPr>
              <w:pStyle w:val="Heading3"/>
              <w:spacing w:before="0"/>
              <w:rPr>
                <w:rFonts w:ascii="Times New Roman" w:hAnsi="Times New Roman"/>
                <w:color w:val="auto"/>
                <w:sz w:val="18"/>
                <w:szCs w:val="18"/>
                <w:lang w:val="sq-AL" w:eastAsia="sq-AL" w:bidi="sq-AL"/>
              </w:rPr>
            </w:pPr>
            <w:r w:rsidRPr="00BA6D0E">
              <w:rPr>
                <w:rFonts w:ascii="Times New Roman" w:hAnsi="Times New Roman"/>
                <w:color w:val="auto"/>
                <w:sz w:val="18"/>
                <w:szCs w:val="18"/>
                <w:lang w:val="sq-AL" w:eastAsia="sq-AL" w:bidi="sq-AL"/>
              </w:rPr>
              <w:t>2.Autoriteti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rsidR="006E5B5B" w:rsidRPr="00F727DA" w:rsidRDefault="006E5B5B" w:rsidP="00A87413">
            <w:pPr>
              <w:pStyle w:val="NormalWeb"/>
              <w:spacing w:before="0" w:beforeAutospacing="0" w:after="0" w:afterAutospacing="0"/>
              <w:rPr>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45(2), duke parashikuar detyrimin e autoritetit mbikëqyrës të shtetit të origjinës për të ndarë me autoritetin e shtetit pritës informacion mbi veprimtaritë ndërkufitare të ushtruara realisht, përfshirë informacionin e siguruar në kuadër të veprimtarisë mbikëqyrëse dhe përgjigjet ndaj pyetësorëve mbikëqyrës. Parashikohet shkëmbim minimal vjetor, detyrimi për përgjigje pa vonesë ndaj kërkesave për informacion shtesë dhe informim i menjëhershëm në rast të fillimit të aktivitetit në shtetin pritës. Dispozita është në përputhje të plotë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nënparagrafin e parë shkëmbehet të paktën çdo vit. Kur ky informacion jepet në formë të përmbledhur, shtetet anëtare garantojnë që mbikëqyrësit e shtetit anëtar të origjinës t'i përgjigjen menjëherë çdo kërkese për informacion shtesë nga mbikëqyrësit e shtetit anëtar pritës.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dytë i këtij paragrafi, shtetet anëtare garantojnë që mbikëqyrësit e shtetit anëtar të origjinës të informojnë mbikëqyrësit e shtetit anëtar pritës menjëherë pas marrjes së njoftimit nga subjektet e detyruara në përputhje me nenin 8, paragrafi 1 të Rregullores (BE) 2024/1624, se aktivitetet në shtetin anëtar pritës kanë filluar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BA6D0E" w:rsidRPr="00BA6D0E" w:rsidRDefault="00BA6D0E" w:rsidP="00A87413">
            <w:pPr>
              <w:suppressAutoHyphens w:val="0"/>
              <w:spacing w:after="0" w:line="240" w:lineRule="auto"/>
              <w:rPr>
                <w:rFonts w:ascii="Times New Roman" w:hAnsi="Times New Roman"/>
                <w:sz w:val="18"/>
                <w:szCs w:val="18"/>
                <w:lang w:val="sq-AL" w:eastAsia="sq-AL" w:bidi="sq-AL"/>
              </w:rPr>
            </w:pPr>
            <w:r w:rsidRPr="00BA6D0E">
              <w:rPr>
                <w:rFonts w:ascii="Times New Roman" w:hAnsi="Times New Roman"/>
                <w:sz w:val="18"/>
                <w:szCs w:val="18"/>
                <w:lang w:val="sq-AL" w:eastAsia="sq-AL" w:bidi="sq-AL"/>
              </w:rPr>
              <w:t>3. Informacioni i parashikuar në pikën 2 të këtij neni shkëmbehet të paktën një herë në vit. Kur ky informacion jepet në formë të përmbledhur, autoriteti mbikëqyrës i shtetit të origjinës i përgjigjet pa vonesë çdo kërkese për informacion shtesë të paraqitur nga autoriteti mbikëqyrës i shtetit pritës.</w:t>
            </w:r>
          </w:p>
          <w:p w:rsidR="006E5B5B" w:rsidRPr="00360947" w:rsidRDefault="00BA6D0E" w:rsidP="00A87413">
            <w:pPr>
              <w:suppressAutoHyphens w:val="0"/>
              <w:spacing w:after="0" w:line="240" w:lineRule="auto"/>
              <w:rPr>
                <w:rFonts w:ascii="Times New Roman" w:hAnsi="Times New Roman"/>
                <w:sz w:val="18"/>
                <w:szCs w:val="18"/>
                <w:lang w:val="sq-AL" w:eastAsia="sq-AL" w:bidi="sq-AL"/>
              </w:rPr>
            </w:pPr>
            <w:r w:rsidRPr="00BA6D0E">
              <w:rPr>
                <w:rFonts w:ascii="Times New Roman" w:hAnsi="Times New Roman"/>
                <w:sz w:val="18"/>
                <w:szCs w:val="18"/>
                <w:lang w:val="sq-AL" w:eastAsia="sq-AL" w:bidi="sq-AL"/>
              </w:rPr>
              <w:t>4. Me përjashtim nga sa parashikohet në pikën 3 të këtij neni, autoriteti mbikëqyrës i shtetit të origjinës duhet të informojë menjëherë autoritetin mbikëqyrës të shtetit pritës sapo të marrë njoftimin nga subjektet e detyruara, në përputhje me nenin 8 pika 1 e Rregullores (BE) 2024/1624, se veprimtaritë në shtetin pritës kanë filluar.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paragrafin e fundit të nenit 45(2), duke parashikuar detyrimin e autoritetit mbikëqyrës të shtetit të origjinës për të informuar menjëherë autoritetin mbikëqyrës të shtetit pritës sapo të marrë njoftimin për fillimin e veprimtarisë ndërkufitare nga subjekti i detyruar. Parashikimi ruan natyrën urgjente të kërkesës (“immediately”) dhe strukturën e derogimit nga shkëmbimi minimal vjetor i informacionit. Referenca ndaj Rregullores (EU) 2024/1624 është përshtatur me kuadrin kombëtar për njoftimin e veprimtarive ndërkufitare, pa ndryshuar përmbajtjen thelbësore të dispozitës së acquis.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46</w:t>
            </w:r>
          </w:p>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Dispozita që lidhen me bashkëpunimin në kontekstin e mbikëqyrjes në grup</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institucioneve të kreditit dhe institucioneve financiare që janë pjesë e një grupi, shtetet anëtare garantojnë që, për qëllimet e përcaktuara në nenin 37, paragrafi 1, mbikëqyrësit financiarë të shtetit anëtar të origjinës dhe ata të shtetit anëtar pritës të bashkëpunojnë me njëri-tjetrin në masën maksimale të mundshme, pavarësisht nga natyra ose statusi i tyre përkatës. Ata bashkëpunojnë edhe me AMLA-n kur ajo vepron në cilësinë e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p>
          <w:p w:rsidR="0000099C" w:rsidRPr="0000099C" w:rsidRDefault="0000099C" w:rsidP="00A87413">
            <w:pPr>
              <w:pStyle w:val="Heading2"/>
              <w:spacing w:before="0" w:beforeAutospacing="0" w:after="0" w:afterAutospacing="0"/>
              <w:rPr>
                <w:b w:val="0"/>
                <w:sz w:val="18"/>
                <w:szCs w:val="18"/>
                <w:lang w:val="sq-AL" w:eastAsia="sq-AL" w:bidi="sq-AL"/>
              </w:rPr>
            </w:pPr>
            <w:r w:rsidRPr="0000099C">
              <w:rPr>
                <w:b w:val="0"/>
                <w:sz w:val="18"/>
                <w:szCs w:val="18"/>
                <w:lang w:val="sq-AL" w:eastAsia="sq-AL" w:bidi="sq-AL"/>
              </w:rPr>
              <w:t>Neni 49</w:t>
            </w:r>
          </w:p>
          <w:p w:rsidR="0000099C" w:rsidRPr="0000099C" w:rsidRDefault="0000099C" w:rsidP="00A87413">
            <w:pPr>
              <w:pStyle w:val="Heading2"/>
              <w:spacing w:before="0" w:beforeAutospacing="0" w:after="0" w:afterAutospacing="0"/>
              <w:rPr>
                <w:b w:val="0"/>
                <w:sz w:val="18"/>
                <w:szCs w:val="18"/>
                <w:lang w:val="sq-AL" w:eastAsia="sq-AL" w:bidi="sq-AL"/>
              </w:rPr>
            </w:pPr>
            <w:r w:rsidRPr="0000099C">
              <w:rPr>
                <w:b w:val="0"/>
                <w:sz w:val="18"/>
                <w:szCs w:val="18"/>
                <w:lang w:val="sq-AL" w:eastAsia="sq-AL" w:bidi="sq-AL"/>
              </w:rPr>
              <w:t>Bashkëpunimi në kuadër të mbikëqyrjes në nivel grupi</w:t>
            </w:r>
          </w:p>
          <w:p w:rsidR="0000099C" w:rsidRPr="0000099C" w:rsidRDefault="0000099C" w:rsidP="00A87413">
            <w:pPr>
              <w:pStyle w:val="Heading2"/>
              <w:spacing w:before="0" w:beforeAutospacing="0" w:after="0" w:afterAutospacing="0"/>
              <w:rPr>
                <w:sz w:val="18"/>
                <w:szCs w:val="18"/>
                <w:lang w:val="sq-AL"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00099C" w:rsidRPr="0000099C" w:rsidRDefault="0000099C" w:rsidP="00A87413">
            <w:pPr>
              <w:suppressAutoHyphens w:val="0"/>
              <w:spacing w:after="0" w:line="240" w:lineRule="auto"/>
              <w:rPr>
                <w:rFonts w:ascii="Times New Roman" w:hAnsi="Times New Roman"/>
                <w:sz w:val="18"/>
                <w:szCs w:val="18"/>
                <w:lang w:val="sq-AL" w:eastAsia="sq-AL" w:bidi="sq-AL"/>
              </w:rPr>
            </w:pPr>
            <w:r w:rsidRPr="0000099C">
              <w:rPr>
                <w:rFonts w:ascii="Times New Roman" w:hAnsi="Times New Roman"/>
                <w:sz w:val="18"/>
                <w:szCs w:val="18"/>
                <w:lang w:val="sq-AL" w:eastAsia="sq-AL" w:bidi="sq-AL"/>
              </w:rPr>
              <w:t>Në rastin e institucioneve të kreditit dhe institucioneve financiare që janë pjesë e një grupi, autoritetet mbikëqyrëse përkatëse të shtetit të origjinës dhe ato të shtetit pritës bashkëpunojnë ndërmjet tyre në masën më të gjerë të mundshme, pavarësisht natyrës ose statusit të tyre institucional, për qëllimet e përcaktuara në këtë ligj.</w:t>
            </w:r>
          </w:p>
          <w:p w:rsidR="006E5B5B" w:rsidRPr="0000099C" w:rsidRDefault="0000099C" w:rsidP="00A87413">
            <w:pPr>
              <w:suppressAutoHyphens w:val="0"/>
              <w:spacing w:after="0" w:line="240" w:lineRule="auto"/>
              <w:rPr>
                <w:rFonts w:ascii="Times New Roman" w:hAnsi="Times New Roman"/>
                <w:sz w:val="18"/>
                <w:szCs w:val="18"/>
                <w:lang w:val="sq-AL" w:eastAsia="sq-AL" w:bidi="sq-AL"/>
              </w:rPr>
            </w:pPr>
            <w:r w:rsidRPr="0000099C">
              <w:rPr>
                <w:rFonts w:ascii="Times New Roman" w:hAnsi="Times New Roman"/>
                <w:sz w:val="18"/>
                <w:szCs w:val="18"/>
                <w:lang w:val="sq-AL" w:eastAsia="sq-AL" w:bidi="sq-AL"/>
              </w:rPr>
              <w:t>Autoritetet mbikëqyrëse bashkëpunojnë gjithashtu me Autoritetin për Luftën kundër Pastrimit të Parave (AMLA), në përputhje me marrëveshjet ndërkombëtare dhe kuadrin përkatës ligjor</w:t>
            </w:r>
            <w:r w:rsidR="006E5B5B" w:rsidRPr="00F727DA">
              <w:rPr>
                <w:rFonts w:ascii="Times New Roman" w:hAnsi="Times New Roman"/>
                <w:sz w:val="18"/>
                <w:szCs w:val="18"/>
                <w:lang w:eastAsia="sq-AL" w:bidi="sq-AL"/>
              </w:rPr>
              <w:t>.</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46(1), duke parashikuar bashkëpunimin ndërmjet autoriteteve mbikëqyrëse të shtetit të origjinës dhe atij pritës në kontekstin e mbikëqyrjes në nivel grupi, si dhe bashkëpunimin me Autoritetin për Luftën kundër Pastrimit të Parave (AMLA), në përputhje me kuadrin përkatës ligjor dhe marrëveshjet ndërkombëtare.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kur AMLA vepron si mbikëqyrës, shtetet anëtare garantojnë që mbikëqyrësit financiarë të shtetit anëtar të origjinës të mbikëqyrin zbatimin efektiv të politikave, procedurave dhe kontrolleve në nivel grupi të përmendura në kreun II, seksioni 2, të Rregullores (BE) 2024/1624. Shtetet anëtare garantojnë gjithashtu që mbikëqyrësit financiarë të shtetit anëtar pritës të mbikëqyrin pajtueshmërinë e njësive që ndodhen në territorin e shtetit të tyre anëtar me Rregulloret (BE) 2024/1624 dhe (BE) 2023/1113.</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716EC" w:rsidRPr="00F716EC" w:rsidRDefault="00F716EC" w:rsidP="00A87413">
            <w:pPr>
              <w:suppressAutoHyphens w:val="0"/>
              <w:spacing w:after="0" w:line="240" w:lineRule="auto"/>
              <w:rPr>
                <w:rFonts w:ascii="Times New Roman" w:hAnsi="Times New Roman"/>
                <w:sz w:val="18"/>
                <w:szCs w:val="18"/>
                <w:lang w:val="sq-AL" w:eastAsia="sq-AL" w:bidi="sq-AL"/>
              </w:rPr>
            </w:pPr>
            <w:r w:rsidRPr="00F716EC">
              <w:rPr>
                <w:rFonts w:ascii="Times New Roman" w:hAnsi="Times New Roman"/>
                <w:sz w:val="18"/>
                <w:szCs w:val="18"/>
                <w:lang w:val="sq-AL" w:eastAsia="sq-AL" w:bidi="sq-AL"/>
              </w:rPr>
              <w:t>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Seksionin  të Rregullores (BE) 2024/1624).</w:t>
            </w:r>
          </w:p>
          <w:p w:rsidR="00F716EC" w:rsidRDefault="00F716EC" w:rsidP="00A87413">
            <w:pPr>
              <w:suppressAutoHyphens w:val="0"/>
              <w:spacing w:after="0" w:line="240" w:lineRule="auto"/>
              <w:rPr>
                <w:rFonts w:ascii="Times New Roman" w:hAnsi="Times New Roman"/>
                <w:sz w:val="18"/>
                <w:szCs w:val="18"/>
                <w:lang w:val="sq-AL" w:eastAsia="sq-AL" w:bidi="sq-AL"/>
              </w:rPr>
            </w:pPr>
          </w:p>
          <w:p w:rsidR="006E5B5B" w:rsidRPr="00CE683F" w:rsidRDefault="00F716EC" w:rsidP="00A87413">
            <w:pPr>
              <w:suppressAutoHyphens w:val="0"/>
              <w:spacing w:after="0" w:line="240" w:lineRule="auto"/>
              <w:rPr>
                <w:rFonts w:ascii="Times New Roman" w:hAnsi="Times New Roman"/>
                <w:sz w:val="18"/>
                <w:szCs w:val="18"/>
                <w:lang w:val="sq-AL" w:eastAsia="sq-AL" w:bidi="sq-AL"/>
              </w:rPr>
            </w:pPr>
            <w:r w:rsidRPr="00F716EC">
              <w:rPr>
                <w:rFonts w:ascii="Times New Roman" w:hAnsi="Times New Roman"/>
                <w:sz w:val="18"/>
                <w:szCs w:val="18"/>
                <w:lang w:val="sq-AL" w:eastAsia="sq-AL" w:bidi="sq-AL"/>
              </w:rPr>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dhe të rregullave për transferimin e fondeve dhe kripoaseteve, sipas legjislacionit të fushës.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46(2), duke parashikuar ndarjen e kompetencave ndërmjet autoritetit mbikëqyrës të shtetit të origjinës dhe atij të shtetit pritës në kontekstin e mbikëqyrjes në nivel grupi. Parashikohet mbikëqyrja e zbatimit efektiv të politikave dhe kontrolleve në nivel grupi nga autoriteti i shtetit të origjinës dhe mbikëqyrja e respektimit të kërkesave ligjore nga entitetet e vendosura në territorin e shtetit pritës. Referencat ndaj rregulloreve të BE-së janë përshtatur me kuadrin kombëtar përkatës, pa ndryshuar përmbajtjen thelbësore të dispozitës.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këtij neni, dhe përveç rasteve kur ngrihen kolegje mbikëqyrëse për luftën kundër pastrimit të parave dhe financimit të terrorizmit në përputhje me nenin 49, shtetet anëtare garantojnë që mbikëqyrësit financiarë t'i ofrojnë njëri-tjetrit çdo informacion që ata kërkojnë për ushtrimin e detyrave të tyre mbikëqyrëse, qoftë me kërkesë ose me iniciativë të vet. Në veçanti, mbikëqyrësit financiarë shkëmbejnë çdo informacion që mund të ndikojë ndjeshëm në vlerësimin e ekspozimit ndaj rrezikut të qenësishëm ose të mbetur të një institucioni krediti ose institucioni financiar në një tjetër shtet anëtar, duke përfshirë: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CE683F" w:rsidRPr="00CE683F" w:rsidRDefault="00CE683F" w:rsidP="00A87413">
            <w:pPr>
              <w:pStyle w:val="NormalWeb"/>
              <w:spacing w:before="0" w:beforeAutospacing="0" w:after="0" w:afterAutospacing="0"/>
              <w:rPr>
                <w:sz w:val="18"/>
                <w:szCs w:val="18"/>
                <w:lang w:val="sq-AL" w:eastAsia="sq-AL" w:bidi="sq-AL"/>
              </w:rPr>
            </w:pPr>
            <w:r w:rsidRPr="00CE683F">
              <w:rPr>
                <w:sz w:val="18"/>
                <w:szCs w:val="18"/>
                <w:lang w:val="sq-AL" w:eastAsia="sq-AL" w:bidi="sq-AL"/>
              </w:rPr>
              <w:t>3. Për qëllimet e këtij neni dhe me përjashtim të rasteve kur krijohen kolegje mbikëqyrëse për parandalimin e pastrimit të parave dhe financimit të terrorizmit në përputhje me këtë ligj,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marrëveshjet ndërkombëtare dhe kuadrin ligjor në fuqi.</w:t>
            </w:r>
          </w:p>
          <w:p w:rsidR="006E5B5B" w:rsidRPr="00CE683F" w:rsidRDefault="00CE683F" w:rsidP="00A87413">
            <w:pPr>
              <w:pStyle w:val="NormalWeb"/>
              <w:spacing w:before="0" w:beforeAutospacing="0" w:after="0" w:afterAutospacing="0"/>
              <w:rPr>
                <w:sz w:val="18"/>
                <w:szCs w:val="18"/>
                <w:lang w:val="sq-AL" w:eastAsia="sq-AL" w:bidi="sq-AL"/>
              </w:rPr>
            </w:pPr>
            <w:r w:rsidRPr="00CE683F">
              <w:rPr>
                <w:sz w:val="18"/>
                <w:szCs w:val="18"/>
                <w:lang w:val="sq-AL" w:eastAsia="sq-AL" w:bidi="sq-AL"/>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ndërkufitare, përfshirë informacionin mbi: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46(3), duke vendosur detyrimin për autoritetet mbikëqyrëse financiare që të shkëmbejnë ndërmjet tyre çdo informacion të nevojshëm për ushtrimin e funksioneve mbikëqyrëse, si me kërkesë ashtu edhe me nismën e tyre, si dhe duke parashikuar shkëmbimin e informacionit që mund të ndikojë ndjeshëm në vlerësimin e rrezikut të natyrshëm ose të mbetur në kontekst ndërkufitar.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identifikimin e strukturës ligjore, qeverisëse dhe organizative të grupit, duke përfshirë të gjitha filialet dhe degët;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identifikimin e strukturës juridike, të drejtimit dhe organizative të grupit, duke përfshirë të gjitha filialet dhe degët e tij;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46(3)(a), duke parashikuar shkëmbimin e informacionit mbi strukturën juridike, të qeverisjes dhe organizative të grupit, përfshirë të gjitha filialet dhe degët, në përputhje me kërkesat e acquis.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përkatës mbi pronarët përfitues dhe drejtuesit e lartë, duke përfshirë rezultatet e kontrolleve të kompetencës dhe integritetit, të kryera në bazë të kësaj direktive ose akteve të tjera ligjore të BE-së;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informacionin përkatës mbi pronarët përfitues dhe drejtuesit e lartë të grupit, përfshirë rezultatet e vlerësimeve të përshtatshmërisë dhe integritetit, të kryera sipas këtij ligji apo sipas legjislacionit tjetër përkatës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46(3)(b), duke parashikuar shkëmbimin e informacionit mbi pronarët përfitues dhe drejtuesit e lartë të grupit, përfshirë rezultatet e vlerësimeve të përshtatshmërisë dhe integritetit (“fit and proper”), në përputhje me kërkesat e acquis.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politikat, procedurat dhe kontrollet e zbatueshme brenda grupit;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politikat, procedurat dhe kontrollet e brendshme të vendosura në nivel grupi;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46(3)(c), duke parashikuar shkëmbimin e informacionit mbi politikat, procedurat dhe kontrollet e brendshme të vendosura në nivel grupi, në përputhje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mbi vigjilencën e duhur ndaj klientit, duke përfshirë dosjet e klientëve dhe regjistrimet e transaksioneve;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ç) informacionin mbi masat e vigjilencës së duhur ndaj klientit, përfshirë dosjet e klientëve dhe të dhënat dhe dokumentacionin e transaksioneve/ regjistrimet e transaksioneve;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46(3)(d), duke parashikuar shkëmbimin e informacionit mbi masat e kujdesit të duhur ndaj klientit, përfshirë dosjet e klientëve dhe regjistrimet e transaksioneve, në përputhje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zhvillimet negative në lidhje me ndërmarrjen mëmë, filialet ose degët, të cilat mund të kenë ndikim serioz në pjesë të tjera të grupit;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zhvillimet ose rrethanat me ndikim negativ që lidhen me shoqërinë mëmë, filialet ose degët, të cilat mund të ndikojnë në mënyrë të konsiderueshme pjesë të tjera të grupit;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46(3)(e), duke parashikuar shkëmbimin e informacionit mbi zhvillime ose rrethana me ndikim negativ që lidhen me shoqërinë mëmë, filialet ose degët dhe që mund të ndikojnë ndjeshëm pjesë të tjera të grupit, në përputhje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sanksionet në formë gjobe që mbikëqyrësit financiarë synojnë të vendosin, si dhe masat administrative që mbikëqyrësit financiarë synojnë të zbatojnë në përputhje me seksionin 4 të këtij kreu.</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mbikëqyrësit financiarë të jenë në gjendje të kryejnë, brenda kompetencave të tyre, hetime në emër të mbikëqyrësit që paraqet kërkesën, si dhe të shkëmbejnë informacionin e marrë nëpërmjet këtyre hetimeve, ose të lehtësojnë kryerjen e këtyre hetimeve nga mbikëqyrësi që paraqet kërkesën.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sanksionet me karakter financiar që autoritetet mbikëqyrëse financiare synojnë të vendosin dhe masat administrative që synojnë të zbatojnë në përputhje me dispozitat përkatëse të këtij ligji.</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mbikëqyrëse financiare janë të autorizuara që, brenda kufijve të kompetencave të tyre ligjore, të kryejnë verifikime ose kontrolle në emër të një autoriteti mbikëqyrës kërkues, si dhe të ndajnë informacionin e përftuar nëpërmjet këtyre veprimeve, ose të lehtësojnë kryerjen e tyre nga autoriteti kërkues.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46(3)(f), duke parashikuar shkëmbimin e informacionit mbi sanksionet financiare dhe masat administrative që synohen të aplikohen, si dhe duke garantuar aftësinë e autoriteteve mbikëqyrëse për të kryer verifikime në emër të një autoriteti tjetër dhe për të ndarë informacionin përkatës. Dispozita është në përputhje të plotë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detajojnë detyrat përkatëse të mbikëqyrësve të shtetit të origjinës dhe të shtetit pritës, si dhe modalitetet e bashkëpunimit ndërmjet tyre.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ka karakter institucional dhe lidhet me kompetencat e AMLA dhe Komisionit Evropian për miratimin e standardeve teknike rregullatore. Ajo nuk kërkon transpozim në legjislacionin kombëtar dhe do të zbatohet drejtpërdrejt pas anëtarësimit të Republikës së Shqipërisë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mund t'i referohen AMLA-s në cilëndo nga situatat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F0EAC"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5. Autoritetet mbikëqyrëse financiare mund t’i drejtojnë AMLA-s situatat e parashikuara në këtë nen, në përputhje me marrëveshjet ndërkombëtare dhe kuadrin ligjor në fuqi.</w:t>
            </w:r>
          </w:p>
          <w:p w:rsidR="006F0EAC"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Mekanizmat proceduralë të parashikuar nga legjislacioni i Bashkimit Evropian zbatohen pas anëtarësimit të Republikës së Shqipërisë në Bashkimin Evropian.</w:t>
            </w:r>
          </w:p>
          <w:p w:rsidR="006E5B5B"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Për sa më sipër autoritet mbikëqyrëse mund ti drejtohen AMLAs në një nga situatat e mëposhtme:</w:t>
            </w:r>
          </w:p>
        </w:tc>
        <w:tc>
          <w:tcPr>
            <w:tcW w:w="1356" w:type="dxa"/>
            <w:shd w:val="clear" w:color="auto" w:fill="auto"/>
          </w:tcPr>
          <w:p w:rsidR="006E5B5B" w:rsidRPr="00F727DA" w:rsidRDefault="006F0EAC" w:rsidP="00A87413">
            <w:pPr>
              <w:spacing w:after="0"/>
              <w:rPr>
                <w:rFonts w:ascii="Times New Roman" w:hAnsi="Times New Roman"/>
                <w:sz w:val="18"/>
                <w:szCs w:val="18"/>
                <w:lang w:eastAsia="sq-AL" w:bidi="sq-AL"/>
              </w:rPr>
            </w:pPr>
            <w:r w:rsidRPr="006F0EAC">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krijon një mekanizëm referimi pranë AMLA brenda sistemit institucional të BE-së. Si vend kandidat, Shqipëria nuk është aktualisht pjesë e këtij mekanizmi. Dispozita do të bëhet plotësisht operative pas anëtarësimit në Bashkimin Evropian.</w:t>
            </w:r>
          </w:p>
        </w:tc>
      </w:tr>
      <w:tr w:rsidR="006F0EAC" w:rsidRPr="00F727DA" w:rsidTr="00E24C86">
        <w:trPr>
          <w:trHeight w:val="578"/>
        </w:trPr>
        <w:tc>
          <w:tcPr>
            <w:tcW w:w="900" w:type="dxa"/>
            <w:shd w:val="clear" w:color="auto" w:fill="auto"/>
            <w:vAlign w:val="center"/>
          </w:tcPr>
          <w:p w:rsidR="006F0EAC" w:rsidRPr="00F727DA" w:rsidRDefault="006F0E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46(5)(a)</w:t>
            </w:r>
          </w:p>
        </w:tc>
        <w:tc>
          <w:tcPr>
            <w:tcW w:w="3507" w:type="dxa"/>
            <w:shd w:val="clear" w:color="auto" w:fill="auto"/>
            <w:vAlign w:val="center"/>
          </w:tcPr>
          <w:p w:rsidR="006F0EAC" w:rsidRPr="00F727DA" w:rsidRDefault="006F0E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mbikëqyrës financiar nuk ka komunikuar informacionin e përmendur në paragrafin 3;</w:t>
            </w:r>
          </w:p>
        </w:tc>
        <w:tc>
          <w:tcPr>
            <w:tcW w:w="1266" w:type="dxa"/>
            <w:gridSpan w:val="2"/>
            <w:shd w:val="clear" w:color="auto" w:fill="auto"/>
            <w:vAlign w:val="center"/>
          </w:tcPr>
          <w:p w:rsidR="006F0EAC" w:rsidRPr="00F727DA" w:rsidRDefault="006F0EAC" w:rsidP="00A87413">
            <w:pPr>
              <w:snapToGrid w:val="0"/>
              <w:spacing w:after="0" w:line="240" w:lineRule="auto"/>
              <w:rPr>
                <w:rFonts w:ascii="Times New Roman" w:hAnsi="Times New Roman"/>
                <w:sz w:val="18"/>
                <w:szCs w:val="18"/>
              </w:rPr>
            </w:pPr>
          </w:p>
        </w:tc>
        <w:tc>
          <w:tcPr>
            <w:tcW w:w="1980" w:type="dxa"/>
            <w:shd w:val="clear" w:color="auto" w:fill="auto"/>
          </w:tcPr>
          <w:p w:rsidR="006F0EAC" w:rsidRPr="00F727DA" w:rsidRDefault="006F0EAC"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F0EAC" w:rsidRPr="00F727DA" w:rsidRDefault="006F0EAC"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kur një autoritet mbikëqyrës financiar nuk ka komunikuar informacionin e parashikuar në pikën 3 të këtij neni;</w:t>
            </w:r>
          </w:p>
        </w:tc>
        <w:tc>
          <w:tcPr>
            <w:tcW w:w="1356" w:type="dxa"/>
            <w:shd w:val="clear" w:color="auto" w:fill="auto"/>
          </w:tcPr>
          <w:p w:rsidR="006F0EAC" w:rsidRPr="006F0EAC" w:rsidRDefault="006F0EAC" w:rsidP="00A87413">
            <w:pPr>
              <w:spacing w:after="0"/>
              <w:rPr>
                <w:rFonts w:ascii="Times New Roman" w:hAnsi="Times New Roman"/>
                <w:sz w:val="18"/>
                <w:szCs w:val="18"/>
              </w:rPr>
            </w:pPr>
            <w:r w:rsidRPr="006F0EAC">
              <w:rPr>
                <w:rFonts w:ascii="Times New Roman" w:hAnsi="Times New Roman"/>
                <w:sz w:val="18"/>
                <w:szCs w:val="18"/>
              </w:rPr>
              <w:t>“Transpozuar – zbatim subjekt i kuadrit të BE-së</w:t>
            </w:r>
          </w:p>
        </w:tc>
        <w:tc>
          <w:tcPr>
            <w:tcW w:w="3324" w:type="dxa"/>
            <w:shd w:val="clear" w:color="auto" w:fill="auto"/>
            <w:vAlign w:val="center"/>
          </w:tcPr>
          <w:p w:rsidR="006F0EAC" w:rsidRPr="00F727DA" w:rsidRDefault="006F0EAC"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mosbashkëpunimi ndërmjet autoriteteve mbikëqyrëse. Mekanizmi do të bëhet plotësisht operacional pas anëtarësimit të Republikës së Shqipërisë në Bashkimin Evropian.</w:t>
            </w:r>
          </w:p>
        </w:tc>
      </w:tr>
      <w:tr w:rsidR="006F0EAC" w:rsidRPr="00F727DA" w:rsidTr="00E24C86">
        <w:trPr>
          <w:trHeight w:val="578"/>
        </w:trPr>
        <w:tc>
          <w:tcPr>
            <w:tcW w:w="900" w:type="dxa"/>
            <w:shd w:val="clear" w:color="auto" w:fill="auto"/>
            <w:vAlign w:val="center"/>
          </w:tcPr>
          <w:p w:rsidR="006F0EAC" w:rsidRPr="00F727DA" w:rsidRDefault="006F0E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46(5)(b)</w:t>
            </w:r>
          </w:p>
        </w:tc>
        <w:tc>
          <w:tcPr>
            <w:tcW w:w="3507" w:type="dxa"/>
            <w:shd w:val="clear" w:color="auto" w:fill="auto"/>
            <w:vAlign w:val="center"/>
          </w:tcPr>
          <w:p w:rsidR="006F0EAC" w:rsidRPr="00F727DA" w:rsidRDefault="006F0E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kërkesë për bashkëpunim është refuzuar ose nuk është ndjekur brenda një kohe të arsyeshme;</w:t>
            </w:r>
          </w:p>
        </w:tc>
        <w:tc>
          <w:tcPr>
            <w:tcW w:w="1266" w:type="dxa"/>
            <w:gridSpan w:val="2"/>
            <w:shd w:val="clear" w:color="auto" w:fill="auto"/>
            <w:vAlign w:val="center"/>
          </w:tcPr>
          <w:p w:rsidR="006F0EAC" w:rsidRPr="00F727DA" w:rsidRDefault="006F0EAC" w:rsidP="00A87413">
            <w:pPr>
              <w:snapToGrid w:val="0"/>
              <w:spacing w:after="0" w:line="240" w:lineRule="auto"/>
              <w:rPr>
                <w:rFonts w:ascii="Times New Roman" w:hAnsi="Times New Roman"/>
                <w:sz w:val="18"/>
                <w:szCs w:val="18"/>
              </w:rPr>
            </w:pPr>
          </w:p>
        </w:tc>
        <w:tc>
          <w:tcPr>
            <w:tcW w:w="1980" w:type="dxa"/>
            <w:shd w:val="clear" w:color="auto" w:fill="auto"/>
          </w:tcPr>
          <w:p w:rsidR="006F0EAC" w:rsidRPr="00F727DA" w:rsidRDefault="006F0EAC"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F0EAC" w:rsidRPr="00F727DA" w:rsidRDefault="006F0EAC"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kërkesë për bashkëpunim është refuzuar ose nuk është trajtuar brenda një afati të arsyeshëm;</w:t>
            </w:r>
          </w:p>
        </w:tc>
        <w:tc>
          <w:tcPr>
            <w:tcW w:w="1356" w:type="dxa"/>
            <w:shd w:val="clear" w:color="auto" w:fill="auto"/>
          </w:tcPr>
          <w:p w:rsidR="006F0EAC" w:rsidRPr="006F0EAC" w:rsidRDefault="006F0EAC" w:rsidP="00A87413">
            <w:pPr>
              <w:spacing w:after="0"/>
              <w:rPr>
                <w:rFonts w:ascii="Times New Roman" w:hAnsi="Times New Roman"/>
                <w:sz w:val="18"/>
                <w:szCs w:val="18"/>
              </w:rPr>
            </w:pPr>
            <w:r w:rsidRPr="006F0EAC">
              <w:rPr>
                <w:rFonts w:ascii="Times New Roman" w:hAnsi="Times New Roman"/>
                <w:sz w:val="18"/>
                <w:szCs w:val="18"/>
              </w:rPr>
              <w:t>“Transpozuar – zbatim subjekt i kuadrit të BE-së</w:t>
            </w:r>
          </w:p>
        </w:tc>
        <w:tc>
          <w:tcPr>
            <w:tcW w:w="3324" w:type="dxa"/>
            <w:shd w:val="clear" w:color="auto" w:fill="auto"/>
            <w:vAlign w:val="center"/>
          </w:tcPr>
          <w:p w:rsidR="006F0EAC" w:rsidRPr="00F727DA" w:rsidRDefault="006F0EAC"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krijon një mekanizëm referimi pranë AMLA brenda sistemit institucional të Bashkimit Evropian. Si vend kandidat, Shqipëria nuk është aktualisht pjesë e këtij mekanizmi. Ai do të zbatohet drejtpërdrejt pas anëtarësimit në BE.</w:t>
            </w:r>
          </w:p>
        </w:tc>
      </w:tr>
      <w:tr w:rsidR="006F0EAC" w:rsidRPr="00F727DA" w:rsidTr="00E24C86">
        <w:trPr>
          <w:trHeight w:val="578"/>
        </w:trPr>
        <w:tc>
          <w:tcPr>
            <w:tcW w:w="900" w:type="dxa"/>
            <w:shd w:val="clear" w:color="auto" w:fill="auto"/>
            <w:vAlign w:val="center"/>
          </w:tcPr>
          <w:p w:rsidR="006F0EAC" w:rsidRPr="00F727DA" w:rsidRDefault="006F0EAC"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46(5)(c)</w:t>
            </w:r>
          </w:p>
        </w:tc>
        <w:tc>
          <w:tcPr>
            <w:tcW w:w="3507" w:type="dxa"/>
            <w:shd w:val="clear" w:color="auto" w:fill="auto"/>
            <w:vAlign w:val="center"/>
          </w:tcPr>
          <w:p w:rsidR="006F0EAC" w:rsidRPr="00F727DA" w:rsidRDefault="006F0E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mosmarrëveshje të bazuara në arsye objektive lidhur me shkeljet e identifikuara dhe me sanksionet në formë gjobe që do të vendosen ose masat administrative që do të zbatohen ndaj subjektit apo grupit me qëllim korrigjimin e këtyre shkeljeve.</w:t>
            </w:r>
          </w:p>
          <w:p w:rsidR="006F0EAC" w:rsidRPr="00F727DA" w:rsidRDefault="006F0EAC"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veprojë në përputhje me kompetencat që i janë dhënë në kuadër të nenit 33 të Rregullores (BE) 2024/1620. Kur e bën këtë, AMLA jep opinionin e saj mbi objektin e kërkesës brenda 1 muaji.</w:t>
            </w:r>
          </w:p>
        </w:tc>
        <w:tc>
          <w:tcPr>
            <w:tcW w:w="1266" w:type="dxa"/>
            <w:gridSpan w:val="2"/>
            <w:shd w:val="clear" w:color="auto" w:fill="auto"/>
            <w:vAlign w:val="center"/>
          </w:tcPr>
          <w:p w:rsidR="006F0EAC" w:rsidRPr="00F727DA" w:rsidRDefault="006F0EAC" w:rsidP="00A87413">
            <w:pPr>
              <w:snapToGrid w:val="0"/>
              <w:spacing w:after="0" w:line="240" w:lineRule="auto"/>
              <w:rPr>
                <w:rFonts w:ascii="Times New Roman" w:hAnsi="Times New Roman"/>
                <w:sz w:val="18"/>
                <w:szCs w:val="18"/>
              </w:rPr>
            </w:pPr>
          </w:p>
        </w:tc>
        <w:tc>
          <w:tcPr>
            <w:tcW w:w="1980" w:type="dxa"/>
            <w:shd w:val="clear" w:color="auto" w:fill="auto"/>
          </w:tcPr>
          <w:p w:rsidR="006F0EAC" w:rsidRPr="00F727DA" w:rsidRDefault="006F0EAC"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F0EAC"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c) kur ekziston një mosmarrëveshje, e bazuar në arsye objektive, lidhur me shkeljet e identifikuara ose me gjobat administrative që do të vendosen, apo masat administrative që do të zbatohen ndaj një subjekti ose grupi për të korrigjuar këto shkelje.</w:t>
            </w:r>
          </w:p>
          <w:p w:rsidR="006F0EAC" w:rsidRPr="006F0EAC" w:rsidRDefault="006F0EAC" w:rsidP="00A87413">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Në rastet e parashikuara në këtë pikë, Autoriteti për Luftën kundër Pastrimit të Parave (AMLA) mund të veprojë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tc>
        <w:tc>
          <w:tcPr>
            <w:tcW w:w="1356" w:type="dxa"/>
            <w:shd w:val="clear" w:color="auto" w:fill="auto"/>
          </w:tcPr>
          <w:p w:rsidR="006F0EAC" w:rsidRPr="006F0EAC" w:rsidRDefault="006F0EAC" w:rsidP="00A87413">
            <w:pPr>
              <w:spacing w:after="0"/>
              <w:rPr>
                <w:rFonts w:ascii="Times New Roman" w:hAnsi="Times New Roman"/>
                <w:sz w:val="18"/>
                <w:szCs w:val="18"/>
              </w:rPr>
            </w:pPr>
            <w:r w:rsidRPr="006F0EAC">
              <w:rPr>
                <w:rFonts w:ascii="Times New Roman" w:hAnsi="Times New Roman"/>
                <w:sz w:val="18"/>
                <w:szCs w:val="18"/>
              </w:rPr>
              <w:t>“Transpozuar – zbatim subjekt i kuadrit të BE-së</w:t>
            </w:r>
          </w:p>
        </w:tc>
        <w:tc>
          <w:tcPr>
            <w:tcW w:w="3324" w:type="dxa"/>
            <w:shd w:val="clear" w:color="auto" w:fill="auto"/>
            <w:vAlign w:val="center"/>
          </w:tcPr>
          <w:p w:rsidR="006F0EAC" w:rsidRPr="00F727DA" w:rsidRDefault="006F0EAC"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pjesën materiale të nenit 46(5)(c), duke parashikuar mundësinë e referimit në rast mosmarrëveshjeje mbi shkeljet dhe masat korrigjuese. Pjesa që lidhet me kompetencat dhe procedurën e ndërhyrjes së AMLA ka karakter institucional dhe do të zbatohet drejtpërdrejt pas anëtarësimit të Republikës së Shqipërisë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ky nen të zbatohet edhe për mbikëqyrjen 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Dispozitat e këtij neni zbatohen gjithashtu për mbikëqyrjen edhe 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46(6)(a), duke zgjeruar zbatimin e rregullave të mbikëqyrjes në nivel grupi edhe për grupet e subjekteve të detyruara në sektorin jofinanciar, në përputhje me kërkesat 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46(6)(a)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grupeve të subjekteve të detyruara në sektorin jofinanciar;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a)grupeve të subjekteve të detyruara në sektorin jofinanciar;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46(6)(b)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subjekteve të detyruara që operojnë në bazë të lirisë për të ofruar shërbime pa infrastrukturë në një shtet tjetër anëtar të ndryshëm nga ai ku janë vendosur, kur mbikëqyrja e veprimtarive në atë shtet tjetër anëtar kryhet nga mbikëqyrësit e atij shteti tjetër anëtar në përputhje me nenin 37, paragrafi 1, nënparagrafi i dytë.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46(6)(b), duke zgjeruar zbatimin e rregullave të mbikëqyrjes në nivel grupi edhe për subjektet që ushtrojnë veprimtari ndërkufitare pa prani fizike në një shtet tjetër, kur mbikëqyrja ushtrohet nga autoriteti i atij shteti,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situatat e përmendura në paragrafin 5 paraqiten në lidhje me mbikëqyrësit jofinanciarë, AMLA mund të veprojë në përputhje me kompetencat që i janë dhënë sipas nenit 38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1C5C20" w:rsidRDefault="001C5C20" w:rsidP="00A87413">
            <w:pPr>
              <w:widowControl w:val="0"/>
              <w:spacing w:after="0" w:line="240" w:lineRule="auto"/>
              <w:rPr>
                <w:rFonts w:ascii="Times New Roman" w:hAnsi="Times New Roman"/>
                <w:sz w:val="18"/>
                <w:szCs w:val="18"/>
                <w:lang w:val="sq-AL" w:eastAsia="sq-AL" w:bidi="sq-AL"/>
              </w:rPr>
            </w:pPr>
            <w:r w:rsidRPr="001C5C20">
              <w:rPr>
                <w:rFonts w:ascii="Times New Roman" w:hAnsi="Times New Roman"/>
                <w:sz w:val="18"/>
                <w:szCs w:val="18"/>
                <w:lang w:val="sq-AL" w:eastAsia="sq-AL" w:bidi="sq-AL"/>
              </w:rPr>
              <w:t>7. Kur situatat e parashikuara në pikën 5 të këtij neni lindin në lidhje me autoritetet mbikëqyrëse të sektorit jo financiar, Autoriteti 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tc>
        <w:tc>
          <w:tcPr>
            <w:tcW w:w="1356" w:type="dxa"/>
            <w:shd w:val="clear" w:color="auto" w:fill="auto"/>
            <w:vAlign w:val="center"/>
          </w:tcPr>
          <w:p w:rsidR="006E5B5B" w:rsidRPr="00F727DA" w:rsidRDefault="001C5C20" w:rsidP="00A87413">
            <w:pPr>
              <w:widowControl w:val="0"/>
              <w:snapToGrid w:val="0"/>
              <w:spacing w:after="0" w:line="240" w:lineRule="auto"/>
              <w:rPr>
                <w:rFonts w:ascii="Times New Roman" w:hAnsi="Times New Roman"/>
                <w:sz w:val="18"/>
                <w:szCs w:val="18"/>
                <w:lang w:eastAsia="sq-AL" w:bidi="sq-AL"/>
              </w:rPr>
            </w:pPr>
            <w:r w:rsidRPr="001C5C20">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ndërhyrjes së AMLA në rastet që përfshijnë autoritete mbikëqyrëse jofinanciare. Zbatimi i plotë i kompetencave të AMLA do të realizohet në përputhje me legjislacionin e Bashkimit Evropian dhe do të bëhet plotësisht operacional pas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në rastet kur subjektet e detyruara në sektorin jofinanciar janë pjesë e strukturave me pronësi, menaxhim ose kontroll pajtueshmërie të përbashkët, duke përfshirë rrjetet ose partneritetet, mbikëqyrësit jofinanciarë të bashkëpunojnë dhe të shkëmbejnë informacion.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1C5C20" w:rsidRDefault="001C5C20" w:rsidP="00A87413">
            <w:pPr>
              <w:widowControl w:val="0"/>
              <w:spacing w:after="0" w:line="240" w:lineRule="auto"/>
              <w:rPr>
                <w:rFonts w:ascii="Times New Roman" w:hAnsi="Times New Roman"/>
                <w:sz w:val="18"/>
                <w:szCs w:val="18"/>
                <w:lang w:val="sq-AL" w:eastAsia="sq-AL" w:bidi="sq-AL"/>
              </w:rPr>
            </w:pPr>
            <w:r w:rsidRPr="001C5C20">
              <w:rPr>
                <w:rFonts w:ascii="Times New Roman" w:hAnsi="Times New Roman"/>
                <w:sz w:val="18"/>
                <w:szCs w:val="18"/>
                <w:lang w:val="sq-AL" w:eastAsia="sq-AL" w:bidi="sq-AL"/>
              </w:rPr>
              <w:t>Në rastet kur subjektet e detyruara në sektorin jo financiar janë pjesë e strukturave që ndajnë pronësi të përbashkët, drejtim të përbashkët ose kontroll të përbashkët të pajtueshmërisë, përfshirë rrjete ose partneritete, autoritetet mbikëqyrëse të sektorit jo financiar bashkëpunojnë dhe shkëmbejnë informacion ndërmjet tyre.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sz w:val="18"/>
                <w:szCs w:val="18"/>
              </w:rPr>
              <w:t>Dispozita transpozon plotësisht kërkesën e nenit 46 për bashkëpunimin dhe shkëmbimin e informacionit ndërmjet autoriteteve mbikëqyrëse jofinanciare kur subjektet janë pjesë e strukturave me pronësi, drejtim ose kontroll të përbashkët të pajtueshmërisë, në përputhje me acquis.</w:t>
            </w:r>
          </w:p>
        </w:tc>
      </w:tr>
      <w:tr w:rsidR="001C5C20" w:rsidRPr="00F727DA" w:rsidTr="00E24C86">
        <w:trPr>
          <w:trHeight w:val="578"/>
        </w:trPr>
        <w:tc>
          <w:tcPr>
            <w:tcW w:w="14397" w:type="dxa"/>
            <w:gridSpan w:val="8"/>
            <w:shd w:val="clear" w:color="auto" w:fill="AEAAAA" w:themeFill="background2" w:themeFillShade="BF"/>
            <w:vAlign w:val="center"/>
          </w:tcPr>
          <w:p w:rsidR="001C5C20" w:rsidRPr="001C5C20" w:rsidRDefault="001C5C20" w:rsidP="00A87413">
            <w:pPr>
              <w:snapToGrid w:val="0"/>
              <w:spacing w:after="0" w:line="240" w:lineRule="auto"/>
              <w:rPr>
                <w:rFonts w:ascii="Times New Roman" w:hAnsi="Times New Roman"/>
                <w:b/>
                <w:sz w:val="18"/>
                <w:szCs w:val="18"/>
              </w:rPr>
            </w:pPr>
            <w:r w:rsidRPr="001C5C20">
              <w:rPr>
                <w:rFonts w:ascii="Times New Roman" w:hAnsi="Times New Roman"/>
                <w:b/>
                <w:sz w:val="18"/>
                <w:szCs w:val="18"/>
              </w:rPr>
              <w:t>Neni 47</w:t>
            </w:r>
          </w:p>
          <w:p w:rsidR="001C5C20" w:rsidRPr="001C5C20" w:rsidRDefault="001C5C20" w:rsidP="00A87413">
            <w:pPr>
              <w:snapToGrid w:val="0"/>
              <w:spacing w:after="0" w:line="240" w:lineRule="auto"/>
              <w:rPr>
                <w:rFonts w:ascii="Times New Roman" w:hAnsi="Times New Roman"/>
                <w:sz w:val="18"/>
                <w:szCs w:val="18"/>
              </w:rPr>
            </w:pPr>
            <w:r w:rsidRPr="001C5C20">
              <w:rPr>
                <w:rFonts w:ascii="Times New Roman" w:hAnsi="Times New Roman"/>
                <w:b/>
                <w:sz w:val="18"/>
                <w:szCs w:val="18"/>
              </w:rPr>
              <w:t>Bashkëpunimi mbikëqyrës në lidhje me subjektet e detyruara që kryejnë aktivitete ndërkufitare</w:t>
            </w:r>
          </w:p>
        </w:tc>
      </w:tr>
      <w:tr w:rsidR="006E5B5B" w:rsidRPr="00F727DA" w:rsidTr="00E24C86">
        <w:trPr>
          <w:trHeight w:val="6349"/>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e detyruara që nuk janë pjesë e një grupi kryejnë veprimtari ndërkufitare siç përmendet në nenin 54, paragrafi 1 dhe mbikëqyrja ndahet midis mbikëqyrësve të shtetit anëtar të origjinës dhe shtetit anëtar pritës në bazë të nenit 37, paragrafi 1 dhe nenit 38, paragrafi 1, shtetet anëtare garantojnë që këta mbikëqyrës të bashkëpunojnë me njëri-tjetrin në masën maksimale të mundshme dhe të ndihmojnë njëri-tjetrin në realizimin e mbikëqyrjes në kuadër të nenit 37, paragrafi 1 dhe nenit 38, paragrafi 1.</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nënparagrafit të parë dhe përveç rasteve kur krijohen kolegje mbikëqyrëse për luftën kundër pastrimit të parave dhe financimit të terrorizmit në përputhje me nenin 49, shtetet anëtare garantojnë që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431D28" w:rsidRPr="00431D28" w:rsidRDefault="00431D28" w:rsidP="00A87413">
            <w:pPr>
              <w:widowControl w:val="0"/>
              <w:snapToGrid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Neni 50</w:t>
            </w:r>
          </w:p>
          <w:p w:rsidR="00431D28" w:rsidRPr="00431D28" w:rsidRDefault="00431D28" w:rsidP="00A87413">
            <w:pPr>
              <w:widowControl w:val="0"/>
              <w:snapToGrid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Bashkëpunimi ndërmjet autoriteteve mbikëqyrëse për subjektet e detyruara që ushtrojnë veprimtari ndërkufitare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31D28" w:rsidRPr="00431D28" w:rsidRDefault="00431D28" w:rsidP="00A87413">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1. Kur subjektet e detyruara që nuk janë pjesë e një grupi ushtrojnë veprimtari në një shtet tjetër nga ai ku janë të themeluara, përfshirë nëpërmjet degëve, agjentëve, distributorëve ose pa krijuar prani fizike në përputhje me këtë ligj,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rsidR="006E5B5B" w:rsidRPr="00431D28" w:rsidRDefault="00431D28" w:rsidP="00A87413">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Për qëllimet e paragrafit të parë të këtij neni, dhe përveç rasteve kur janë krijuar kolegje mbikëqyrëse për parandalimin e pastrimit të parave, financimit të terrorizmit dhe financimit të përhapjes së armëve të dëmtimit në masë, në përputhje me dispozitat përkatëse, autoritetet mbikëqyrëse: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47(1), në lidhje me nenin 54(1) të direktivës, duke parashikuar bashkëpunimin dhe ndihmën reciproke ndërmjet autoriteteve mbikëqyrëse kur subjektet e detyruara që nuk janë pjesë e një grupi ushtrojnë veprimtari në një shtet tjetër nga ai ku janë të themeluara, përfshirë nëpërmjet degëve, agjentëve, distributorëve ose pa prani fizike.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sigurojnë njëri-tjetrit çdo informacion që ata kërkojnë për ushtrimin e detyrave të tyre mbikëqyrëse, qoftë me kërkesë ose me iniciativën e vet, duke përfshirë informacionin e përmendur në nenin 46, paragrafi 3, nënparagrafi i parë, germat “a”, “b” dhe “d”, kur ky informacion është i nevojshëm për kryerjen e detyrave mbikëqyrëse;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431D28" w:rsidRDefault="00431D28" w:rsidP="00A87413">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a) i vënë në dispozicion njëri-tjetrit çdo informacion të nevojshëm për ushtrimin e funksioneve të tyre mbikëqyrëse, si me kërkesë ashtu edhe me iniciativë vetjake, përfshirë informacionin e parashikuar në këtë ligji, kur ky informacion është i domosdoshëm për përmbushjen e detyrave mbikëqyrëse;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47(1)(a), duke parashikuar detyrimin e autoriteteve mbikëqyrëse për të shkëmbyer çdo informacion të nevojshëm për ushtrimin e funksioneve të tyre, si me kërkesë ashtu edhe me iniciativë vetjake, përfshirë informacionin e referuar në nenin 46(3)(a), (b) dhe (d),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5" w:name="_Hlk220321126"/>
            <w:r w:rsidRPr="00F727DA">
              <w:rPr>
                <w:rFonts w:ascii="Times New Roman" w:hAnsi="Times New Roman"/>
                <w:sz w:val="18"/>
                <w:szCs w:val="18"/>
              </w:rPr>
              <w:t>47(1)(b)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informojnë njëri-tjetrin për çdo zhvillim negativ në lidhje me subjektin e detyruar, njësitë e tij ose llojet e infrastrukturës, që mund të ndikojë ndjeshëm në pajtueshmërinë e subjektit me kërkesat në fuqi, si dhe për sanksionet në formë gjobe që ata synojnë të vendosin ose masat administrative që synojnë të zbatojnë në përputhje me seksionin 4 të këtij kreu;</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431D28" w:rsidRDefault="00431D28" w:rsidP="00A87413">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gjobat administrative që synojnë të vendosin ose masat administrative që synojnë të zbatojnë, në përputhje me dispozitat përkatëse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47(1)(b), duke parashikuar detyrimin për njoftim reciprok mbi zhvillime me ndikim negativ që mund të cenojnë pajtueshmërinë e subjektit, si dhe mbi sanksionet financiare dhe masat administrative që synohen të aplikohen,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jenë në gjendje të kryejnë, brenda kompetencave të tyre, hetime në emër të mbikëqyrësit që paraqet kërkesën, si dhe të shkëmbejnë informacionin e marrë nëpërmjet këtyre hetimeve, ose të lehtësojnë kryerjen e këtyre hetimeve nga mbikëqyrësi që paraqet kërkesën.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zbatohet edhe në rastin e subjekteve të detyruara që janë vendosur në një shtet të vetëm anëtar dhe operojnë në bazë të lirisë për të ofruar shërbime në një shtet tjetër anëtar pa asnjë infrastrukturë, kur mbikëqyrja e veprimtarive në atë shtet tjetër anëtar kryhet nga mbikëqyrësit e atij shteti anëtar në përputhje me nenin 37, paragrafi 1, nënparagrafi i dytë.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76761" w:rsidRPr="00476761" w:rsidRDefault="00476761" w:rsidP="00A87413">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c) janë të autorizuara që, brenda kufijve të kompetencave të tyre ligjore, të kryejnë verifikime ose kontrolle në emër të një autoriteti mbikëqyrës kërkues, si dhe të ndajnë informacionin e përftuar nga këto veprime ose të lehtësojnë kryerjen e tyre nga autoriteti kërkues.</w:t>
            </w:r>
          </w:p>
          <w:p w:rsidR="006E5B5B" w:rsidRPr="00476761" w:rsidRDefault="00476761" w:rsidP="00A87413">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47(1)(c), duke parashikuar kompetencën e autoriteteve mbikëqyrëse për të kryer verifikime në emër të një autoriteti tjetër, për të ndarë informacionin e përftuar dhe për të lehtësuar këto veprime, si dhe duke zgjeruar zbatimin edhe për subjektet që ofrojnë shërbime ndërkufitare pa prani fizike, në përputhje me acquis.</w:t>
            </w:r>
          </w:p>
        </w:tc>
      </w:tr>
      <w:bookmarkEnd w:id="5"/>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mbikëqyrja e subjektit të detyruar dhe e çdo lloj infrastrukture të tij në shtetet e tjera anëtare u besohet mbikëqyrësve të shtetit anëtar të origjinës sipas nenit 38, paragrafi 2, shtetet anëtare garantojnë që mbikëqyrësit e shtetit anëtar të origjinës të informojnë rregullisht mbikëqyrësit e shtetit anëtar pritës për masat në fuqi brenda subjektit të detyruar dhe për pajtueshmërinë e atij subjekti me kërkesat e zbatueshme, duke përfshirë ato në fuqi në shtetin anëtar pritës. Kur identifikohen shkelje serioze, të përsëritura ose sistematike, mbikëqyrësit e shtetit anëtar të origjinës informojnë menjëherë mbikëqyrësit e shtetit anëtar pritës për këto shkelje dhe për çdo sanksion në formë gjobe që ata synojnë të vendosin dhe masë administrative që synojnë të zbatojnë me qëllim korrigjimin e shkeljeve.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76761" w:rsidRPr="00476761" w:rsidRDefault="00476761" w:rsidP="00A87413">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rsidR="006E5B5B" w:rsidRPr="00476761" w:rsidRDefault="00476761" w:rsidP="00A87413">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Kur konstatohen shkelje serioze, të përsëritura ose sistematike, autoriteti mbikëqyrës i shtetit ku subjekti është i themeluar njofton menjëherë autoritetin mbikëqyrës të shtetit ku ushtrohet veprimtaria për këto shkelje, si dhe për gjobat administrative që synon të vendosë dhe masat administrative që synon të zbatojë për korrigjimin e tyre.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47(2), duke parashikuar detyrimin e autoritetit mbikëqyrës të shtetit të origjinës për të informuar rregullisht autoritetin mbikëqyrës të shtetit pritës mbi masat e zbatuara brenda subjektit dhe nivelin e pajtueshmërisë me kërkesat e zbatueshme, përfshirë ato të shtetit pritës, në përputhje me acquis.</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kërkesën për njoftim të menjëhershëm në rast konstatimi të shkeljeve serioze, të përsëritura ose sistematike, si dhe për sanksionet financiare dhe masat administrative që synohen të aplikohen për korrigjimin e tyre, në përputhje me acquis.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pritës t'u ofrojnë ndihmë mbikëqyrësve të shtetit anëtar të origjinës për të siguruar verifikimin e pajtueshmërisë së subjektit të detyruar me kërkesat ligjore. Në veçanti, shtetet anëtare garantojnë që mbikëqyrësit e shtetit anëtar pritës të informojnë mbikëqyrësit e shtetit anëtar të origjinës për çdo dyshim serioz që ata kanë në lidhje me pajtueshmërinë e subjektit të detyruar me kërkesat e zbatueshme, si dhe që të ndajnë çdo informacion që zotërojnë në lidhje me këtë me mbikëqyrësit e shtetit anëtar të origjinës.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Autoriteti mbikëqyrës i shtetit ku ushtrohet veprimtaria i ofron ndihmë autoritetit mbikëqyrës të shtetit ku subjekti është i themeluar për të garantuar verifikimin e pajtueshmërisë së subjektit të detyruar me kërkesat ligjore të zbatueshme.Në veçanti, autoriteti mbikëqyrës i shtetit ku ushtrohet veprimtaria informon autoritetin mbikëqyrës të shtetit ku subjekti është i themeluar për çdo dyshim serioz që ka në lidhje me pajtueshmërinë e subjektit me kërkesat e zbatueshme, si dhe ndan me të çdo informacion që disponon në këtë drejtim.</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kërkesën për ndihmë dhe bashkëpunim ndërmjet autoriteteve mbikëqyrëse të shtetit të origjinës dhe atij pritës, duke përfshirë detyrimin për njoftim mbi dyshime serioze dhe ndarjen e informacionit përkatës,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zbatohet edhe në rastin e subjekteve të detyruara që janë vendosur në një shtet të vetëm anëtar dhe që operojnë në bazë të lirisë për të ofruar shërbime në një shtet tjetër anëtar pa asnjë infrastrukturë, përveç rasteve kur mbikëqyrja e veprimtarive në atë shtet tjetër anëtar kryhet nga mbikëqyrësit e atij shteti tjetër anëtar në përputhje me nenin 37, paragrafi 1, nënparagrafi i dytë.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autoritetet mbikëqyrëse të atij shteti, në përputhje me nenin përkatës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klauzolën zgjeruese të nenit 47, duke shtrirë zbatimin e rregullave të bashkëpunimit edhe për subjektet që ofrojnë shërbime ndërkufitare pa prani fizike, me përjashtim të rasteve kur mbikëqyrja ushtrohet nga autoritetet e shtetit pritës,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kanë mundësi t’i referohen AMLA-s në cilëndo nga situatat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tc>
        <w:tc>
          <w:tcPr>
            <w:tcW w:w="1356" w:type="dxa"/>
            <w:shd w:val="clear" w:color="auto" w:fill="auto"/>
            <w:vAlign w:val="center"/>
          </w:tcPr>
          <w:p w:rsidR="006E5B5B" w:rsidRPr="00F727DA" w:rsidRDefault="006E7EC1" w:rsidP="00A87413">
            <w:pPr>
              <w:widowControl w:val="0"/>
              <w:snapToGrid w:val="0"/>
              <w:spacing w:after="0" w:line="240" w:lineRule="auto"/>
              <w:jc w:val="center"/>
              <w:rPr>
                <w:rFonts w:ascii="Times New Roman" w:hAnsi="Times New Roman"/>
                <w:sz w:val="18"/>
                <w:szCs w:val="18"/>
                <w:lang w:eastAsia="sq-AL" w:bidi="sq-AL"/>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moskomunikimi informacioni ndërmjet autoriteteve mbikëqyrëse. Si vend kandidat, Shqipëria nuk është aktualisht pjesë e mekanizmit formal të ndërmjetësimit të AMLA. Mekanizmi zbatohet në përputhje me marrëveshjet ndërkombëtare dhe do të bëhet plotësisht operacional pas anëtarësimit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mbikëqyrës nuk ka komunikuar informacionin e përmendur në paragrafin 1, nënparagrafi i dytë, germat "a" dhe "b” ose në paragrafin 2, nënparagrafi i parë dhe i dytë;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476761" w:rsidRDefault="00476761" w:rsidP="00A87413">
            <w:pPr>
              <w:pStyle w:val="NormalWeb"/>
              <w:spacing w:before="0" w:beforeAutospacing="0" w:after="0" w:afterAutospacing="0"/>
              <w:rPr>
                <w:sz w:val="18"/>
                <w:szCs w:val="18"/>
                <w:lang w:val="sq-AL" w:eastAsia="sq-AL" w:bidi="sq-AL"/>
              </w:rPr>
            </w:pPr>
            <w:r w:rsidRPr="00476761">
              <w:rPr>
                <w:sz w:val="18"/>
                <w:szCs w:val="18"/>
                <w:lang w:val="sq-AL" w:eastAsia="sq-AL" w:bidi="sq-AL"/>
              </w:rPr>
              <w:t>a) kur një autoritet mbikëqyrës nuk ka komunikuar informacionin e parashikuar në pikën 1, nën paragrafin e dytë, shkronjat (a) dhe (b), ose në pikën 2, nën paragrafin e parë dhe të dytë të këtij neni;</w:t>
            </w:r>
          </w:p>
        </w:tc>
        <w:tc>
          <w:tcPr>
            <w:tcW w:w="1356" w:type="dxa"/>
            <w:shd w:val="clear" w:color="auto" w:fill="auto"/>
            <w:vAlign w:val="center"/>
          </w:tcPr>
          <w:p w:rsidR="006E5B5B" w:rsidRPr="00F727DA" w:rsidRDefault="006E7EC1" w:rsidP="00A87413">
            <w:pPr>
              <w:spacing w:after="0"/>
              <w:jc w:val="center"/>
              <w:rPr>
                <w:sz w:val="18"/>
                <w:szCs w:val="18"/>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Dispozita pasqyron mekanizmin e referimit pranë AMLA në rast moskomunikimi informacioni ndërmjet autoriteteve mbikëqyrëse. Si vend kandidat, Shqipëria nuk është aktualisht pjesë e mekanizmit formal të ndërmjetësimit të AMLA. Mekanizmi zbatohet në përputhje me marrëveshjet ndërkombëtare dhe do të bëhet plotësisht operacional pas anëtarësimit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kërkesë për bashkëpunim është refuzuar ose nuk është ndjekur brenda një kohe të arsyeshme;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kërkesë për bashkëpunim është refuzuar ose nuk është trajtuar brenda një afati të arsyeshëm.</w:t>
            </w:r>
          </w:p>
        </w:tc>
        <w:tc>
          <w:tcPr>
            <w:tcW w:w="1356" w:type="dxa"/>
            <w:shd w:val="clear" w:color="auto" w:fill="auto"/>
            <w:vAlign w:val="center"/>
          </w:tcPr>
          <w:p w:rsidR="006E5B5B" w:rsidRPr="00F727DA" w:rsidRDefault="006E7EC1" w:rsidP="00A87413">
            <w:pPr>
              <w:spacing w:after="0"/>
              <w:jc w:val="center"/>
              <w:rPr>
                <w:rFonts w:ascii="Times New Roman" w:hAnsi="Times New Roman"/>
                <w:sz w:val="18"/>
                <w:szCs w:val="18"/>
                <w:lang w:eastAsia="sq-AL" w:bidi="sq-AL"/>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refuzimi ose mosveprimi ndaj kërkesave për bashkëpunim ndërmjet autoriteteve mbikëqyrëse. Mekanizmi zbatohet në përputhje me marrëveshjet ndërkombëtare dhe do të bëhet plotësisht operacional pas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mosmarrëveshje të bazuara në arsye objektive lidhur me shkeljet e identifikuara dhe me sanksionet në formë gjobe që do të vendosen ose masat administrative që do të zbatohen ndaj subjektit me qëllim korrigjimin e këtyre shkeljeve.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vepron në përputhje me kompetencat që i janë dhënë në bazë të neneve 33 dhe 38 të Rregullores (BE) 2024/1620. AMLA jep opinionin e saj mbi objektin e kërkesës brenda 1 muaji.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24673E" w:rsidRPr="0024673E" w:rsidRDefault="0024673E" w:rsidP="00A87413">
            <w:pPr>
              <w:pStyle w:val="NormalWeb"/>
              <w:spacing w:before="0" w:beforeAutospacing="0" w:after="0" w:afterAutospacing="0"/>
              <w:rPr>
                <w:sz w:val="18"/>
                <w:szCs w:val="18"/>
                <w:lang w:val="sq-AL" w:eastAsia="sq-AL" w:bidi="sq-AL"/>
              </w:rPr>
            </w:pPr>
            <w:r w:rsidRPr="0024673E">
              <w:rPr>
                <w:sz w:val="18"/>
                <w:szCs w:val="18"/>
                <w:lang w:val="sq-AL" w:eastAsia="sq-AL" w:bidi="sq-AL"/>
              </w:rPr>
              <w:t>c) kur ekziston një mosmarrëveshje, e bazuar në arsye objektive, lidhur me shkeljet e identifikuara ose me gjobat administrative që do të vendosen apo masat administrative që do të zbatohen ndaj subjektit për korrigjimin e këtyre shkeljeve.</w:t>
            </w:r>
          </w:p>
          <w:p w:rsidR="006E5B5B" w:rsidRPr="005E1C8A" w:rsidRDefault="0024673E" w:rsidP="00A87413">
            <w:pPr>
              <w:pStyle w:val="NormalWeb"/>
              <w:spacing w:before="0" w:beforeAutospacing="0" w:after="0" w:afterAutospacing="0"/>
              <w:rPr>
                <w:sz w:val="18"/>
                <w:szCs w:val="18"/>
                <w:lang w:val="sq-AL" w:eastAsia="sq-AL" w:bidi="sq-AL"/>
              </w:rPr>
            </w:pPr>
            <w:r w:rsidRPr="0024673E">
              <w:rPr>
                <w:sz w:val="18"/>
                <w:szCs w:val="18"/>
                <w:lang w:val="sq-AL" w:eastAsia="sq-AL" w:bidi="sq-AL"/>
              </w:rPr>
              <w:t>Në këto raste, Autoriteti për Luftën kundër Pastrimit të Parave (AMLA) vepron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tc>
        <w:tc>
          <w:tcPr>
            <w:tcW w:w="1356" w:type="dxa"/>
            <w:shd w:val="clear" w:color="auto" w:fill="auto"/>
            <w:vAlign w:val="center"/>
          </w:tcPr>
          <w:p w:rsidR="006E5B5B" w:rsidRPr="00F727DA" w:rsidRDefault="006E7EC1" w:rsidP="00A87413">
            <w:pPr>
              <w:widowControl w:val="0"/>
              <w:snapToGrid w:val="0"/>
              <w:spacing w:after="0" w:line="240" w:lineRule="auto"/>
              <w:jc w:val="center"/>
              <w:rPr>
                <w:rFonts w:ascii="Times New Roman" w:hAnsi="Times New Roman"/>
                <w:sz w:val="18"/>
                <w:szCs w:val="18"/>
                <w:lang w:eastAsia="sq-AL" w:bidi="sq-AL"/>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pasqyron mekanizmin e ndërmjetësimit pranë AMLA në rast mosmarrëveshjeje ndërmjet autoriteteve mbikëqyrëse mbi shkeljet dhe masat korrigjuese, duke përfshirë afatin 1-mujor për dhënien e opinionit. Mekanizmi do të bëhet plotësisht operacional pas anëtarësimit të Republikës së Shqipërisë në Bashkimin Evropian.</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766A8A">
        <w:trPr>
          <w:trHeight w:val="578"/>
        </w:trPr>
        <w:tc>
          <w:tcPr>
            <w:tcW w:w="5384" w:type="dxa"/>
            <w:gridSpan w:val="3"/>
            <w:tcBorders>
              <w:top w:val="nil"/>
              <w:left w:val="single" w:sz="4" w:space="0" w:color="auto"/>
              <w:bottom w:val="nil"/>
              <w:right w:val="nil"/>
            </w:tcBorders>
            <w:shd w:val="clear" w:color="auto" w:fill="D9D9D9" w:themeFill="background1" w:themeFillShade="D9"/>
            <w:vAlign w:val="center"/>
          </w:tcPr>
          <w:p w:rsidR="006E5B5B" w:rsidRPr="00F727DA" w:rsidRDefault="006E5B5B" w:rsidP="00A87413">
            <w:pPr>
              <w:snapToGrid w:val="0"/>
              <w:spacing w:after="0" w:line="240" w:lineRule="auto"/>
              <w:jc w:val="both"/>
              <w:rPr>
                <w:rFonts w:ascii="Times New Roman" w:hAnsi="Times New Roman"/>
                <w:b/>
                <w:sz w:val="18"/>
                <w:szCs w:val="18"/>
              </w:rPr>
            </w:pPr>
            <w:r w:rsidRPr="00F727DA">
              <w:rPr>
                <w:rFonts w:ascii="Times New Roman" w:hAnsi="Times New Roman"/>
                <w:b/>
                <w:sz w:val="18"/>
                <w:szCs w:val="18"/>
              </w:rPr>
              <w:t>Neni 48</w:t>
            </w:r>
          </w:p>
          <w:p w:rsidR="006E5B5B" w:rsidRPr="00F727DA" w:rsidRDefault="006E5B5B" w:rsidP="00A87413">
            <w:pPr>
              <w:snapToGrid w:val="0"/>
              <w:spacing w:after="0" w:line="240" w:lineRule="auto"/>
              <w:jc w:val="both"/>
              <w:rPr>
                <w:rFonts w:ascii="Times New Roman" w:hAnsi="Times New Roman"/>
                <w:b/>
                <w:sz w:val="18"/>
                <w:szCs w:val="18"/>
              </w:rPr>
            </w:pPr>
            <w:r w:rsidRPr="00F727DA">
              <w:rPr>
                <w:rFonts w:ascii="Times New Roman" w:hAnsi="Times New Roman"/>
                <w:b/>
                <w:sz w:val="18"/>
                <w:szCs w:val="18"/>
                <w:shd w:val="clear" w:color="auto" w:fill="D9D9D9" w:themeFill="background1" w:themeFillShade="D9"/>
              </w:rPr>
              <w:t>Shkëmbimi i informacionit në lidhje me zbatimin e politikave të grupit në vende të treta</w:t>
            </w:r>
          </w:p>
        </w:tc>
        <w:tc>
          <w:tcPr>
            <w:tcW w:w="9013" w:type="dxa"/>
            <w:gridSpan w:val="5"/>
            <w:tcBorders>
              <w:top w:val="nil"/>
              <w:left w:val="nil"/>
              <w:bottom w:val="nil"/>
              <w:right w:val="nil"/>
            </w:tcBorders>
            <w:shd w:val="clear" w:color="auto" w:fill="D9D9D9" w:themeFill="background1" w:themeFillShade="D9"/>
            <w:vAlign w:val="center"/>
          </w:tcPr>
          <w:p w:rsidR="006E5B5B" w:rsidRPr="00F727DA" w:rsidRDefault="006E5B5B" w:rsidP="00A87413">
            <w:pPr>
              <w:snapToGrid w:val="0"/>
              <w:spacing w:after="0" w:line="240" w:lineRule="auto"/>
              <w:ind w:firstLine="1008"/>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duke përfshirë AMLA-n, informojnë njëri-tjetrin për rastet në të cilat legjislacioni i një vendi të tretë nuk lejon zbatimin e politikave, procedurave dhe kontrolleve të parashikuara nga neni 16 i Rregullores (BE) 2024/1624. Në këto raste, mbikëqyrësit mund të ndërmarrin veprime të koordinuara për të arritur një zgjidhje. Në vlerësimin se cilat vende të treta nuk lejojnë zbatimin e politikave, procedurave dhe kontrolleve të parashikuara nga neni 16 i Rregullores (BE) 2024/1624, mbikëqyrësit marrin parasysh çdo kufizim ligjor që mund të pengojë zbatimin e duhur të këtyre politikave, procedurave dhe kontrolleve, duke përfshirë sekretin profesional, nivelin e pamjaftueshëm të mbrojtjes së të dhënave dhe kufizime të tjera që limitojnë shkëmbimin e informacionit që mund të jetë me rëndësi për atë qëllim.</w:t>
            </w:r>
          </w:p>
        </w:tc>
        <w:tc>
          <w:tcPr>
            <w:tcW w:w="1266" w:type="dxa"/>
            <w:gridSpan w:val="2"/>
            <w:tcBorders>
              <w:right w:val="single" w:sz="4" w:space="0" w:color="auto"/>
            </w:tcBorders>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tcBorders>
              <w:left w:val="single" w:sz="4" w:space="0" w:color="auto"/>
            </w:tcBorders>
            <w:shd w:val="clear" w:color="auto" w:fill="auto"/>
            <w:vAlign w:val="center"/>
          </w:tcPr>
          <w:p w:rsidR="009E01D8" w:rsidRPr="009E01D8" w:rsidRDefault="009E01D8" w:rsidP="00A87413">
            <w:pPr>
              <w:widowControl w:val="0"/>
              <w:snapToGrid w:val="0"/>
              <w:spacing w:after="0" w:line="240" w:lineRule="auto"/>
              <w:rPr>
                <w:rFonts w:ascii="Times New Roman" w:hAnsi="Times New Roman"/>
                <w:sz w:val="18"/>
                <w:szCs w:val="18"/>
                <w:lang w:val="sq-AL" w:eastAsia="sq-AL" w:bidi="sq-AL"/>
              </w:rPr>
            </w:pPr>
            <w:r w:rsidRPr="009E01D8">
              <w:rPr>
                <w:rFonts w:ascii="Times New Roman" w:hAnsi="Times New Roman"/>
                <w:sz w:val="18"/>
                <w:szCs w:val="18"/>
                <w:lang w:val="sq-AL" w:eastAsia="sq-AL" w:bidi="sq-AL"/>
              </w:rPr>
              <w:t>Neni 51</w:t>
            </w:r>
          </w:p>
          <w:p w:rsidR="009E01D8" w:rsidRPr="009E01D8" w:rsidRDefault="009E01D8" w:rsidP="00A87413">
            <w:pPr>
              <w:widowControl w:val="0"/>
              <w:snapToGrid w:val="0"/>
              <w:spacing w:after="0" w:line="240" w:lineRule="auto"/>
              <w:rPr>
                <w:rFonts w:ascii="Times New Roman" w:hAnsi="Times New Roman"/>
                <w:sz w:val="18"/>
                <w:szCs w:val="18"/>
                <w:lang w:val="sq-AL" w:eastAsia="sq-AL" w:bidi="sq-AL"/>
              </w:rPr>
            </w:pPr>
            <w:r w:rsidRPr="009E01D8">
              <w:rPr>
                <w:rFonts w:ascii="Times New Roman" w:hAnsi="Times New Roman"/>
                <w:sz w:val="18"/>
                <w:szCs w:val="18"/>
                <w:lang w:val="sq-AL" w:eastAsia="sq-AL" w:bidi="sq-AL"/>
              </w:rPr>
              <w:t>Shkëmbimi i informacionit për zbatimin e politikave në nivel grupi në shtete të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EB27C5" w:rsidRPr="00EB27C5" w:rsidRDefault="00EB27C5" w:rsidP="00A87413">
            <w:pPr>
              <w:pStyle w:val="NormalWeb"/>
              <w:spacing w:before="0" w:beforeAutospacing="0" w:after="0" w:afterAutospacing="0"/>
              <w:rPr>
                <w:sz w:val="18"/>
                <w:szCs w:val="18"/>
                <w:lang w:val="sq-AL" w:eastAsia="sq-AL" w:bidi="sq-AL"/>
              </w:rPr>
            </w:pPr>
            <w:r w:rsidRPr="00EB27C5">
              <w:rPr>
                <w:sz w:val="18"/>
                <w:szCs w:val="18"/>
                <w:lang w:val="sq-AL" w:eastAsia="sq-AL" w:bidi="sq-AL"/>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rsidR="00EB27C5" w:rsidRPr="00EB27C5" w:rsidRDefault="00EB27C5" w:rsidP="00A87413">
            <w:pPr>
              <w:pStyle w:val="NormalWeb"/>
              <w:spacing w:before="0" w:beforeAutospacing="0" w:after="0" w:afterAutospacing="0"/>
              <w:rPr>
                <w:sz w:val="18"/>
                <w:szCs w:val="18"/>
                <w:lang w:val="sq-AL" w:eastAsia="sq-AL" w:bidi="sq-AL"/>
              </w:rPr>
            </w:pPr>
            <w:r w:rsidRPr="00EB27C5">
              <w:rPr>
                <w:sz w:val="18"/>
                <w:szCs w:val="18"/>
                <w:lang w:val="sq-AL" w:eastAsia="sq-AL" w:bidi="sq-AL"/>
              </w:rPr>
              <w:t>Në këto raste, autoritetet mbikëqyrëse mund të ndërmarrin veprime të koordinuara për të gjetur një zgjidhje të përshtatshme.</w:t>
            </w:r>
          </w:p>
          <w:p w:rsidR="006E5B5B" w:rsidRPr="00EB27C5" w:rsidRDefault="00EB27C5" w:rsidP="00A87413">
            <w:pPr>
              <w:pStyle w:val="NormalWeb"/>
              <w:spacing w:before="0" w:beforeAutospacing="0" w:after="0" w:afterAutospacing="0"/>
              <w:rPr>
                <w:sz w:val="18"/>
                <w:szCs w:val="18"/>
                <w:lang w:val="sq-AL" w:eastAsia="sq-AL" w:bidi="sq-AL"/>
              </w:rPr>
            </w:pPr>
            <w:r w:rsidRPr="00EB27C5">
              <w:rPr>
                <w:sz w:val="18"/>
                <w:szCs w:val="18"/>
                <w:lang w:val="sq-AL" w:eastAsia="sq-AL" w:bidi="sq-AL"/>
              </w:rPr>
              <w:t>Në vlerësimin e shteteve të treta që nuk lejojnë 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tc>
        <w:tc>
          <w:tcPr>
            <w:tcW w:w="1356" w:type="dxa"/>
            <w:shd w:val="clear" w:color="auto" w:fill="auto"/>
            <w:vAlign w:val="center"/>
          </w:tcPr>
          <w:p w:rsidR="006E5B5B" w:rsidRPr="00F727DA" w:rsidRDefault="006E5B5B" w:rsidP="00A87413">
            <w:pPr>
              <w:pStyle w:val="NormalWeb"/>
              <w:spacing w:before="0" w:beforeAutospacing="0" w:after="0" w:afterAutospacing="0"/>
              <w:jc w:val="center"/>
              <w:rPr>
                <w:rFonts w:eastAsia="Calibri"/>
                <w:b/>
                <w:bCs/>
                <w:sz w:val="18"/>
                <w:szCs w:val="18"/>
                <w:lang w:val="en-GB" w:eastAsia="sq-AL" w:bidi="sq-AL"/>
              </w:rPr>
            </w:pPr>
            <w:r w:rsidRPr="00F727DA">
              <w:rPr>
                <w:rFonts w:eastAsia="Calibri"/>
                <w:b/>
                <w:bCs/>
                <w:sz w:val="18"/>
                <w:szCs w:val="18"/>
                <w:lang w:val="en-GB" w:eastAsia="sq-AL" w:bidi="sq-AL"/>
              </w:rPr>
              <w:t>F</w:t>
            </w:r>
          </w:p>
          <w:p w:rsidR="006E5B5B" w:rsidRPr="00EB27C5" w:rsidRDefault="00EB27C5" w:rsidP="00A87413">
            <w:pPr>
              <w:widowControl w:val="0"/>
              <w:snapToGrid w:val="0"/>
              <w:spacing w:after="0" w:line="240" w:lineRule="auto"/>
              <w:jc w:val="center"/>
              <w:rPr>
                <w:rFonts w:ascii="Times New Roman" w:hAnsi="Times New Roman"/>
                <w:sz w:val="18"/>
                <w:szCs w:val="18"/>
                <w:lang w:eastAsia="sq-AL" w:bidi="sq-AL"/>
              </w:rPr>
            </w:pPr>
            <w:r w:rsidRPr="00EB27C5">
              <w:rPr>
                <w:rFonts w:ascii="Times New Roman" w:hAnsi="Times New Roman"/>
                <w:bCs/>
                <w:sz w:val="18"/>
                <w:szCs w:val="18"/>
                <w:lang w:eastAsia="sq-AL" w:bidi="sq-AL"/>
              </w:rPr>
              <w:t>AMLA – zbatim që i nënshtrohet kuadrit rregullator të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48(1), duke parashikuar detyrimin për informim reciprok ndërmjet autoriteteve mbikëqyrëse në rastet kur legjislacioni i një shteti të tretë pengon zbatimin e politikave në nivel grupi, si dhe mundësinë e veprimeve të koordinuara. Janë përfshirë kriteret e vlerësimit të kufizimeve ligjore, në përputhje me acquis.</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Seksioni 2</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brenda kolegjeve mbikëqyrëse kundër pastrimit të parave /financimit të terrorizmit dhe me homologët në vende të treta</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49</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Kolegjet mbikëqyrëse kundër pastrimit të parave /financimit të terrorizmit në sektorin financiar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 (1)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kolegjet e dedikuara mbikëqyrëse për luftën kundër pastrimit të parave dhe financimit të terrorizmit të ngrihen nga mbikëqyrësi financiar përgjegjës për ndërmarrjen mëmë të një grupi institucionesh krediti apo institucionesh financiare ose për selinë qendrore të një institucioni krediti apo institucioni financiar në cilëndo nga situatat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2E361A" w:rsidRPr="002E361A" w:rsidRDefault="002E361A" w:rsidP="00A87413">
            <w:pPr>
              <w:pStyle w:val="Heading2"/>
              <w:spacing w:before="0" w:beforeAutospacing="0" w:after="0" w:afterAutospacing="0"/>
              <w:rPr>
                <w:b w:val="0"/>
                <w:sz w:val="18"/>
                <w:szCs w:val="18"/>
                <w:lang w:val="sq-AL" w:eastAsia="sq-AL" w:bidi="sq-AL"/>
              </w:rPr>
            </w:pPr>
            <w:r w:rsidRPr="002E361A">
              <w:rPr>
                <w:b w:val="0"/>
                <w:sz w:val="18"/>
                <w:szCs w:val="18"/>
                <w:lang w:val="sq-AL" w:eastAsia="sq-AL" w:bidi="sq-AL"/>
              </w:rPr>
              <w:t>Neni 52</w:t>
            </w:r>
          </w:p>
          <w:p w:rsidR="002E361A" w:rsidRPr="002E361A" w:rsidRDefault="002E361A" w:rsidP="00A87413">
            <w:pPr>
              <w:pStyle w:val="Heading2"/>
              <w:spacing w:before="0" w:beforeAutospacing="0" w:after="0" w:afterAutospacing="0"/>
              <w:rPr>
                <w:b w:val="0"/>
                <w:sz w:val="18"/>
                <w:szCs w:val="18"/>
                <w:lang w:val="sq-AL" w:eastAsia="sq-AL" w:bidi="sq-AL"/>
              </w:rPr>
            </w:pPr>
            <w:r w:rsidRPr="002E361A">
              <w:rPr>
                <w:b w:val="0"/>
                <w:sz w:val="18"/>
                <w:szCs w:val="18"/>
                <w:lang w:val="sq-AL" w:eastAsia="sq-AL" w:bidi="sq-AL"/>
              </w:rPr>
              <w:t>Kolegjet mbikëqyrëse për PPP/FT në sektorin financiar</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F228E" w:rsidRDefault="008F228E" w:rsidP="00A87413">
            <w:pPr>
              <w:pStyle w:val="NormalWeb"/>
              <w:spacing w:before="0" w:beforeAutospacing="0" w:after="0" w:afterAutospacing="0"/>
              <w:rPr>
                <w:sz w:val="18"/>
                <w:szCs w:val="18"/>
                <w:lang w:val="sq-AL" w:eastAsia="sq-AL" w:bidi="sq-AL"/>
              </w:rPr>
            </w:pPr>
            <w:r w:rsidRPr="008F228E">
              <w:rPr>
                <w:sz w:val="18"/>
                <w:szCs w:val="18"/>
                <w:lang w:val="sq-AL" w:eastAsia="sq-AL" w:bidi="sq-AL"/>
              </w:rPr>
              <w:t>1. Autoriteti mbikëqyrës financiar përgjegjës për shoqërinë mëmë të një grupi institucionesh krediti ose institucionesh financiare, apo për zyrën qendrore të një institucioni krediti ose institucioni financiar, krijon kolegje të posaçme mbikëqyrëse për parandalimin e pastrimit të parave, financimit të terrorizmit dhe financimit të përhapjes së armëve të dëmtimit në masë, në përputhje me këtë ligj dhe aktet e Bashkimit Evropian të zbatueshme për Republikën e Shqipërisë, në cilëndo nga situatat e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Transposed – application subject to EU frameëork / Future-operational (institutional dimension only)</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kushtin për krijimin e kolegjeve mbikëqyrëse për PPP/FT kur një institucion krediti ose financiar, përfshirë grupet e tij, ka krijuar prani në të paktën dy shtete të ndryshme nga ai ku ndodhet zyra qendrore. Parashikimi vendos bazën ligjore për bashkëpunim të strukturuar ndërmjet autoriteteve mbikëqyrëse në raste ndërkufitare, në përputhje me acquis. Mekanizmi i plotë i kolegjeve në kuadër të arkitekturës së BE-së do të bëhet plotësisht operacional pas anëtarësimit të Republikës së Shqipërisë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6" w:name="_Hlk220321347"/>
            <w:r w:rsidRPr="00F727DA">
              <w:rPr>
                <w:rFonts w:ascii="Times New Roman" w:hAnsi="Times New Roman"/>
                <w:sz w:val="18"/>
                <w:szCs w:val="18"/>
              </w:rPr>
              <w:t>49(1)(a)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institucion krediti apo një institucion financiar, duke përfshirë grupet e institucioneve të kreditit ose institucioneve financiare, ka ngritur njësi në të paktën dy shtete anëtare të ndryshme nga shteti anëtar ku ndodhet selia e tij qendrore;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kur një institucion krediti ose institucion financiar, përfshirë grupet e tyre, ka krijuar degë, filiale ose forma të tjera pranie në të paktën dy shtete të ndryshme nga ai ku ndodhet zyra e tij qendrore;</w:t>
            </w:r>
          </w:p>
        </w:tc>
        <w:tc>
          <w:tcPr>
            <w:tcW w:w="1356" w:type="dxa"/>
            <w:shd w:val="clear" w:color="auto" w:fill="auto"/>
            <w:vAlign w:val="center"/>
          </w:tcPr>
          <w:p w:rsidR="006E5B5B" w:rsidRPr="00F727DA" w:rsidRDefault="008F228E" w:rsidP="00A87413">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t>Operacional në të ardhmen (Pjesërisht operacional)</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kushtin për krijimin e kolegjeve mbikëqyrëse për PPP/FT kur një institucion krediti ose financiar, përfshirë grupet e tij, ka krijuar prani në të paktën dy shtete të ndryshme nga ai ku ndodhet zyra qendrore. Parashikimi siguron bazën ligjore për koordinim dhe bashkëpunim ndërkufitar ndërmjet autoriteteve mbikëqyrëse,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institucion krediti apo institucion financiar i një vendi të tretë ka ngritur njësi në të paktën tri shtete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F228E" w:rsidRDefault="008F228E" w:rsidP="00A87413">
            <w:pPr>
              <w:widowControl w:val="0"/>
              <w:spacing w:after="0" w:line="240" w:lineRule="auto"/>
              <w:rPr>
                <w:rFonts w:ascii="Times New Roman" w:hAnsi="Times New Roman"/>
                <w:sz w:val="18"/>
                <w:szCs w:val="18"/>
                <w:lang w:val="sq-AL" w:eastAsia="sq-AL" w:bidi="sq-AL"/>
              </w:rPr>
            </w:pPr>
            <w:r w:rsidRPr="008F228E">
              <w:rPr>
                <w:rFonts w:ascii="Times New Roman" w:hAnsi="Times New Roman"/>
                <w:sz w:val="18"/>
                <w:szCs w:val="18"/>
                <w:lang w:val="sq-AL" w:eastAsia="sq-AL" w:bidi="sq-AL"/>
              </w:rPr>
              <w:t>b) kur një institucion krediti ose institucion financiar nga një vend i tretë ka krijuar degë, filiale ose forma të tjera pranie në të paktën tre shtete.</w:t>
            </w:r>
          </w:p>
        </w:tc>
        <w:tc>
          <w:tcPr>
            <w:tcW w:w="1356" w:type="dxa"/>
            <w:shd w:val="clear" w:color="auto" w:fill="auto"/>
            <w:vAlign w:val="center"/>
          </w:tcPr>
          <w:p w:rsidR="006E5B5B" w:rsidRPr="00F727DA" w:rsidRDefault="008F228E" w:rsidP="00A87413">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t>Operacional në të ardhmen (Pjesërisht operacional)</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kushtin për krijimin e kolegjeve mbikëqyrëse për PPP/FT në rastet kur një institucion krediti ose financiar nga një shtet i tretë ka prani në të paktën tre shtete. Parashikimi siguron bazën ligjore për koordinim ndërkufitar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Anëtarët e përhershëm të kolegjit janë mbikëqyrësi financiar përgjegjës për ndërmarrjen mëmë ose selinë qendrore, mbikëqyrësit financiarë përgjegjës për njësitë në shtetet anëtare pritëse dhe mbikëqyrësit financiarë përgjegjës për infrastrukturën në shtetet anëtare pritëse në përputhje me nenin 38.</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F228E" w:rsidRDefault="008F228E" w:rsidP="00A87413">
            <w:pPr>
              <w:widowControl w:val="0"/>
              <w:spacing w:after="0" w:line="240" w:lineRule="auto"/>
              <w:rPr>
                <w:rFonts w:ascii="Times New Roman" w:hAnsi="Times New Roman"/>
                <w:sz w:val="18"/>
                <w:szCs w:val="18"/>
                <w:lang w:val="sq-AL" w:eastAsia="sq-AL" w:bidi="sq-AL"/>
              </w:rPr>
            </w:pPr>
            <w:r w:rsidRPr="008F228E">
              <w:rPr>
                <w:rFonts w:ascii="Times New Roman" w:hAnsi="Times New Roman"/>
                <w:sz w:val="18"/>
                <w:szCs w:val="18"/>
                <w:lang w:val="sq-AL" w:eastAsia="sq-AL" w:bidi="sq-AL"/>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për infrastrukturën në shtetet pritëse, në përputhje me këtë ligj. </w:t>
            </w:r>
          </w:p>
        </w:tc>
        <w:tc>
          <w:tcPr>
            <w:tcW w:w="1356" w:type="dxa"/>
            <w:shd w:val="clear" w:color="auto" w:fill="auto"/>
            <w:vAlign w:val="center"/>
          </w:tcPr>
          <w:p w:rsidR="006E5B5B" w:rsidRPr="00F727DA" w:rsidRDefault="008F228E" w:rsidP="00A87413">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t>Operacional në të ardhmen (Pjesërisht operacional)</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përbërjen e kolegjeve mbikëqyrëse për PPP/FT, duke përcaktuar autoritetet mbikëqyrëse që marrin pjesë si anëtarë të përhershëm. Parashikimi siguron bazën për bashkëpunim të strukturuar ndërmjet autoriteteve mbikëqyrëse në raste ndërkufitare,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nen nuk zbatohet kur AMLA vepron në cilësinë e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Dispozitat e këtij neni nuk zbatohen në rastet kur Autoriteti për Luftën kundër Pastrimit të Parave (AMLA) ushtron funksion mbikëqyrës, në përputhje me legjislacionin e Bashkimit Evropian të zbatueshëm.</w:t>
            </w:r>
          </w:p>
        </w:tc>
        <w:tc>
          <w:tcPr>
            <w:tcW w:w="1356" w:type="dxa"/>
            <w:shd w:val="clear" w:color="auto" w:fill="auto"/>
            <w:vAlign w:val="center"/>
          </w:tcPr>
          <w:p w:rsidR="006E5B5B" w:rsidRPr="00F727DA" w:rsidRDefault="008F228E" w:rsidP="00A87413">
            <w:pPr>
              <w:widowControl w:val="0"/>
              <w:snapToGrid w:val="0"/>
              <w:spacing w:after="0" w:line="240" w:lineRule="auto"/>
              <w:rPr>
                <w:rFonts w:ascii="Times New Roman" w:hAnsi="Times New Roman"/>
                <w:sz w:val="18"/>
                <w:szCs w:val="18"/>
                <w:lang w:eastAsia="sq-AL" w:bidi="sq-AL"/>
              </w:rPr>
            </w:pPr>
            <w:r w:rsidRPr="008F228E">
              <w:rPr>
                <w:rFonts w:ascii="Times New Roman" w:hAnsi="Times New Roman"/>
                <w:sz w:val="18"/>
                <w:szCs w:val="18"/>
                <w:lang w:eastAsia="sq-AL" w:bidi="sq-AL"/>
              </w:rPr>
              <w:t>Transpozuar – zbatim subjekt i kuadrit institucional të Bashkimit Evropian</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pasqyron përjashtimin nga zbatimi i rregullave për kolegjet mbikëqyrëse në rastet kur AMLA ushtron drejtpërdrejt funksion mbikëqyrës. Zbatimi i kësaj dispozite lidhet me arkitekturën institucionale të BE-së dhe do të bëhet plotësisht operacional pas anëtarësimit të Republikës së Shqipërisë në BE.</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Veprimtaritë e kolegjeve mbikëqyrëse për luftën kundër pastrimit të parave dhe financimit të terrorizmit janë në proporcion me nivelin e rreziqeve të pastrimit të parave dhe financimit të terrorizmit ndaj të cilave institucioni i kreditit apo institucioni financiar ose grupi është i ekspozuar, si dhe me shkallën e veprimtarive të tij ndërkufitare.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parimin e proporcionalitetit në funksionimin e kolegjeve mbikëqyrëse, duke lidhur intensitetin e veprimtarisë së tyre me nivelin e rrezikut dhe shkallën e veprimtarisë ndërkufitare të subjektit ose grupit,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financiarë të identifikojnë: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A6141"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5. Për qëllimet e pikës 1 të këtij neni, autoritetet mbikëqyrëse financiare identifikojnë: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institucionet e kreditit ose institucionet financiare që janë autorizuar në shtetin e tyre anëtar dhe që kanë njësi në shtete të tjera anëtare ose vende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 të gjitha institucionet e kreditit ose institucionet financiare të licencuara/autorizuara në Republikën e Shqipërisë që kanë krijuar degë, filiale ose forma të tjera pranie në shtete të tjera ose në shtete të treta;</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identifikimin nga autoritetet mbikëqyrëse financiare të institucioneve të autorizuara në Republikën e Shqipërisë që kanë prani ndërkufitare në shtete të tjera ose në shtete të treta,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njësitë e ngritura nga institucionet e kreditit ose institucionet financiare në shtetet e tjera anëtare ose në vendet e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gjitha njësitë, degët, filialet ose format e tjera të pranisë të krijuara nga institucionet e kreditit ose institucionet financiare në shtete të tjera ose në shtete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identifikimin e të gjitha formave të pranisë ndërkufitare të institucioneve të kreditit dhe institucioneve financiare në shtete të tjera ose në shtete të treta,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njësitë e ngritura në territorin e tyre nga institucionet e kreditit ose institucionet financiare të shteteve të tjera anëtare ose vendeve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A6141"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c) degët, filialet ose format e tjera të pranisë të krijuara në territorin e Republikës së Shqipërisë nga institucione krediti ose institucione financiare të themeluara në shtete të tjera ose në shtete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identifikimin e të gjitha formave të pranisë në territorin e Republikës së Shqipërisë të institucioneve të kreditit dhe institucioneve financiare të themeluara në shtete të tjera ose në shtete të treta,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situata të ndryshme nga ato të mbuluara nga neni 38, kur institucionet e kreditit ose institucionet financiare kryejnë veprimtari në shtete të tjera anëtare në bazë të lirisë për të ofruar shërbime, mbikëqyrësi financiar i shtetit anëtar të origjinës mund të ftojë mbikëqyrësit financiarë të këtyre shteteve anëtare që të marrin pjesë në kolegj si vëzhgues.</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A6141" w:rsidRDefault="006A6141" w:rsidP="00A87413">
            <w:pPr>
              <w:widowControl w:val="0"/>
              <w:spacing w:after="0" w:line="240" w:lineRule="auto"/>
              <w:rPr>
                <w:rFonts w:ascii="Times New Roman" w:hAnsi="Times New Roman"/>
                <w:sz w:val="18"/>
                <w:szCs w:val="18"/>
                <w:lang w:val="sq-AL" w:eastAsia="sq-AL" w:bidi="sq-AL"/>
              </w:rPr>
            </w:pPr>
            <w:r w:rsidRPr="006A6141">
              <w:rPr>
                <w:rFonts w:ascii="Times New Roman" w:hAnsi="Times New Roman"/>
                <w:sz w:val="18"/>
                <w:szCs w:val="18"/>
                <w:lang w:val="sq-AL" w:eastAsia="sq-AL" w:bidi="sq-AL"/>
              </w:rPr>
              <w:t>6. Në raste të ndryshme nga ato të parashikuara në nenin 40 të këtij ligji që rregullon mbikëqyrjen ndërkufitare, kur institucionet e kreditit ose institucionet financiare ofrojnë shërbime në një shtet tjetër pa krijuar degë, filial ose formë tjetër pranie në atë shtet, autoriteti mbikëqyrës financiar i shtetit ku subjekti është i themeluar mund të ftojë autoritetet mbikëqyrëse të atij shteti të marrin pjesë në kolegj si vëzhgues.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për përfshirjen si vëzhgues në kolegjin mbikëqyrës të autoriteteve të shteteve ku institucionet ofrojnë shërbime ndërkufitare pa prani fizike,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grup institucionesh krediti ose institucionesh financiare përfshin një subjekt të detyruar në sektorin jofinanciar, mbikëqyrësi financiar që ngre kolegjin fton mbikëqyrësit e këtyre subjekteve të detyruara që të marrin pjesë në kolegj.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7. Kur një grup institucionesh krediti ose institucionesh financiare përfshin cdo subject të detyruara në sektorin jofinanciar, autoriteti mbikëqyrës financiar që krijon kolegjin fton autoritetet mbikëqyrëse përkatëse të marrin pjesë në kolegj.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përfshirjen në kolegjet mbikëqyrëse të autoriteteve mbikëqyrëse të sektorit jofinanciar, kur një grup institucionesh krediti ose institucionesh financiare përfshin subjekte të detyruara nga ky sektor. Parashikimi siguron koordinim ndërsektorial në mbikëqyrjen në nivel grupi,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49(8)</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lejojnë ngritjen e kolegjeve mbikëqyrëse për luftën kundër pastrimit të parave dhe financimit të terrorizmit kur një institucion krediti ose institucion financiar i vendosur në Bashkimin Evropian ka ngritur njësi në të paktën dy vende të treta. Mbikëqyrësit financiarë mund të ftojnë homologët e tyre në ato vende të treta për ngritjen e këtij kolegji. Mbikëqyrësit financiarë që marrin pjesë në kolegj lidhin një marrëveshje me shkrim ku detajohen kushtet dhe procedurat e bashkëpunimit dhe shkëmbimit të informacionit.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B5A22" w:rsidRPr="00FB5A22" w:rsidRDefault="00FB5A22" w:rsidP="00A87413">
            <w:pPr>
              <w:pStyle w:val="NormalWeb"/>
              <w:spacing w:before="0" w:beforeAutospacing="0" w:after="0" w:afterAutospacing="0"/>
              <w:rPr>
                <w:sz w:val="18"/>
                <w:szCs w:val="18"/>
                <w:lang w:val="sq-AL" w:eastAsia="sq-AL" w:bidi="sq-AL"/>
              </w:rPr>
            </w:pPr>
            <w:r w:rsidRPr="00FB5A22">
              <w:rPr>
                <w:sz w:val="18"/>
                <w:szCs w:val="18"/>
                <w:lang w:val="sq-AL" w:eastAsia="sq-AL" w:bidi="sq-AL"/>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rsidR="00FB5A22" w:rsidRPr="00FB5A22" w:rsidRDefault="00FB5A22" w:rsidP="00A87413">
            <w:pPr>
              <w:pStyle w:val="NormalWeb"/>
              <w:spacing w:before="0" w:beforeAutospacing="0" w:after="0" w:afterAutospacing="0"/>
              <w:rPr>
                <w:sz w:val="18"/>
                <w:szCs w:val="18"/>
                <w:lang w:val="sq-AL" w:eastAsia="sq-AL" w:bidi="sq-AL"/>
              </w:rPr>
            </w:pPr>
            <w:r w:rsidRPr="00FB5A22">
              <w:rPr>
                <w:sz w:val="18"/>
                <w:szCs w:val="18"/>
                <w:lang w:val="sq-AL" w:eastAsia="sq-AL" w:bidi="sq-AL"/>
              </w:rPr>
              <w:t>Autoritetet mbikëqyrëse financiare mund të ftojnë autoritetet homologe të këtyre shteteve të treta për të marrë pjesë në kolegj.</w:t>
            </w:r>
          </w:p>
          <w:p w:rsidR="006E5B5B" w:rsidRPr="00FB5A22" w:rsidRDefault="00FB5A22" w:rsidP="00A87413">
            <w:pPr>
              <w:pStyle w:val="NormalWeb"/>
              <w:spacing w:before="0" w:beforeAutospacing="0" w:after="0" w:afterAutospacing="0"/>
              <w:rPr>
                <w:sz w:val="18"/>
                <w:szCs w:val="18"/>
                <w:lang w:val="sq-AL" w:eastAsia="sq-AL" w:bidi="sq-AL"/>
              </w:rPr>
            </w:pPr>
            <w:r w:rsidRPr="00FB5A22">
              <w:rPr>
                <w:sz w:val="18"/>
                <w:szCs w:val="18"/>
                <w:lang w:val="sq-AL" w:eastAsia="sq-AL" w:bidi="sq-AL"/>
              </w:rPr>
              <w:t>Autoritetet mbikëqyrëse që marrin pjesë në kolegj lidhin një marrëveshje të shkruar, në të cilën përcaktohen kushtet dhe procedurat e bashkëpunimit dhe të shkëmbimit të informacionit.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për krijimin e kolegjeve mbikëqyrëse për PPP/FT/PF në rastet kur institucionet e kreditit ose institucionet financiare kanë prani në të paktën dy shtete të treta, si dhe parashikon lidhjen e një marrëveshjeje të shkruar për rregullimin e bashkëpunimit dhe shkëmbimit të informacionit ndërmjet autoriteteve mbikëqyrëse.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kolegjet të përdoren, ndër të tjera, për shkëmbimin e informacionit, ofrimin e ndihmës së ndërsjellë ose koordinimin e qasjes mbikëqyrëse ndaj grupit ose institucionit, duke përfshirë, sipas rastit, marrjen e masave të përshtatshme dhe proporcionale për të adresuar shkeljet serioze të Rregulloreve (BE) 2024/1624 dhe (BE) 2023/1113 që zbulohen në nivelin e grupit ose të institucionit të kreditit apo institucionit financiar, ose në njësitë e ngritura nga grupi ose institucioni në juridiksionin e një mbikëqyrësi që merr pjesë në kolegj.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D7494F" w:rsidRDefault="00D7494F" w:rsidP="00A87413">
            <w:pPr>
              <w:widowControl w:val="0"/>
              <w:spacing w:after="0" w:line="240" w:lineRule="auto"/>
              <w:rPr>
                <w:rFonts w:ascii="Times New Roman" w:hAnsi="Times New Roman"/>
                <w:sz w:val="18"/>
                <w:szCs w:val="18"/>
                <w:lang w:val="sq-AL" w:eastAsia="sq-AL" w:bidi="sq-AL"/>
              </w:rPr>
            </w:pPr>
            <w:r w:rsidRPr="00D7494F">
              <w:rPr>
                <w:rFonts w:ascii="Times New Roman" w:hAnsi="Times New Roman"/>
                <w:sz w:val="18"/>
                <w:szCs w:val="18"/>
                <w:lang w:val="sq-AL" w:eastAsia="sq-AL" w:bidi="sq-AL"/>
              </w:rPr>
              <w:t>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Rregullores (BE) 2024/1624 dhe Rregullores (BE) 2023/1113, në nivel të institucionit të kreditit ose institucionit financiar, apo në degët, filialet ose format e tjera të pranisë të krijuara nga grupi ose institucioni në juridiksionin e një autoriteti mbikëqyrës që merr pjesë në kolegj.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funksionet e kolegjeve mbikëqyrëse, duke përfshirë shkëmbimin e informacionit, ndihmën reciproke dhe koordinimin e qasjes mbikëqyrëse, si dhe marrjen e masave të përshtatshme dhe proporcionale në rast shkeljesh serioze në nivel grupi ose ndërkufitar, në përputhje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49(10)</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marrë pjesë në mbledhjet e kolegjeve mbikëqyrëse për luftën kundër pastrimit të parave dhe financimit të terrorizmit dhe lehtëson punën e tyre në përputhje me nenin 31 të Rregullores (BE) 2024/1620. Kur AMLA vendos të marrë pjesë në mbledhjet e një kolegji mbikëqyrës për luftën kundër pastrimit të parave dhe financimit të terrorizmit, ajo ka statusin e vëzhguesit.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D7494F" w:rsidRPr="00D7494F" w:rsidRDefault="00D7494F" w:rsidP="00A87413">
            <w:pPr>
              <w:pStyle w:val="NormalWeb"/>
              <w:spacing w:before="0" w:beforeAutospacing="0" w:after="0" w:afterAutospacing="0"/>
              <w:rPr>
                <w:sz w:val="18"/>
                <w:szCs w:val="18"/>
                <w:lang w:val="sq-AL" w:eastAsia="sq-AL" w:bidi="sq-AL"/>
              </w:rPr>
            </w:pPr>
            <w:r w:rsidRPr="00D7494F">
              <w:rPr>
                <w:sz w:val="18"/>
                <w:szCs w:val="18"/>
                <w:lang w:val="sq-AL" w:eastAsia="sq-AL" w:bidi="sq-AL"/>
              </w:rPr>
              <w:t>10. 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rsidR="006E5B5B" w:rsidRPr="00D7494F" w:rsidRDefault="00D7494F" w:rsidP="00A87413">
            <w:pPr>
              <w:pStyle w:val="NormalWeb"/>
              <w:spacing w:before="0" w:beforeAutospacing="0" w:after="0" w:afterAutospacing="0"/>
              <w:rPr>
                <w:sz w:val="18"/>
                <w:szCs w:val="18"/>
                <w:lang w:val="sq-AL" w:eastAsia="sq-AL" w:bidi="sq-AL"/>
              </w:rPr>
            </w:pPr>
            <w:r w:rsidRPr="00D7494F">
              <w:rPr>
                <w:sz w:val="18"/>
                <w:szCs w:val="18"/>
                <w:lang w:val="sq-AL" w:eastAsia="sq-AL" w:bidi="sq-AL"/>
              </w:rPr>
              <w:t>Në rast se AMLA vendos të marrë pjesë në mbledhjet e një kolegji mbikëqyrës, ajo merr pjesë me status vëzhguesi.</w:t>
            </w:r>
          </w:p>
        </w:tc>
        <w:tc>
          <w:tcPr>
            <w:tcW w:w="1356" w:type="dxa"/>
            <w:shd w:val="clear" w:color="auto" w:fill="auto"/>
            <w:vAlign w:val="center"/>
          </w:tcPr>
          <w:p w:rsidR="006E5B5B" w:rsidRPr="00F727DA" w:rsidRDefault="00B76082" w:rsidP="00A87413">
            <w:pPr>
              <w:widowControl w:val="0"/>
              <w:snapToGrid w:val="0"/>
              <w:spacing w:after="0" w:line="240" w:lineRule="auto"/>
              <w:rPr>
                <w:rFonts w:ascii="Times New Roman" w:hAnsi="Times New Roman"/>
                <w:sz w:val="18"/>
                <w:szCs w:val="18"/>
                <w:lang w:eastAsia="sq-AL" w:bidi="sq-AL"/>
              </w:rPr>
            </w:pPr>
            <w:r w:rsidRPr="00B76082">
              <w:rPr>
                <w:rFonts w:ascii="Times New Roman" w:hAnsi="Times New Roman"/>
                <w:sz w:val="18"/>
                <w:szCs w:val="18"/>
                <w:lang w:eastAsia="sq-AL" w:bidi="sq-AL"/>
              </w:rPr>
              <w:t>Operacional në të ardhmen (dimensioni institucional)</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rolin e AMLA në kolegjet mbikëqyrëse, përfshirë pjesëmarrjen me status vëzhguesi dhe lehtësimin e punës së tyre. Zbatimi i plotë i kësaj dispozite varet nga përfshirja e Republikës së Shqipërisë në arkitekturën institucionale të BE-së dhe do të bëhet operacional pas anëtarësimit.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mund t'i lejojnë homologët e tyre në vendet e treta të marrin pjesë si vëzhgues në kolegjet mbikëqyrëse për luftën kundër pastrimit të parave dhe financimit të terrorizmit në rastin e përmendur në paragrafin 1, germa "b" ose kur grupet ose institucionet e kreditit apo institucionet financiare të BE-së operojnë degë dhe filiale në këto vende të treta, me kusht që: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230789" w:rsidRDefault="00230789" w:rsidP="00A87413">
            <w:pPr>
              <w:widowControl w:val="0"/>
              <w:spacing w:after="0" w:line="240" w:lineRule="auto"/>
              <w:rPr>
                <w:rFonts w:ascii="Times New Roman" w:hAnsi="Times New Roman"/>
                <w:sz w:val="18"/>
                <w:szCs w:val="18"/>
                <w:lang w:val="sq-AL" w:eastAsia="sq-AL" w:bidi="sq-AL"/>
              </w:rPr>
            </w:pPr>
            <w:r w:rsidRPr="00230789">
              <w:rPr>
                <w:rFonts w:ascii="Times New Roman" w:hAnsi="Times New Roman"/>
                <w:sz w:val="18"/>
                <w:szCs w:val="18"/>
                <w:lang w:val="sq-AL" w:eastAsia="sq-AL" w:bidi="sq-AL"/>
              </w:rPr>
              <w:t>11. Autoritetet mbikëqyrëse financiare, mund të lejojnë autoritetet homologe të vendeve të treta të marrin pjesë si vëzhgues në kolegjet e mbikëqyrjes për PPP/FT, në rastin e parashikuar në pikën (b) të paragrafit 1 të këtij neni ose kur grupe të Bashkimit Evropian, institucione krediti apo institucione financiare operojnë përmes degëve ose shoqërive bija në ato vende të treta, me kusht që: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garantuar bazën ligjore për pjesëmarrjen e autoriteteve të vendeve të treta si vëzhgues në kolegjet e mbikëqyrjes për PPP/FT. Formulimi është future-proof dhe future-operational, duke marrë parasysh statusin e Shqipërisë si vend kandidat dhe zhvillimet e ardhshme të acquis të Bashkimit Evropian në fushën e mbikëqyrjes AML/CFT.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paraqesin kërkesë për pjesëmarrje dhe anëtarët e kolegjit të bien dakord për pjesëmarrjen e tyre, ose që anëtarët e kolegjit të bien dakord që të ftojnë këta homologë të vendeve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përmbajtjen dhe alternativat procedurale të parashikuara në Direktivë (kërkesë nga autoritetet e vendeve të treta ose ftesë nga kolegji). Terminologjia është harmonizuar me legjislacionin kombëtar dhe acquis të BE-së (“vende të treta”, “autoritetet homologe”), pa ndryshuar substancën e normës.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respektohen rregullat e BE-së për mbrojtjen e të dhënave në lidhje me transferimin e të dhënave;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transferimi i të dhënave personale kryhet në përputhje me legjislacionin kombëtar në fuqi për mbrojtjen e të dhënave personale, i cili garanton një nivel mbrojtjeje të barasvlershëm me standardet e Bashkimit Evropian në këtë fushë;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transferimi i të dhënave personale të kryhet në përputhje me legjislacionin kombëtar, i cili garanton një nivel mbrojtjeje të barasvlershëm me standardet e Bashkimit Evropian. Referenca ndaj standardeve të BE-së është bërë në mënyrë materiale dhe jo si zbatim i drejtpërdrejtë,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nënshkruajnë marrëveshjen me shkrim të përmendur në paragrafin 8, fjalia e tretë, dhe të shkëmbejnë brenda kolegjit informacionet e rëndësishme që zotërojnë për mbikëqyrjen e institucioneve të kreditit apo institucioneve financiare ose të grupit;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27DFE" w:rsidRDefault="00827DFE" w:rsidP="00A87413">
            <w:pPr>
              <w:widowControl w:val="0"/>
              <w:spacing w:after="0" w:line="240" w:lineRule="auto"/>
              <w:rPr>
                <w:rFonts w:ascii="Times New Roman" w:hAnsi="Times New Roman"/>
                <w:sz w:val="18"/>
                <w:szCs w:val="18"/>
                <w:lang w:val="sq-AL" w:eastAsia="sq-AL" w:bidi="sq-AL"/>
              </w:rPr>
            </w:pPr>
            <w:r w:rsidRPr="00827DFE">
              <w:rPr>
                <w:rFonts w:ascii="Times New Roman" w:hAnsi="Times New Roman"/>
                <w:sz w:val="18"/>
                <w:szCs w:val="18"/>
                <w:lang w:val="sq-AL" w:eastAsia="sq-AL" w:bidi="sq-AL"/>
              </w:rPr>
              <w:t>c) autoritetet homologe të vendeve të treta nënshkruajnë marrëveshjen me shkrim të parashikuar në fjalinë e tretë të paragrafit 8 të këtij neni dhe shkëmbejnë brenda kolegjit të mbikëqyrjes informacionin përkatës që zotërojnë për qëllime të mbikëqyrjes së institucioneve të kreditit, institucioneve financiare ose të grupit;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e nënshkrimit të marrëveshjes me shkrim dhe detyrimin për shkëmbimin e informacionit përkatës brenda kolegjit të mbikëqyrjes. Formulimi është përshtatur me terminologjinë kombëtare dhe garanton përfshirjen e qartë të mbikëqyrjes në fushën e PPP/FT pa ndryshuar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zbuluar t’i nënshtrohet garantimit të kërkesave të sekretit profesional të paktën të barasvlershme me ato të përmendura në nenin 67, paragrafi 1, dhe të përdoret vetëm për qëllime të kryerjes së detyrave mbikëqyrëse të mbikëqyrësve financiarë pjesëmarrës ose të homologëve në vendet e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27DFE" w:rsidRDefault="00827DFE" w:rsidP="00A87413">
            <w:pPr>
              <w:widowControl w:val="0"/>
              <w:spacing w:after="0" w:line="240" w:lineRule="auto"/>
              <w:rPr>
                <w:rFonts w:ascii="Times New Roman" w:hAnsi="Times New Roman"/>
                <w:sz w:val="18"/>
                <w:szCs w:val="18"/>
                <w:lang w:val="sq-AL" w:eastAsia="sq-AL" w:bidi="sq-AL"/>
              </w:rPr>
            </w:pPr>
            <w:r w:rsidRPr="00827DFE">
              <w:rPr>
                <w:rFonts w:ascii="Times New Roman" w:hAnsi="Times New Roman"/>
                <w:sz w:val="18"/>
                <w:szCs w:val="18"/>
                <w:lang w:val="sq-AL" w:eastAsia="sq-AL" w:bidi="sq-AL"/>
              </w:rPr>
              <w:t>d) informacioni i shkëmbyer i nënshtrohet kërkesave për ruajtjen e sekretit profesional, të paktën i barasvlershëm me ato të parashikuara në nenin 83, paragrafi 1 të këtij ligji, dhe përdoret ekskluzivisht për qëllime të ushtrimit të detyrave mbikëqyrëse të autoriteteve mbikëqyrëse financiare pjesëmarrëse ose të autoriteteve homologe të vendeve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informacioni i shkëmbyer t’i nënshtrohet kërkesave për sekret profesional të paktën të barasvlershme me ato të parashikuara në nenin 67, paragrafi 1, si dhe të përdoret ekskluzivisht për qëllime mbikëqyrëse. Formulimi është përshtatur terminologjikisht pa ndryshuar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financiarë që ngrenë kolegjet të kryejnë një vlerësim lidhur me përmbushjen ose jo të kushteve të nënparagrafit të parë dhe t’ua dorëzojnë atë anëtarëve të përhershëm të kolegjit. Ky vlerësim kryhet përpara se homologu i vendit të tretë të lejohet t'i bashkohet kolegjit dhe, më pas, mund të përsëritet sipas nevojës. Mbikëqyrësit financiarë të shtetit anëtar të origjinës mund të kërkojnë mbështetjen e AMLA-s për kryerjen e këtij vlerësim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A74C37" w:rsidRPr="00A74C37" w:rsidRDefault="00A74C37" w:rsidP="00A87413">
            <w:pPr>
              <w:pStyle w:val="NormalWeb"/>
              <w:spacing w:before="0" w:beforeAutospacing="0" w:after="0" w:afterAutospacing="0"/>
              <w:rPr>
                <w:sz w:val="18"/>
                <w:szCs w:val="18"/>
                <w:lang w:val="sq-AL" w:eastAsia="sq-AL" w:bidi="sq-AL"/>
              </w:rPr>
            </w:pPr>
            <w:r w:rsidRPr="00A74C37">
              <w:rPr>
                <w:sz w:val="18"/>
                <w:szCs w:val="18"/>
                <w:lang w:val="sq-AL" w:eastAsia="sq-AL" w:bidi="sq-AL"/>
              </w:rPr>
              <w:t>Autoritetet mbikëqyrëse financiare që krijojnë kolegjet e mbikëqyrjes sigurojnë që të kryhet një vlerësim nëse plotësohen kushtet e parashikuara në nën paragrafin e parë të pikës 11 të këtij neni  dhe ia paraqesin këtë vlerësim anëtarëve të përhershëm të kolegjit.</w:t>
            </w:r>
          </w:p>
          <w:p w:rsidR="00A74C37" w:rsidRPr="00A74C37" w:rsidRDefault="00A74C37" w:rsidP="00A87413">
            <w:pPr>
              <w:pStyle w:val="NormalWeb"/>
              <w:spacing w:before="0" w:beforeAutospacing="0" w:after="0" w:afterAutospacing="0"/>
              <w:rPr>
                <w:sz w:val="18"/>
                <w:szCs w:val="18"/>
                <w:lang w:val="sq-AL" w:eastAsia="sq-AL" w:bidi="sq-AL"/>
              </w:rPr>
            </w:pPr>
            <w:r w:rsidRPr="00A74C37">
              <w:rPr>
                <w:sz w:val="18"/>
                <w:szCs w:val="18"/>
                <w:lang w:val="sq-AL" w:eastAsia="sq-AL" w:bidi="sq-AL"/>
              </w:rPr>
              <w:t>Ky vlerësim kryhet përpara se autoriteti homolog i vendit të tretë të lejohet të marrë pjesë në kolegj dhe mund të përsëritet sipas nevojës.</w:t>
            </w:r>
          </w:p>
          <w:p w:rsidR="006E5B5B" w:rsidRPr="00A74C37" w:rsidRDefault="00A74C37" w:rsidP="00A87413">
            <w:pPr>
              <w:pStyle w:val="NormalWeb"/>
              <w:spacing w:before="0" w:beforeAutospacing="0" w:after="0" w:afterAutospacing="0"/>
              <w:rPr>
                <w:sz w:val="18"/>
                <w:szCs w:val="18"/>
                <w:lang w:val="sq-AL" w:eastAsia="sq-AL" w:bidi="sq-AL"/>
              </w:rPr>
            </w:pPr>
            <w:r w:rsidRPr="00A74C37">
              <w:rPr>
                <w:sz w:val="18"/>
                <w:szCs w:val="18"/>
                <w:lang w:val="sq-AL" w:eastAsia="sq-AL" w:bidi="sq-AL"/>
              </w:rPr>
              <w:t>Autoriteti mbikëqyrës financiar i shtetit të origjinës mund të kërkojë mbështetje nga struktura përkatëse e Bashkimit Evropian kompetente në fushën e PPP/FT për kryerjen e këtij vlerësimi, në përputhje me marrëveshjet dhe detyrimet ndërkombëtare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për kryerjen e një vlerësimi paraprak të përmbushjes së kushteve për pjesëmarrjen e autoriteteve të vendeve të treta në kolegjet e mbikëqyrjes, si dhe mundësinë e përsëritjes së këtij vlerësimi. Referenca ndaj mbështetjes nga struktura e BE-së është formuluar në mënyrë future-operational dhe future-proof, në përputhje me statusin e Shqipërisë si vend kandidat dhe zhvillimet e ardhshme të acquis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konsiderohet e nevojshme nga anëtarët e përhershëm të kolegjit, mund të ftohen vëzhgues shtesë, me kusht që të respektohen kërkesat e konfidencialitetit. Vëzhguesit mund të përfshijnë mbikëqyrësit prudencialë, duke përfshirë BQE-në që vepron në përputhje me Rregulloren e Këshillit (BE) nr.1024/2013 (43</w:t>
            </w:r>
            <w:r w:rsidRPr="00F727DA">
              <w:rPr>
                <w:rStyle w:val="FootnoteReference"/>
                <w:rFonts w:ascii="Times New Roman" w:hAnsi="Times New Roman"/>
                <w:sz w:val="18"/>
                <w:szCs w:val="18"/>
                <w:lang w:eastAsia="sq-AL" w:bidi="sq-AL"/>
              </w:rPr>
              <w:footnoteReference w:id="10"/>
            </w:r>
            <w:r w:rsidRPr="00F727DA">
              <w:rPr>
                <w:rFonts w:ascii="Times New Roman" w:hAnsi="Times New Roman"/>
                <w:sz w:val="18"/>
                <w:szCs w:val="18"/>
                <w:lang w:eastAsia="sq-AL" w:bidi="sq-AL"/>
              </w:rPr>
              <w:t>), si dhe autoritetet mbikëqyrëse evropiane dhe NjIF-të.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66CCC" w:rsidRPr="00866CCC" w:rsidRDefault="00866CCC" w:rsidP="00A87413">
            <w:pPr>
              <w:suppressAutoHyphens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12. Kur vlerësohet e nevojshme nga anëtarët e përhershëm të kolegjit të mbikëqyrjes, mund të ftohen vëzhgues shtesë, me kusht që të respektohen kërkesat për konfidencialitet.</w:t>
            </w:r>
          </w:p>
          <w:p w:rsidR="006E5B5B" w:rsidRPr="00866CCC" w:rsidRDefault="00866CCC" w:rsidP="00A87413">
            <w:pPr>
              <w:suppressAutoHyphens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parashikuar mundësinë e ftesës së vëzhguesve shtesë me kusht respektimin e konfidencialitetit. Referencat ndaj Bankës Qendrore Evropiane dhe Autoriteteve Evropiane Mbikëqyrëse janë formuluar në mënyrë future-operational dhe future-proof, në përputhje me statusin e Shqipërisë si vend kandidat, pa ndryshuar përmbajtjen materiale të Direktivës.</w:t>
            </w:r>
          </w:p>
          <w:p w:rsidR="006E5B5B" w:rsidRPr="00F727DA" w:rsidRDefault="006E5B5B" w:rsidP="00A87413">
            <w:pPr>
              <w:snapToGrid w:val="0"/>
              <w:spacing w:after="0" w:line="240" w:lineRule="auto"/>
              <w:rPr>
                <w:rFonts w:ascii="Times New Roman" w:hAnsi="Times New Roman"/>
                <w:sz w:val="18"/>
                <w:szCs w:val="18"/>
                <w:lang w:eastAsia="sq-AL" w:bidi="sq-AL"/>
              </w:rPr>
            </w:pPr>
          </w:p>
        </w:tc>
      </w:tr>
      <w:bookmarkEnd w:id="6"/>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anëtarët e një kolegji nuk bien dakord për masat që duhen marrë në lidhje me një subjekt të detyruar, ata mund t'ia referojnë çështjen AMLA-s dhe të kërkojnë ndihmën e saj në përputhje me nenin 33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66CCC" w:rsidRDefault="00866CCC" w:rsidP="00A87413">
            <w:pPr>
              <w:widowControl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13. Kur anëtarët e një kolegji mbikëqyrjeje nuk bien dakord mbi masat që duhet të merren në lidhje me një subjekt të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mekanizmin e referimit të mosmarrëveshjeve ndërmjet anëtarëve të kolegjit dhe kërkesën për asistencë nga struktura kompetente e Bashkimit Evropian në fushën. Referenca institucionale tek AMLA është formuluar në mënyrë future-operational dhe future-proof, duke marrë parasysh statusin e Shqipërisë si vend kandidat dhe zhvillimet e ardhshme të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866CCC" w:rsidP="00A87413">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e përgjithshme për funksionimin, mbi bazën e rrezikut, të kolegjeve mbikëqyrëse për luftën kundër pastrimit të parave dhe financimit të terrorizmit në sektorin financiar, duke përfshirë kushtet e bashkëpunimit ndërmjet anëtarëve të përhershëm dhe vëzhguesve, si dhe funksionimin operacional të këtyre kolegjeve;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866CCC" w:rsidP="00A87413">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modelin për marrëveshjen me shkrim që do të nënshkruhet nga mbikëqyrësit financiarë në përputhje me paragrafin 8;</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866CCC" w:rsidP="00A87413">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masë shtesë që duhet të zbatohet nga kolegjet, kur grupet përfshijnë subjekte të detyruara në sektorin jofinanciar;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866CCC" w:rsidP="00A87413">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për pjesëmarrjen e mbikëqyrësve financiarë në vendet e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866CCC" w:rsidP="00A87413">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50</w:t>
            </w:r>
          </w:p>
          <w:p w:rsidR="006E5B5B" w:rsidRPr="00F727DA" w:rsidRDefault="006E5B5B" w:rsidP="00A87413">
            <w:pPr>
              <w:snapToGrid w:val="0"/>
              <w:spacing w:after="0" w:line="240" w:lineRule="auto"/>
              <w:rPr>
                <w:rFonts w:ascii="Times New Roman" w:hAnsi="Times New Roman"/>
                <w:b/>
                <w:color w:val="C00000"/>
                <w:sz w:val="18"/>
                <w:szCs w:val="18"/>
                <w:lang w:eastAsia="sq-AL" w:bidi="sq-AL"/>
              </w:rPr>
            </w:pPr>
            <w:r w:rsidRPr="00F727DA">
              <w:rPr>
                <w:rFonts w:ascii="Times New Roman" w:hAnsi="Times New Roman"/>
                <w:b/>
                <w:sz w:val="18"/>
                <w:szCs w:val="18"/>
              </w:rPr>
              <w:t>Kolegjet mbikëqyrëse kundër pastrimit të parave /financimit të terrorizmit në sektorin jo-financiar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jofinanciarë përgjegjës për ndërmarrjen mëmë të një grupi subjektesh të detyruara në sektorin jofinanciar ose për selinë qendrore të një subjekti të detyruar në sektorin jofinanciar të jenë në gjendje të ngrenë kolegje të dedikuara mbikëqyrëse për luftën kundër pastrimit të parave dhe financimit të terrorizmit në cilëndo nga situatat e mëposhtme:</w:t>
            </w:r>
          </w:p>
        </w:tc>
        <w:tc>
          <w:tcPr>
            <w:tcW w:w="1266" w:type="dxa"/>
            <w:gridSpan w:val="2"/>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46773F" w:rsidRPr="003E7331" w:rsidRDefault="0046773F" w:rsidP="00A87413">
            <w:pPr>
              <w:widowControl w:val="0"/>
              <w:snapToGrid w:val="0"/>
              <w:spacing w:after="0" w:line="240" w:lineRule="auto"/>
              <w:rPr>
                <w:rFonts w:ascii="Times New Roman" w:hAnsi="Times New Roman"/>
                <w:sz w:val="18"/>
                <w:szCs w:val="18"/>
                <w:lang w:val="sq-AL" w:eastAsia="sq-AL" w:bidi="sq-AL"/>
              </w:rPr>
            </w:pPr>
            <w:r w:rsidRPr="003E7331">
              <w:rPr>
                <w:rFonts w:ascii="Times New Roman" w:hAnsi="Times New Roman"/>
                <w:sz w:val="18"/>
                <w:szCs w:val="18"/>
                <w:lang w:val="sq-AL" w:eastAsia="sq-AL" w:bidi="sq-AL"/>
              </w:rPr>
              <w:t>Neni 53</w:t>
            </w:r>
          </w:p>
          <w:p w:rsidR="0046773F" w:rsidRPr="003E7331" w:rsidRDefault="0046773F" w:rsidP="00A87413">
            <w:pPr>
              <w:widowControl w:val="0"/>
              <w:snapToGrid w:val="0"/>
              <w:spacing w:after="0" w:line="240" w:lineRule="auto"/>
              <w:rPr>
                <w:rFonts w:ascii="Times New Roman" w:hAnsi="Times New Roman"/>
                <w:sz w:val="18"/>
                <w:szCs w:val="18"/>
                <w:lang w:val="sq-AL" w:eastAsia="sq-AL" w:bidi="sq-AL"/>
              </w:rPr>
            </w:pPr>
            <w:r w:rsidRPr="003E7331">
              <w:rPr>
                <w:rFonts w:ascii="Times New Roman" w:hAnsi="Times New Roman"/>
                <w:sz w:val="18"/>
                <w:szCs w:val="18"/>
                <w:lang w:val="sq-AL" w:eastAsia="sq-AL" w:bidi="sq-AL"/>
              </w:rPr>
              <w:t>Kolegjet e mbikëqyrjes në sektorin jo financiar për PPP/FT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1.Autoritetet mbikëqyrëse në sektorin jofinanciar, që ushtrojnë mbikëqyrjen ndaj shoqërisë mëmë të një grupi subjektesh të detyruara në sektorin jofinanciar ose ndaj selisë qendrore të një subjekti të detyruar në sektorin jofinanciar, sigurojnë që të kenë kompetencën për të krijuar kolegje të posaçme mbikëqyrjeje për PP/FT, në cilëndo nga situatat e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46773F" w:rsidRDefault="006E5B5B" w:rsidP="00A87413">
            <w:pPr>
              <w:snapToGrid w:val="0"/>
              <w:spacing w:after="0" w:line="240" w:lineRule="auto"/>
              <w:rPr>
                <w:rFonts w:ascii="Times New Roman" w:hAnsi="Times New Roman"/>
                <w:sz w:val="18"/>
                <w:szCs w:val="18"/>
                <w:lang w:eastAsia="sq-AL" w:bidi="sq-AL"/>
              </w:rPr>
            </w:pPr>
            <w:r w:rsidRPr="0046773F">
              <w:rPr>
                <w:rFonts w:ascii="Times New Roman" w:hAnsi="Times New Roman"/>
                <w:sz w:val="18"/>
                <w:szCs w:val="18"/>
                <w:lang w:eastAsia="sq-AL" w:bidi="sq-AL"/>
              </w:rPr>
              <w:t>Përkufizimi i termit “shtet anëtar” është përfshirë për qartësi interpretative dhe për të garantuar përputhshmëri me terminologjinë e acquis të Bashkimit Evropian, pa nënkuptuar statusin e Republikës së Shqipërisë si shtet anëtar.</w:t>
            </w: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krijimin dhe funksionimin e kolegjeve të mbikëqyrjes në sektorin jofinanciar për PPP/FT. Formulimi garanton bazën ligjore për bashkëpunim dhe koordinim ndërkufitar, ndërsa aspektet që lidhen me mekanizmat e Bashkimit Evropian janë të formuluara në mënyrë future-operational,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7" w:name="_Hlk220321580"/>
            <w:r w:rsidRPr="00F727DA">
              <w:rPr>
                <w:rFonts w:ascii="Times New Roman" w:hAnsi="Times New Roman"/>
                <w:sz w:val="18"/>
                <w:szCs w:val="18"/>
              </w:rPr>
              <w:t>50(1)(a)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subjekt i detyruar në sektorin jofinanciar, ose një grup subjektesh të tilla, ka ngritur njësi në të paktën dy shtete anëtare të ndryshme nga shteti anëtar ku ndodhet selia e tij qendrore;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kur një subjekt i detyruar në sektorin jofinanciar, ose një grup i tillë, ka krijuar njësi në të paktën dy shtete anëtare të ndryshme të Bashkimit Evropian, përveç shtetit anëtar ku ndodhet selia e tij qendrore;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e pranisë ndërkufitare të subjektit të detyruar ose të grupit në të paktën dy shtete të tjera anëtare, përveç shtetit ku ndodhet selia qendrore. Terminologjia është përshtatur me sistemin juridik kombëtar, pa ndryshuar përmbajtjen materiale të dispozitës.</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Termi “shtete anëtare të Bashkimit Evropian” është përdorur për të ruajtur përmbajtjen materiale të Direktivës, pa nënkuptuar statusin e Republikës së Shqipërisë si shtet anëtar.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subjekt i një vendi të tretë i cili u nënshtrohet kërkesave për luftën kundër pastrimit të parave dhe financimit të terrorizmit, i ndryshëm nga një institucion krediti apo institucion financiar, ka ngritur njësi në të paktën tri shtete anëtare.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entitet i një vendi të tretë, që i nënshtrohet detyrimeve ligjore për PPP/FT, që nuk është institucion krediti ose institucion financiar, ka krijuar njësi në të paktën tre shtete anëtare të Bashkimit Evropian;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që entiteti i një vendi të tretë, i ndryshëm nga institucionet e kreditit ose institucionet financiare, të ketë krijuar njësi në të paktën tre shtete anëtare të Bashkimit Evropian. Terminologjia është përshtatur me legjislacionin kombëtar, pa ndryshuar përmbajtjen materiale të dispozitës.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zbatohet edhe për strukturat me pronësi, menaxhim ose kontroll pajtueshmërie të përbashkët, duke përfshirë rrjetet ose partneritetet për të cilat zbatohen kërkesat në nivel grupi sipas nenit 16 të Rregullores (BE) 2024/1624.</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B1561" w:rsidRDefault="00EB1561" w:rsidP="00A87413">
            <w:pPr>
              <w:widowControl w:val="0"/>
              <w:spacing w:after="0" w:line="240" w:lineRule="auto"/>
              <w:rPr>
                <w:rFonts w:ascii="Times New Roman" w:hAnsi="Times New Roman"/>
                <w:sz w:val="18"/>
                <w:szCs w:val="18"/>
                <w:lang w:val="sq-AL" w:eastAsia="sq-AL" w:bidi="sq-AL"/>
              </w:rPr>
            </w:pPr>
            <w:r w:rsidRPr="00EB1561">
              <w:rPr>
                <w:rFonts w:ascii="Times New Roman" w:hAnsi="Times New Roman"/>
                <w:sz w:val="18"/>
                <w:szCs w:val="18"/>
                <w:lang w:val="sq-AL" w:eastAsia="sq-AL" w:bidi="sq-AL"/>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në nenin 16 Rregullorja 1624/2024.</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r w:rsidRPr="00F727DA">
              <w:rPr>
                <w:rFonts w:eastAsia="Calibri"/>
                <w:sz w:val="18"/>
                <w:szCs w:val="18"/>
                <w:lang w:val="en-GB" w:eastAsia="sq-AL" w:bidi="sq-AL"/>
              </w:rPr>
              <w:t xml:space="preserve">Dispozita është transpozuar plotësisht duke zgjeruar zbatimin e paragrafit edhe ndaj strukturave me pronësi, menaxhim ose kontroll përputhshmërie të përbashkët, përfshirë rrjete dhe partneritete.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Anëtarët e përhershëm të kolegjit janë mbikëqyrësi jofinanciar përgjegjës për ndërmarrjen mëmë ose selinë qendrore dhe mbikëqyrësit jofinanciarë përgjegjës për njësitë në shtetet anëtare pritëse ose për mbikëqyrjen e atij subjekti të detyruar në shtete të tjera anëtare në rastet e mbuluara nga neni 37, paragrafi 1, nënparagrafi i dytë.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D20C20" w:rsidRDefault="00D20C20" w:rsidP="00A87413">
            <w:pPr>
              <w:widowControl w:val="0"/>
              <w:spacing w:after="0" w:line="240" w:lineRule="auto"/>
              <w:rPr>
                <w:rFonts w:ascii="Times New Roman" w:hAnsi="Times New Roman"/>
                <w:sz w:val="18"/>
                <w:szCs w:val="18"/>
                <w:lang w:val="sq-AL" w:eastAsia="sq-AL" w:bidi="sq-AL"/>
              </w:rPr>
            </w:pPr>
            <w:r w:rsidRPr="00D20C20">
              <w:rPr>
                <w:rFonts w:ascii="Times New Roman" w:hAnsi="Times New Roman"/>
                <w:sz w:val="18"/>
                <w:szCs w:val="18"/>
                <w:lang w:val="sq-AL" w:eastAsia="sq-AL" w:bidi="sq-AL"/>
              </w:rPr>
              <w:t>Anëtarë të përhershëm të kolegjit të mbikëqyrjes janë autoriteti mbikëqyrës në sektorin jo financiar përgjegjës për mbikëqyrjen e shoqërisë mëmë ose të selisë qendrore, si dhe autoritetet mbikëqyrëse në sektorin jo financiar përgjegjëse për mbikëqyrjen e njësive në shtetet pritëse anëtare ose për mbikëqyrjen e atij subjekti të detyruar në shtete të tjera anëtare, në rastet e parashikuara në nenin 34, paragrafi 1, nen paragrafi i dytë.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përbërjen e anëtarëve të përhershëm të kolegjit të mbikëqyrjes në sektorin jofinanciar. Terminologjia është harmonizuar me sistemin juridik kombëtar, ndërsa referencat ndaj shteteve anëtare dhe nenit 37 janë ruajtur për të garantuar përputhshmëri materiale me Direktivën.</w:t>
            </w:r>
          </w:p>
        </w:tc>
      </w:tr>
      <w:bookmarkEnd w:id="7"/>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rastet kur mbikëqyrësi jofinanciar përgjegjës për ndërmarrjen mëmë të një grupi ose për selinë qendrore të një subjekti të detyruar nuk ngre një kolegj, mbikëqyrësit jofinanciarë të përmendur në paragrafin 1, nënparagrafi i dytë, germa "b," të mund të paraqesin një opinion sipas të cilit, duke marrë në konsideratë rreziqet e pastrimit të parave dhe financimit të terrorizmit ndaj të cilave është i ekspozuar subjekti i detyruar ose grupi, dhe shkallën e veprimtarive të tij ndërkufitare, duhet të ngrihet një kolegj. Ky opinion paraqitet nga të paktën dy mbikëqyrës jofinanciarë dhe u drejtohet: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956F0A" w:rsidRPr="00956F0A" w:rsidRDefault="00956F0A" w:rsidP="00A87413">
            <w:pPr>
              <w:suppressAutoHyphens w:val="0"/>
              <w:spacing w:after="0" w:line="240" w:lineRule="auto"/>
              <w:rPr>
                <w:rFonts w:ascii="Times New Roman" w:hAnsi="Times New Roman"/>
                <w:sz w:val="18"/>
                <w:szCs w:val="18"/>
                <w:lang w:val="sq-AL" w:eastAsia="sq-AL" w:bidi="sq-AL"/>
              </w:rPr>
            </w:pPr>
            <w:r w:rsidRPr="00956F0A">
              <w:rPr>
                <w:rFonts w:ascii="Times New Roman" w:hAnsi="Times New Roman"/>
                <w:sz w:val="18"/>
                <w:szCs w:val="18"/>
                <w:lang w:val="sq-AL" w:eastAsia="sq-AL" w:bidi="sq-AL"/>
              </w:rPr>
              <w:t>2. Në rast se autoriteti mbikëqyrës përgjegjës për mbikëqyrjen e shoqërisë mëmë të një grupi ose të selisë qendrore të një subjekti të  detyruar nuk krijon një kolegj mbikëqyrjeje, autoritetet mbikëqyrëse në sektorin jo financiar të përmendura në pikën 1, nen paragrafi i dytë, shkronja (b), të kenë të drejtë të paraqesin një opinion se, duke marrë parasysh rreziqet e pastrimit të parave dhe financimit të terrorizmit ndaj të cilave është i ekspozuar subjekti i detyruar ose grupi, si dhe shkallën e veprimtarisë së tij ndërkufitare, duhet të krijohet një kolegj.</w:t>
            </w:r>
          </w:p>
          <w:p w:rsidR="006E5B5B" w:rsidRPr="00956F0A" w:rsidRDefault="00956F0A" w:rsidP="00A87413">
            <w:pPr>
              <w:suppressAutoHyphens w:val="0"/>
              <w:spacing w:after="0" w:line="240" w:lineRule="auto"/>
              <w:rPr>
                <w:rFonts w:ascii="Times New Roman" w:hAnsi="Times New Roman"/>
                <w:sz w:val="18"/>
                <w:szCs w:val="18"/>
                <w:lang w:val="sq-AL" w:eastAsia="sq-AL" w:bidi="sq-AL"/>
              </w:rPr>
            </w:pPr>
            <w:r w:rsidRPr="00956F0A">
              <w:rPr>
                <w:rFonts w:ascii="Times New Roman" w:hAnsi="Times New Roman"/>
                <w:sz w:val="18"/>
                <w:szCs w:val="18"/>
                <w:lang w:val="sq-AL" w:eastAsia="sq-AL" w:bidi="sq-AL"/>
              </w:rPr>
              <w:t>Ky opinion paraqitet nga të paktën dy autoritete mbikëqyrëse në sektorin jo financiar dhe i drejtohet: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garantuar që, në rast moskrijimi të kolegjit nga autoriteti përgjegjës për shoqërinë mëmë ose selinë qendrore, të paktën dy autoritete mbikëqyrëse në sektorin jofinanciar mund të paraqesin një opinion të arsyetuar për krijimin e tij, duke marrë parasysh rreziqet e PPP/FT dhe shkallën e veprimtarisë ndërkufitare. Përmbajtja materiale e Direktivës është ruajtur.</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8" w:name="_Hlk220321637"/>
            <w:r w:rsidRPr="00F727DA">
              <w:rPr>
                <w:rFonts w:ascii="Times New Roman" w:hAnsi="Times New Roman"/>
                <w:sz w:val="18"/>
                <w:szCs w:val="18"/>
              </w:rPr>
              <w:t>50(2)(a)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jofinanciar përgjegjës për ndërmarrjen mëmë të një grupi ose për selinë qendrore të një subjekti të detyruar;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autoritetit mbikëqyrës në sektorin jofinanciar përgjegjës për mbikëqyrjen e shoqërisë mëmë të një grupi ose të selisë qendrore të një subjekti të detyruar;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se opinioni i paraqitur nga autoritetet mbikëqyrëse i drejtohet autoritetit përgjegjës për mbikëqyrjen e shoqërisë mëmë ose të selisë qendrore të subjektit të detyruar. Terminologjia është harmonizuar me legjislacionin kombëtar, pa ndryshuar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strukturës së Bashkimit Evropian kompetente në fushën e parandalimit dhe luftës kundër pastrimit të parave dhe financimit të terrorizmit, në përputhje me legjislacionin e Bashkimit Evropian në fuqi.</w:t>
            </w:r>
          </w:p>
        </w:tc>
        <w:tc>
          <w:tcPr>
            <w:tcW w:w="1356" w:type="dxa"/>
            <w:shd w:val="clear" w:color="auto" w:fill="auto"/>
            <w:vAlign w:val="center"/>
          </w:tcPr>
          <w:p w:rsidR="006E5B5B" w:rsidRPr="00F727DA" w:rsidRDefault="00003CB1" w:rsidP="00A87413">
            <w:pPr>
              <w:widowControl w:val="0"/>
              <w:snapToGrid w:val="0"/>
              <w:spacing w:after="0" w:line="240" w:lineRule="auto"/>
              <w:rPr>
                <w:rFonts w:ascii="Times New Roman" w:hAnsi="Times New Roman"/>
                <w:sz w:val="18"/>
                <w:szCs w:val="18"/>
                <w:lang w:eastAsia="sq-AL" w:bidi="sq-AL"/>
              </w:rPr>
            </w:pPr>
            <w:r w:rsidRPr="00003CB1">
              <w:rPr>
                <w:rFonts w:ascii="Times New Roman" w:hAnsi="Times New Roman"/>
                <w:sz w:val="18"/>
                <w:szCs w:val="18"/>
              </w:rPr>
              <w:t>F- Plotësisht e transpozuar (elemente operacionalë në të ardhmen</w:t>
            </w:r>
            <w:r>
              <w:t>)</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future-proof dhe future-operational, duke parashikuar adresimin e opinionit ndaj strukturës kompetente të Bashkimit Evropian në fushën e PPP/FT/FPADM, sipas legjislacionit të BE-së në fuqi. Referenca është formuluar në mënyrë të përgjithshme për të marrë parasysh statusin e Shqipërisë si vend kandidat dhe zhvillimet e ardhshme institucionale të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gjithë mbikëqyrësve të tjerë jofinanciarë.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 jofinanciar i përmendur në germën "a" të nënparagrafit të parë të këtij paragrafi është një organ vetërregullues, ky opinion i paraqitet gjithashtu edhe autoritetit publik përgjegjës për mbikëqyrjen e këtij organi vetërregullues në përputhje me nenin 52.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961C4" w:rsidRPr="00F961C4" w:rsidRDefault="00F961C4" w:rsidP="00A87413">
            <w:pPr>
              <w:pStyle w:val="NormalWeb"/>
              <w:spacing w:before="0" w:beforeAutospacing="0" w:after="0" w:afterAutospacing="0"/>
              <w:rPr>
                <w:sz w:val="18"/>
                <w:szCs w:val="18"/>
                <w:lang w:val="sq-AL" w:eastAsia="sq-AL" w:bidi="sq-AL"/>
              </w:rPr>
            </w:pPr>
            <w:r w:rsidRPr="00F961C4">
              <w:rPr>
                <w:sz w:val="18"/>
                <w:szCs w:val="18"/>
                <w:lang w:val="sq-AL" w:eastAsia="sq-AL" w:bidi="sq-AL"/>
              </w:rPr>
              <w:t>c) të gjitha autoriteteve të tjera mbikëqyrëse në sektorin jo financiar.</w:t>
            </w:r>
          </w:p>
          <w:p w:rsidR="006E5B5B" w:rsidRPr="00F961C4" w:rsidRDefault="00F961C4" w:rsidP="00A87413">
            <w:pPr>
              <w:pStyle w:val="NormalWeb"/>
              <w:spacing w:before="0" w:beforeAutospacing="0" w:after="0" w:afterAutospacing="0"/>
              <w:rPr>
                <w:sz w:val="18"/>
                <w:szCs w:val="18"/>
                <w:lang w:val="sq-AL" w:eastAsia="sq-AL" w:bidi="sq-AL"/>
              </w:rPr>
            </w:pPr>
            <w:r w:rsidRPr="00F961C4">
              <w:rPr>
                <w:sz w:val="18"/>
                <w:szCs w:val="18"/>
                <w:lang w:val="sq-AL" w:eastAsia="sq-AL" w:bidi="sq-AL"/>
              </w:rPr>
              <w:t>Kur autoriteti mbikëqyrës i përmendur në shkronjën (a) të nën paragrafit të parë të kësaj pike është një organ vetërregullues, opinioni i paraqitet gjithashtu autoritetit publik përgjegjës për mbikëqyrjen e atij organi vetërregullues, në përputhje me nenin 57.</w:t>
            </w:r>
          </w:p>
        </w:tc>
        <w:tc>
          <w:tcPr>
            <w:tcW w:w="1356" w:type="dxa"/>
            <w:shd w:val="clear" w:color="auto" w:fill="auto"/>
            <w:vAlign w:val="center"/>
          </w:tcPr>
          <w:p w:rsidR="006E5B5B" w:rsidRPr="00F727DA" w:rsidRDefault="006E5B5B" w:rsidP="00A87413">
            <w:pPr>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se opinioni i paraqitet të gjitha autoriteteve të tjera mbikëqyrëse në sektorin jofinanciar dhe, në rast se autoriteti përgjegjës është organ vetërregullues, edhe autoritetit publik që e mbikëqyr atë, në përputhje me nenin 52. Përmbajtja materiale e Direktivës është ruajtur pa ndryshime.</w:t>
            </w:r>
          </w:p>
        </w:tc>
      </w:tr>
      <w:bookmarkEnd w:id="8"/>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pas paraqitjes së një opinioni në përputhje me paragrafin 2, mbikëqyrësi jofinanciar përgjegjës për ndërmarrjen mëmë të një grupi ose për selinë qendrore të një subjekti të detyruar ende gjykon se nuk është e nevojshme të ngrihet një kolegj, shtetet anëtare garantojnë që kolegji të mund të ngrihet nga mbikëqyrësit e tjerë jofinanciarë, me kusht që ai të përbëhet nga të paktën dy anëtarë. Në këto raste, këta mbikëqyrës jofinanciarë vendosin midis tyre se kush është mbikëqyrësi përgjegjës për kolegjin. Mbikëqyrësi jofinanciar përgjegjës për ndërmarrjen mëmë të një grupi ose për selinë qendrore të një subjekti të detyruar informohet për veprimtaritë e kolegjit dhe mund t’i bashkohet kolegjit në çdo kohë.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D6896" w:rsidRPr="003D6896" w:rsidRDefault="003D6896" w:rsidP="00A87413">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3. Kur, pas paraqitjes së një opinioni në përputhje me pikën 2, autoriteti mbikëqyrës në sektorin jo financiar përgjegjës për mbikëqyrjen e shoqërisë mëmë të një grupi ose të selisë qendrore të një subjekti të detyruar vijon të vlerësojë se nuk është e nevojshme krijimi i një kolegji mbikëqyrjeje, autoritetet e tjera mbikëqyrëse në sektorin jo financiar mund të krijojnë kolegjin, me kusht që ai të përbëhet nga të paktën dy anëtarë.</w:t>
            </w:r>
          </w:p>
          <w:p w:rsidR="003D6896" w:rsidRPr="003D6896" w:rsidRDefault="003D6896" w:rsidP="00A87413">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Në këto raste, këto autoritete mbikëqyrëse vendosin ndërmjet tyre se cili do të jetë autoriteti përgjegjës për kolegjin.</w:t>
            </w:r>
          </w:p>
          <w:p w:rsidR="006E5B5B" w:rsidRPr="003D6896" w:rsidRDefault="003D6896" w:rsidP="00A87413">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Autoriteti mbikëqyrës përgjegjës për mbikëqyrjen e shoqërisë mëmë të grupit ose të selisë qendrore të subjektit të detyruar informohet për veprimtarinë e kolegjit dhe ka të drejtë t’i bashkohet kolegjit në çdo kohë.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në rast se autoriteti përgjegjës për shoqërinë mëmë ose selinë qendrore nuk krijon kolegj, autoritetet e tjera mbikëqyrëse në sektorin jofinanciar mund ta krijojnë atë, me të paktën dy anëtarë. Është ruajtur detyrimi për informim dhe e drejta e bashkimit në çdo kohë, pa ndryshuar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jofinanciarë të identifikojnë: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Për qëllimet e pikës 1, autoritetet mbikëqyrëse në sektorin jofinanciar sigurojnë që të identifikojnë: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vendosur detyrimin për autoritetet mbikëqyrëse në sektorin jofinanciar të identifikojnë situatat përkatëse për krijimin e kolegjeve të mbikëqyrjes.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subjektet e detyruara në sektorin jofinanciar që e kanë selinë e tyre qendrore në shtetin e tyre anëtar dhe që kanë njësi në shtete të tjera anëtare ose vende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3D6896"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 të gjitha subjektet e detyruara në sektorin jofinanciar që kanë selinë e tyre qendrore në shtetin përkatës dhe që kanë krijuar njësi në shtete të tjera anëtare ose në vende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të gjitha subjekteve të detyruara në sektorin jofinanciar me seli qendrore në juridiksionin përkatës dhe me prani në shtete të tjera anëtare ose vende të treta. Terminologjia është përshtatur me sistemin juridik kombëtar, pa ndryshuar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njësitë e ngritura nga këto subjekte të detyruara në shtete të tjera anëtare ose vende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gjitha njësitë e krijuara nga këto subjekte të detyruara në shtete të tjera anëtare ose në vende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të gjitha njësive të krijuara nga subjektet e detyruara në shtete të tjera anëtare ose vende të treta.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50(4)(c)</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njësitë e ngritura në territorin e tyre nga subjektet e detyruara në sektorin jofinanciar të shteteve të tjera anëtare ose vendeve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njësitë e krijuara në territorin e tyre nga subjekte të detyruara në sektorin jofinanciar me seli qendrore në shtete të tjera anëtare ose në vende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njësive të krijuara në territor nga subjekte të detyruara me seli në shtete të tjera anëtare ose vende të treta.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50(5)</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e detyruara në sektorin jofinanciar kryejnë veprimtari në shtete të tjera anëtare në bazë të lirisë për të ofruar shërbime, mbikëqyrësi jofinanciar i shtetit anëtar të origjinës mund të ftojë mbikëqyrësit jofinanciarë të këtyre shteteve anëtare që të marrin pjesë në kolegj si vëzhgues.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Kur subjektet e detyruara në sektorin jofinanciar ushtrojnë veprimtari në shtete të tjera anëtare në kuadër të lirisë së ofrimit të shërbimeve, autoriteti mbikëqyrës në sektorin jofinanciar i shtetit të origjinës mund të ftojë autoritetet mbikëqyrëse në sektorin jofinanciar të atyre shteteve anëtare të marrin pjesë në kolegj si vëzhgues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që autoriteti mbikëqyrës i shtetit të origjinës të ftojë autoritetet e shteteve të tjera anëtare të marrin pjesë si vëzhgues në kolegj, në rastet e ushtrimit të veprimtarisë në bazë të lirisë për të ofruar shërbime. Përmbajtja materiale e Direktivës është ruajtur.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50(6)</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grup në sektorin jofinanciar përfshin një institucion krediti ose institucion financiar, por prania e tyre në grup nuk mjafton për ngritjen e një kolegji në kuadër të nenit 49, mbikëqyrësi që ngre kolegjin fton mbikëqyrësit financiarë të këtyre institucioneve të kreditit ose institucioneve financiare që të marrin pjesë në kolegj.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B69F1" w:rsidRDefault="008B69F1" w:rsidP="00A87413">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6. Kur një grup në sektorin jo financiar përfshin një institucion krediti ose një institucion financiar, por prania e tyre në grup nuk përmbush pragun për krijimin e një kolegji në përputhje me nenin 52, autoriteti mbikëqyrës që krijon kolegjin fton autoritetet mbikëqyrëse financiare të atyre institucioneve të kreditit ose institucioneve financiare të marrin pjesë në kolegj.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kur një grup në sektorin jofinanciar përfshin institucione financiare, por nuk përmbushet pragu për krijimin e kolegjit sipas nenit 49, autoritetet mbikëqyrëse financiare të atyre institucioneve të ftohen të marrin pjesë në kolegj.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50(7)</w:t>
            </w: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lejojnë ngritjen e kolegjeve mbikëqyrëse për luftën kundër pastrimit të parave dhe financimit të terrorizmit kur një subjekt i detyruar në sektorin jofinanciar i vendosur në Bashkimin Evropian ka ngritur njësi në të paktën dy vende të treta. Mbikëqyrësit jofinanciarë mund të ftojnë homologët e tyre në ato vende të treta për ngritjen e këtij kolegji. Mbikëqyrësit jofinanciarë që marrin pjesë në kolegj lidhin një marrëveshje me shkrim ku detajohen kushtet dhe procedurat e bashkëpunimit dhe shkëmbimit të informacionit.</w:t>
            </w:r>
          </w:p>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7. Autoritetet mbikëqyrëse në sektorin jofinanciar mund të lejojnë krijimin e kolegjeve të mbikëqyrjes për PPP/FT, kur një subjekt i detyruar në sektorin jofinanciar, i themeluar në një shtet anëtar të Bashkimit Evropian, ka krijuar njësi në të paktën dy vende të treta.</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në sektorin jofinanciar mund të ftojnë autoritetet homologe të atyre vendeve të treta për të krijuar një kolegj të tillë.</w:t>
            </w:r>
          </w:p>
          <w:p w:rsidR="006E5B5B" w:rsidRPr="008B69F1"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në sektorin jofinanciar që marrin pjesë në kolegj lidhin një marrëveshje me shkrim, ku përcaktohen kushtet dhe procedurat e bashkëpunimit dhe të shkëmbimit të informacionit.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e krijimit të kolegjeve të mbikëqyrjes kur subjekte të detyruara në sektorin jofinanciar me seli në një shtet anëtar kanë prani në të paktën dy vende të treta. Është ruajtur mundësia e ftesës së autoriteteve homologe të vendeve të treta dhe detyrimi për lidhjen e një marrëveshjeje me shkrim që rregullon bashkëpunimin dhe shkëmbimin e informacionit.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kolegji ngrihet në kontekstin e subjekteve të detyruara të përmendura në nenin 3, paragrafi 3, germat "a" dhe "b" të Rregullores (BE) 2024/1624, ose të grupeve të subjekteve të tilla, marrëveshja me shkrim e përmendur në nënparagrafin e parë të këtij paragrafi përfshin gjithashtu procedurat për të garantuar që të mos ndahet asnjë informacion i mbledhur në përputhje me nenin 21, paragrafi 2 të Rregullores (BE) 2024/1624, përveç rasteve kur gjen zbatim nënparagrafi i dytë i nenit 21, paragrafi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B69F1" w:rsidRPr="008B69F1" w:rsidRDefault="008B69F1" w:rsidP="00A87413">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7. Autoritetet mbikëqyrëse në sektorin jo financiar mund të lejojnë krijimin e kolegjeve të mbikëqyrjes për PPP/FT, kur një subjekt i detyruar në sektorin jo financiar, i themeluar në një shtet anëtar të Bashkimit Evropian, ka krijuar njësi në të paktën dy vende të treta.</w:t>
            </w:r>
          </w:p>
          <w:p w:rsidR="008B69F1" w:rsidRPr="008B69F1" w:rsidRDefault="008B69F1" w:rsidP="00A87413">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Autoritetet mbikëqyrëse në sektorin jo financiar mund të ftojnë autoritetet homologe të atyre vendeve të treta për të krijuar një kolegj të tillë.</w:t>
            </w:r>
          </w:p>
          <w:p w:rsidR="008B69F1" w:rsidRPr="008B69F1" w:rsidRDefault="008B69F1" w:rsidP="00A87413">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Autoritetet mbikëqyrëse në sektorin jo financiar që marrin pjesë në kolegj lidhin një marrëveshje me shkrim, ku përcaktohen kushtet dhe procedurat e bashkëpunimit dhe të shkëmbimit të informacionit.</w:t>
            </w:r>
          </w:p>
          <w:p w:rsidR="006E5B5B" w:rsidRPr="008B69F1" w:rsidRDefault="008B69F1" w:rsidP="00A87413">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Kur kolegji krijohet në lidhje me subjektet e detyruara të përmendura në  nenin 3, paragrafi 3, germat "a" dhe "b" të Rregullores (BE) 2024/1624, ose me grupet e tyre, marrëveshja me shkrim e përmendur në nën paragrafin e parë të kësaj pike përfshin gjithashtu procedura që sigurojnë se informacioni i mbledhur në përputhje me nenin 21(2) të Rregullores (BE) 2024/1624 nuk shpërndahet, përveç rasteve kur legjislacioni përkatës i Bashkimit Evropian parashikon ndryshe.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future-proof, duke ruajtur ndalimin e shpërndarjes së informacionit të mbledhur sipas legjislacionit përkatës të Bashkimit Evropian, përveç rasteve kur ky legjislacion parashikon ndryshe. Referenca ndaj Rregullores (EU) 2024/1624 është aplikuar me nenet qe harmonizohen me kete regullore ne kuadrin ligjor PPP/FT, në përputhje me statusin e Shqipërisë si vend kandidat dhe për të shmangur referenca të drejtpërdrejta ndaj akteve të BE-së që nuk kanë zbatim të drejtpërdrejtë në rendin juridik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 (8)</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kolegjet të përdoren, ndër të tjera, për shkëmbimin e informacionit, ofrimin e ndihmës së ndërsjellë ose koordinimin e qasjes mbikëqyrëse ndaj grupit ose subjektit të detyruar, duke përfshirë, sipas rastit, marrjen e masave të përshtatshme dhe proporcionale për të adresuar shkeljet serioze të Rregulloreve (BE) 2024/1624 dhe (BE) 2023/1113 që zbulohen në nivelin e grupit ose të subjektit të detyruar, ose në njësitë e ngritura nga grupi ose subjekti i detyruar në juridiksionin e një mbikëqyrësi që merr pjesë në kolegj.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BA3155" w:rsidRDefault="00BA3155" w:rsidP="00A87413">
            <w:pPr>
              <w:widowControl w:val="0"/>
              <w:spacing w:after="0" w:line="240" w:lineRule="auto"/>
              <w:rPr>
                <w:rFonts w:ascii="Times New Roman" w:hAnsi="Times New Roman"/>
                <w:sz w:val="18"/>
                <w:szCs w:val="18"/>
                <w:lang w:val="sq-AL" w:eastAsia="sq-AL" w:bidi="sq-AL"/>
              </w:rPr>
            </w:pPr>
            <w:r w:rsidRPr="00BA3155">
              <w:rPr>
                <w:rFonts w:ascii="Times New Roman" w:hAnsi="Times New Roman"/>
                <w:sz w:val="18"/>
                <w:szCs w:val="18"/>
                <w:lang w:val="sq-AL" w:eastAsia="sq-AL" w:bidi="sq-AL"/>
              </w:rPr>
              <w:t>8. Autoritetet mbikëqyrëse në sektorin jo financiar sigurojnë që 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Rregullores (BE) 2024/1624 dhe të Rregullores (BE) 2023/1113, të konstatuara në nivel grupi ose të subjektit të detyruar, ose nëpërmjet njësive të krijuara nga grupi ose subjekti i detyruar në juridiksionin e një autoriteti mbikëqyrës pjesëmarrës në kolegj.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funksionet e kolegjeve të mbikëqyrjes, përfshirë shkëmbimin e informacionit, asistencën e ndërsjellë dhe koordinimin e qasjes mbikëqyrëse. Është ruajtur referenca ndaj Rregulloreve (BE) 2024/1624 dhe (BE) 2023/1113, të cilat harmonizohen në legjislacionin kombëtar AML.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marrë pjesë në mbledhjet e kolegjeve mbikëqyrëse për luftën kundër pastrimit të parave dhe financimit të terrorizmit dhe lehtëson punën e tyre në përputhje me nenin 36 të Rregullores (BE) 2024/1620. Kur AMLA vendos të marrë pjesë në mbledhjet e një kolegji mbikëqyrës për luftën kundër pastrimit të parave dhe financimit të terrorizmit, ajo ka statusin e vëzhguesit.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9. Struktura e Bashkimit Evropian kompetente në fushën e PPP/FT mund të marrë pjesë në mbledhjet e kolegjeve të mbikëqyrjes dhe lehtëson punën e tyre në përputhje me legjislacionin përkatës të Bashkimit Evropian në fuqi.</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kjo strukturë vendos të marrë pjesë në mbledhjet e një kolegji të mbikëqyrjes, ajo ka statusin e vëzhguesit.</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parashikuar mundësinë e pjesëmarrjes së strukturës kompetente të Bashkimit Evropian në kolegjet e mbikëqyrjes dhe statusin e saj si vëzhgues. Referenca ndaj legjislacionit të Bashkimit Evropian është bërë në mënyrë të përgjithshme. Mekanizmi do të aktivizohet plotësisht nga data e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9" w:name="_Hlk220321745"/>
            <w:r w:rsidRPr="00F727DA">
              <w:rPr>
                <w:rFonts w:ascii="Times New Roman" w:hAnsi="Times New Roman"/>
                <w:sz w:val="18"/>
                <w:szCs w:val="18"/>
              </w:rPr>
              <w:t>50(10)</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jofinanciarë mund t'i lejojnë homologët e tyre në vendet e treta të marrin pjesë si vëzhgues në kolegjet mbikëqyrëse për luftën kundër pastrimit të parave dhe financimit të terrorizmit në rastin e përmendur në paragrafin 1, germa "b" ose kur subjektet e detyruara në sektorin jofinanciar ose grupet e subjekteve të tilla në BE operojnë degë dhe filiale në këto vende të treta, me kusht që: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BD74B9" w:rsidRDefault="00BD74B9" w:rsidP="00A87413">
            <w:pPr>
              <w:widowControl w:val="0"/>
              <w:spacing w:after="0" w:line="240" w:lineRule="auto"/>
              <w:rPr>
                <w:rFonts w:ascii="Times New Roman" w:hAnsi="Times New Roman"/>
                <w:sz w:val="18"/>
                <w:szCs w:val="18"/>
                <w:lang w:val="sq-AL" w:eastAsia="sq-AL" w:bidi="sq-AL"/>
              </w:rPr>
            </w:pPr>
            <w:r w:rsidRPr="00BD74B9">
              <w:rPr>
                <w:rFonts w:ascii="Times New Roman" w:hAnsi="Times New Roman"/>
                <w:sz w:val="18"/>
                <w:szCs w:val="18"/>
                <w:lang w:val="sq-AL" w:eastAsia="sq-AL" w:bidi="sq-AL"/>
              </w:rPr>
              <w:t>10. Autoritetet mbikëqyrëse në sektorin jo financiar mund të lejojnë autoritetet homologe të vendeve të treta të marrin pjesë si vëzhgues në kolegjet e mbikëqyrjes për PPP/FT/, në rastin e parashikuar në pikën 1, shkronja (b), ose kur subjekte të detyruara të Bashkimit Evropian në sektorin jo financiar ose grupet e tyre ushtrojnë veprimtari përmes degëve ose shoqërive bija në ato vende të treta, me kusht që: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e pjesëmarrjes së autoriteteve homologe të vendeve të treta si vëzhgues në kolegjet e mbikëqyrjes në sektorin jofinanciar, në rastet e parashikuara nga Direktiva. Terminologjia është harmonizuar me ligjin kombëtar dhe ruan përmbajtjen materiale të dispozitës.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paraqesin kërkesë për pjesëmarrje dhe anëtarët e kolegjit të bien dakord për pjesëmarrjen e tyre, ose që anëtarët e kolegjit të bien dakord që të ftojnë këta homologë të vendeve të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ruajtur alternativat procedurale për pjesëmarrjen e autoriteteve të vendeve të treta në kolegjin e mbikëqyrjes, përmes kërkesës së tyre ose ftesës nga anëtarët e kolegjit. Përmbajtja materiale e Direktivës është ruajtur pa ndryshime.</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respektohen rregullat e BE-së për mbrojtjen e të dhënave në lidhje me transferimin e të dhënave;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transferimi i të dhënave personale kryhet në përputhje me legjislacionin kombëtar në fuqi për mbrojtjen e të dhënave personale, i cili garanton një nivel mbrojtjeje të barasvlershëm me standardet e Bashkimit Evropian në këtë fushë;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parashikuar që transferimi i të dhënave personale të kryhet në përputhje me legjislacionin kombëtar, i cili garanton një nivel mbrojtjeje të barasvlershëm me standardet e Bashkimit Evropian. Referenca ndaj rregullave të BE-së është bërë në mënyrë materiale dhe jo si zbatim i drejtpërdrejtë, në përputhje me statusin e Shqipërisë si vend kandidat.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nënshkruajnë marrëveshjen me shkrim të përmendur në paragrafin 7 dhe të shkëmbejnë brenda kolegjit informacionet e rëndësishme që zotërojnë për mbikëqyrjen e subjektit të detyruar ose të grupit;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177794" w:rsidRDefault="00177794" w:rsidP="00A87413">
            <w:pPr>
              <w:widowControl w:val="0"/>
              <w:spacing w:after="0" w:line="240" w:lineRule="auto"/>
              <w:rPr>
                <w:rFonts w:ascii="Times New Roman" w:hAnsi="Times New Roman"/>
                <w:sz w:val="18"/>
                <w:szCs w:val="18"/>
                <w:lang w:val="sq-AL" w:eastAsia="sq-AL" w:bidi="sq-AL"/>
              </w:rPr>
            </w:pPr>
            <w:r w:rsidRPr="00177794">
              <w:rPr>
                <w:rFonts w:ascii="Times New Roman" w:hAnsi="Times New Roman"/>
                <w:sz w:val="18"/>
                <w:szCs w:val="18"/>
                <w:lang w:val="sq-AL" w:eastAsia="sq-AL" w:bidi="sq-AL"/>
              </w:rPr>
              <w:t>c) autoritetet homologe të vendeve të treta nënshkruajnë marrëveshjen me shkrim të parashikuar në pikën 7 të këtij neni dhe shkëmbejnë brenda kolegjit informacionin përkatës që zotërojnë për qëllime të mbikëqyrjes së subjektit të detyruar ose të grupit.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e nënshkrimit të marrëveshjes me shkrim dhe detyrimin për shkëmbimin e informacionit përkatës brenda kolegjit për qëllime mbikëqyrëse.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zbuluar t’i nënshtrohet garantimit të kërkesave të sekretit profesional të paktën të barasvlershme me ato të përmendura në nenin 67, paragrafi 1, dhe të përdoret vetëm për qëllime të kryerjes së detyrave mbikëqyrëse të mbikëqyrësve jofinanciarë pjesëmarrës ose të homologëve në vendet e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jofinanciarë përgjegjës për ndërmarrjen mëmë të një grupi ose për selinë qendrore të një subjekti të detyruar ose, në rastet e mbuluara nga paragrafi 3, për kolegjin, të kryejnë një vlerësim të përmbushjes ose jo të kushteve të nënparagrafit të parë të këtij paragrafi dhe t'ua dorëzojnë atë anëtarëve të përhershëm të kolegjit. Ky vlerësim kryhet përpara se homologu i vendit të tretë të lejohet t'i bashkohet kolegjit dhe, më pas, mund të përsëritet sipas nevojës. Mbikëqyrësit jofinanciarë përgjegjës për vlerësimin mund të kërkojnë mbështetjen e AMLA-s për kryerjen e këtij vlerësimi.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rsidR="00177794" w:rsidRPr="00177794" w:rsidRDefault="00177794" w:rsidP="00A87413">
            <w:pPr>
              <w:pStyle w:val="NormalWeb"/>
              <w:autoSpaceDE w:val="0"/>
              <w:spacing w:before="0" w:beforeAutospacing="0" w:after="0" w:afterAutospacing="0"/>
              <w:rPr>
                <w:sz w:val="18"/>
                <w:szCs w:val="18"/>
                <w:lang w:val="sq-AL" w:eastAsia="sq-AL" w:bidi="sq-AL"/>
              </w:rPr>
            </w:pPr>
            <w:r w:rsidRPr="00177794">
              <w:rPr>
                <w:sz w:val="18"/>
                <w:szCs w:val="18"/>
                <w:lang w:val="sq-AL" w:eastAsia="sq-AL" w:bidi="sq-AL"/>
              </w:rPr>
              <w:t>d) informacioni i shkëmbyer i nënshtrohet kërkesave për ruajtjen e sekretit profesional, të paktën të barasvlershme me ato të parashikuara në nenin 83, paragrafi 1, dhe përdoret ekskluzivisht për qëllime të ushtrimit të detyrave mbikëqyrëse të autoriteteve mbikëqyrëse në sektorin jo financiar pjesëmarrëse ose të autoriteteve homologe të vendeve të treta.</w:t>
            </w:r>
          </w:p>
          <w:p w:rsidR="00813C88" w:rsidRPr="00813C88" w:rsidRDefault="00813C88" w:rsidP="00A87413">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Autoritetet mbikëqyrëse në sektorin jo financiar përgjegjëse për mbikëqyrjen e shoqërisë mëmë të një grupi ose të selisë qendrore të një subjekti të detyruar, ose, në rastet e parashikuara në pikën 3, për kolegjin, kryejnë një vlerësim nëse plotësohen kushtet e nën paragrafit të parë të kësaj pike dhe ia paraqesin atë anëtarëve të përhershëm të kolegjit.</w:t>
            </w:r>
          </w:p>
          <w:p w:rsidR="00813C88" w:rsidRPr="00813C88" w:rsidRDefault="00813C88" w:rsidP="00A87413">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Ky vlerësim kryhet përpara se autoriteti homolog i vendit të tretë të lejohet të marrë pjesë në kolegj dhe mund të përsëritet sipas nevojës.</w:t>
            </w:r>
          </w:p>
          <w:p w:rsidR="006E5B5B" w:rsidRPr="0042072E" w:rsidRDefault="00813C88" w:rsidP="00A87413">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Autoritetet mbikëqyrëse në sektorin jo financiar përgjegjëse për kryerjen e vlerësimit mund të kërkojnë mbështetjen e strukturës së Bashkimit Evropian kompetente në fushën e PPP/FT- AMLA për kryerjen e këtij vlerësimi, në përputhje me legjislacionin e Bashkimit Evropian në fuqi.</w:t>
            </w:r>
          </w:p>
        </w:tc>
        <w:tc>
          <w:tcPr>
            <w:tcW w:w="1356" w:type="dxa"/>
            <w:shd w:val="clear" w:color="auto" w:fill="auto"/>
            <w:vAlign w:val="center"/>
          </w:tcPr>
          <w:p w:rsidR="006E5B5B" w:rsidRPr="00F727DA" w:rsidRDefault="006E5B5B" w:rsidP="00A87413">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informacioni i shkëmbyer t’i nënshtrohet kërkesave për sekret profesional të paktën të barasvlershme me ato të parashikuara në nenin 67, paragrafi 1, si dhe të përdoret vetëm për qëllime mbikëqyrëse. Është ruajtur detyrimi për kryerjen e një vlerësimi paraprak të përmbushjes së kushteve për pjesëmarrjen e autoriteteve të vendeve të treta në kolegj, si dhe mundësia për të kërkuar mbështetje nga struktura kompetente e BE-së në mënyrë future-operational. Përmbajtja materiale e Direktivës është ruajtur pa ndryshime.</w:t>
            </w:r>
          </w:p>
        </w:tc>
      </w:tr>
      <w:bookmarkEnd w:id="9"/>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konsiderohet e nevojshme nga anëtarët e përhershëm të kolegjit, mund të ftohen vëzhgues shtesë, me kusht që të respektohen kërkesat e konfidencialitetit. Vëzhguesit mund të përfshijnë NjIF-të.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11.Kur vlerësohet e nevojshme nga anëtarët e përhershëm të kolegjit, mund të ftohen vëzhgues shtesë, me kusht që të respektohen kërkesat për konfidencialitet.</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Vëzhguesit mund të përfshijnë Njësitë e Inteligjencës Financiare.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e ftesës së vëzhguesve shtesë në kolegjet e mbikëqyrjes, me kusht respektimin e kërkesave për konfidencialitet. Është ruajtur përfshirja e Njësive të Inteligjencës Financiare si vëzhgues të mundshëm, në përputhje me Direktivën.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anëtarët e një kolegji nuk bien dakord për masat që duhen marrë në lidhje me një subjekt të detyruar, ata mund t'ia referojnë çështjen AMLA-s dhe të kërkojnë ndihmën e saj në përputhje me nenin 38 të Rregullores (BE) 2024/1620. AMLA jep opinionin e saj mbi objektin e mosdakordësisë brenda 2 muajve.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2072E" w:rsidRPr="0042072E" w:rsidRDefault="0042072E" w:rsidP="00A87413">
            <w:pPr>
              <w:suppressAutoHyphens w:val="0"/>
              <w:spacing w:after="0" w:line="240" w:lineRule="auto"/>
              <w:rPr>
                <w:rFonts w:ascii="Times New Roman" w:hAnsi="Times New Roman"/>
                <w:sz w:val="18"/>
                <w:szCs w:val="18"/>
                <w:lang w:val="sq-AL" w:eastAsia="sq-AL" w:bidi="sq-AL"/>
              </w:rPr>
            </w:pPr>
            <w:r w:rsidRPr="0042072E">
              <w:rPr>
                <w:rFonts w:ascii="Times New Roman" w:hAnsi="Times New Roman"/>
                <w:sz w:val="18"/>
                <w:szCs w:val="18"/>
                <w:lang w:val="sq-AL" w:eastAsia="sq-AL" w:bidi="sq-AL"/>
              </w:rPr>
              <w:t>12. 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p>
          <w:p w:rsidR="006E5B5B" w:rsidRPr="00CC22B3" w:rsidRDefault="0042072E" w:rsidP="00A87413">
            <w:pPr>
              <w:suppressAutoHyphens w:val="0"/>
              <w:spacing w:after="0" w:line="240" w:lineRule="auto"/>
              <w:rPr>
                <w:rFonts w:ascii="Times New Roman" w:hAnsi="Times New Roman"/>
                <w:sz w:val="18"/>
                <w:szCs w:val="18"/>
                <w:lang w:val="sq-AL" w:eastAsia="sq-AL" w:bidi="sq-AL"/>
              </w:rPr>
            </w:pPr>
            <w:r w:rsidRPr="0042072E">
              <w:rPr>
                <w:rFonts w:ascii="Times New Roman" w:hAnsi="Times New Roman"/>
                <w:sz w:val="18"/>
                <w:szCs w:val="18"/>
                <w:lang w:val="sq-AL" w:eastAsia="sq-AL" w:bidi="sq-AL"/>
              </w:rPr>
              <w:t>Struktura përkatëse e Bashkimit Evropian jep opinionin e saj mbi çështjen e mosmarrëveshjes brenda dy muajve.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ruajtur mekanizmin e referimit të mosmarrëveshjeve ndërmjet anëtarëve të kolegjit tek struktura kompetente e Bashkimit Evropian dhe afatin për dhënien e opinionit. Referenca ndaj Rregullores (BE) 2024/1620 është bërë në mënyrë të përgjithshme, pasi kjo rregullore nuk harmonizohet në këtë fazë. Mekanizmi do të aktivizohet plotësisht nga data e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rregullon detyrimin e AMLA për të nxjerrë opinion periodik mbi funksionimin e kolegjeve të mbikëqyrjes në sektorin jofinanciar. Ajo nuk krijon detyrime për shtetet anëtare dhe, për rrjedhojë, nuk kërkon masë zbatimi në legjislacionin kombëtar të Republikës së Shqipërisë.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e përgjithshme për funksionimin e kolegjeve mbikëqyrëse për luftën kundër pastrimit të parave dhe financimit të terrorizmit në sektorin jofinanciar, duke përfshirë kushtet e bashkëpunimit ndërmjet anëtarëve të përhershëm dhe vëzhguesve, si dhe funksionimin operacional të këtyre kolegjeve;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modelin për marrëveshjen me shkrim që do të nënshkruhet nga mbikëqyrësit jofinanciarë në përputhje me paragrafin 7;</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për pjesëmarrjen e mbikëqyrësve jofinanciarë në vendet e treta;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masë shtesë që duhet të zbatohet nga kolegjet kur grupet përfshijnë institucione krediti ose institucione financiare.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dhe më pas çdo 2 vjet, AMLA nxjerr një opinion mbi funksionimin e kolegjeve mbikëqyrëse për luftën kundër pastrimit të parave dhe financimit të terrorizmit në sektorin jofinanciar. Ky opinion përfshin: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rregullon detyrimin e AMLA për të nxjerrë opinion periodik mbi funksionimin e kolegjeve të mbikëqyrjes në sektorin jofinanciar. Ajo nuk krijon detyrime për shtetet anëtare dhe, për rrjedhojë, nuk kërkon masë zbatimi në legjislacionin kombëtar të Republikës së Shqipërisë.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kolegjeve të ngritura nga mbikëqyrësit jofinanciarë;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masave të ndërmarra nga këto kolegje dhe të nivelit të bashkëpunimit të arritur, duke përfshirë vështirësitë e hasura në funksionimin e kolegjeve.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51</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me mbikëqyrësit në vende të treta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jenë në gjendje të lidhin marrëveshje bashkëpunimi për bashkëpunimin dhe shkëmbimin e informacionit konfidencial me homologët e tyre në vendet e treta. Këto marrëveshje bashkëpunimi respektojnë rregullat e zbatueshme të mbrojtjes së të dhënave dhe lidhen në bazë të reciprocitetit duke iu nënshtruar garantimit të kërkesave të sekretit profesional të paktën të barasvlershme me ato të përmendura në nenin 67, paragrafi 1. Informacioni konfidencial i shkëmbyer në përputhje me këto marrëveshje bashkëpunimi përdoret vetëm për qëllimin e kryerjes së detyrave mbikëqyrëse të këtyre autoriteteve.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i shkëmbyer e ka origjinën nga një tjetër shtet anëtar, ai zbulohet vetëm me pëlqimin e shprehur të mbikëqyrësit që e ka ndarë atë dhe, sipas rastit, vetëm për qëllimet për të cilat ai mbikëqyrës ka kanë dhënë pëlqimin e tij.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AE7251" w:rsidRPr="00AE7251" w:rsidRDefault="00AE7251" w:rsidP="00A87413">
            <w:pPr>
              <w:widowControl w:val="0"/>
              <w:snapToGrid w:val="0"/>
              <w:spacing w:after="0" w:line="240" w:lineRule="auto"/>
              <w:rPr>
                <w:rFonts w:ascii="Times New Roman" w:hAnsi="Times New Roman"/>
                <w:sz w:val="18"/>
                <w:szCs w:val="18"/>
                <w:lang w:val="sq-AL" w:eastAsia="sq-AL" w:bidi="sq-AL"/>
              </w:rPr>
            </w:pPr>
            <w:r w:rsidRPr="00AE7251">
              <w:rPr>
                <w:rFonts w:ascii="Times New Roman" w:hAnsi="Times New Roman"/>
                <w:sz w:val="18"/>
                <w:szCs w:val="18"/>
                <w:lang w:val="sq-AL" w:eastAsia="sq-AL" w:bidi="sq-AL"/>
              </w:rPr>
              <w:t>Neni 54</w:t>
            </w:r>
          </w:p>
          <w:p w:rsidR="00AE7251" w:rsidRPr="00AE7251" w:rsidRDefault="00AE7251" w:rsidP="00A87413">
            <w:pPr>
              <w:widowControl w:val="0"/>
              <w:snapToGrid w:val="0"/>
              <w:spacing w:after="0" w:line="240" w:lineRule="auto"/>
              <w:rPr>
                <w:rFonts w:ascii="Times New Roman" w:hAnsi="Times New Roman"/>
                <w:sz w:val="18"/>
                <w:szCs w:val="18"/>
                <w:lang w:val="sq-AL" w:eastAsia="sq-AL" w:bidi="sq-AL"/>
              </w:rPr>
            </w:pPr>
            <w:r w:rsidRPr="00AE7251">
              <w:rPr>
                <w:rFonts w:ascii="Times New Roman" w:hAnsi="Times New Roman"/>
                <w:sz w:val="18"/>
                <w:szCs w:val="18"/>
                <w:lang w:val="sq-AL" w:eastAsia="sq-AL" w:bidi="sq-AL"/>
              </w:rPr>
              <w:t>Bashkëpunimi me autoritetet mbikëqyrëse në vende të treta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1.Autoritetet mbikëqyrëse sigurojnë që të kenë kompetencën për të lidhur marrëveshje bashkëpunimi që parashikojnë bashkëpunim dhe shkëmbim informacioni konfidencial me autoritetet homologe në vende të treta.</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marrëveshje bashkëpunimi respektojnë rregullat e zbatueshme për mbrojtjen e të dhënave personale dhe lidhen mbi bazën e reciprocitetit, duke garantuar kërkesa për ruajtjen e sekretit profesional të paktën të barasvlershme me ato të parashikuara në nenin 67, paragrafi 1.</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në përputhje me këto marrëveshje përdoret vetëm për qëllime të ushtrimit të detyrave mbikëqyrëse të këtyre autoriteteve.</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i shkëmbyer e ka origjinën në një shtet tjetër anëtar, ai shpërndahet vetëm me pëlqimin e shprehur të autoritetit mbikëqyrës që e ka ndarë atë dhe, sipas rastit, vetëm për qëllimet për të cilat është dhënë ky pëlqim.</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bazën ligjore për lidhjen e marrëveshjeve të bashkëpunimit ndërmjet autoriteteve mbikëqyrëse dhe autoriteteve homologe të vendeve të treta, mbi bazën e reciprocitetit dhe me garanci të sekretit profesional të paktën të barasvlershme me nenin 67(1). Është ruajtur kufizimi i përdorimit të informacionit vetëm për qëllime mbikëqyrëse dhe kërkesa për pëlqim të shprehur kur informacioni ka origjinë nga një shtet tjetër anëtar. Përmbajtja materiale e Direktivës është ruajtur pa ndryshime.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paragrafit 1, AMLA ofron ndihmën e nevojshme për të vlerësuar ekuivalencën e kërkesave të sekretit profesional të zbatueshme për homologun e vendit të tretë.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reflektuar rolin e strukturës kompetente të Bashkimit Evropian në ofrimin e asistencës për vlerësimin e barasvlershmërisë së kërkesave për sekret profesional të autoriteteve të vendeve të treta. Referenca ndaj legjislacionit të BE-së është bërë në mënyrë të përgjithshme per të sigurar harmonizimin me acquis.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njoftojnë AMLA-n për çdo marrëveshje të nënshkruar në përputhje me këtë nen brenda 1 muaji nga nënshkrimi i saj.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Autoritetet mbikëqyrëse njoftojnë strukturën e Bashkimit Evropian kompetente në fushën e PPP/FT për çdo marrëveshje bashkëpunimi të lidhur në përputhje me këtë nen, brenda një muaji nga nënshkrimi i saj, në përputhje me legjislacionin e Bashkimit Evropian në fuqi.</w:t>
            </w:r>
          </w:p>
        </w:tc>
        <w:tc>
          <w:tcPr>
            <w:tcW w:w="1356" w:type="dxa"/>
            <w:shd w:val="clear" w:color="auto" w:fill="auto"/>
            <w:vAlign w:val="center"/>
          </w:tcPr>
          <w:p w:rsidR="006E5B5B" w:rsidRPr="00F727DA" w:rsidRDefault="006C05CB" w:rsidP="00A87413">
            <w:pPr>
              <w:widowControl w:val="0"/>
              <w:snapToGrid w:val="0"/>
              <w:spacing w:after="0" w:line="240" w:lineRule="auto"/>
              <w:rPr>
                <w:rFonts w:ascii="Times New Roman" w:hAnsi="Times New Roman"/>
                <w:sz w:val="18"/>
                <w:szCs w:val="18"/>
                <w:lang w:eastAsia="sq-AL" w:bidi="sq-AL"/>
              </w:rPr>
            </w:pPr>
            <w:r w:rsidRPr="006C05CB">
              <w:rPr>
                <w:rFonts w:ascii="Times New Roman" w:hAnsi="Times New Roman"/>
                <w:sz w:val="18"/>
                <w:szCs w:val="18"/>
                <w:lang w:eastAsia="sq-AL" w:bidi="sq-AL"/>
              </w:rPr>
              <w:t>Plotësisht e transpozuar (operacionale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Mekanizmi i njoftimit ndaj strukturës së Bashkimit Evropian aktivizohet nga data e anëtarësimit të Republikës së Shqipërisë në BE, në përputhje me dispozitat kalimtare të ligjit dhe me legjislacionin e BE-së në fuqi.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zhvillon draft-standarde teknike zbatimi dhe i paraqet ato pranë Komisionit për miratim. Këto draft-standarde teknike zbatimi specifikojnë modelin që do të përdoret për lidhjen e marrëveshjeve të bashkëpunimit të përmendura në paragrafin 1.</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jepet kompetenca për të miratuar draft-standardet teknike të zbatimit të përmendura në nënparagrafin e parë, në përputhje me nenin 53 të Rregullores (BE) nr.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C05CB" w:rsidRDefault="006C05CB"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6E5B5B" w:rsidRPr="00F727DA" w:rsidRDefault="006C05CB" w:rsidP="00A87413">
            <w:pPr>
              <w:widowControl w:val="0"/>
              <w:snapToGrid w:val="0"/>
              <w:spacing w:after="0" w:line="240" w:lineRule="auto"/>
              <w:rPr>
                <w:rFonts w:ascii="Times New Roman" w:hAnsi="Times New Roman"/>
                <w:sz w:val="18"/>
                <w:szCs w:val="18"/>
                <w:lang w:eastAsia="sq-AL" w:bidi="sq-AL"/>
              </w:rPr>
            </w:pPr>
            <w:r w:rsidRPr="006C05CB">
              <w:rPr>
                <w:rFonts w:ascii="Times New Roman" w:hAnsi="Times New Roman"/>
                <w:sz w:val="18"/>
                <w:szCs w:val="18"/>
                <w:lang w:eastAsia="sq-AL" w:bidi="sq-AL"/>
              </w:rPr>
              <w:t>Nuk zbatohet – dispozitë institucionale e Bashkimit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rregullon detyrime institucionale të AMLA dhe procedurën e miratimit të standardeve teknike zbatuese nga Komisioni Evropian, në përputhje me Rregulloren (BE) 2024/1620. Ajo nuk krijon detyrime për shtetet anëtare dhe nuk kërkon masë zbatimi në legjislacionin kombëtar të Republikës së Shqipërisë.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7F5F6B" w:rsidRPr="007F5F6B" w:rsidRDefault="007F5F6B" w:rsidP="00A87413">
            <w:pPr>
              <w:pStyle w:val="Heading1"/>
              <w:spacing w:before="0"/>
              <w:rPr>
                <w:rFonts w:ascii="Times New Roman" w:hAnsi="Times New Roman"/>
                <w:color w:val="auto"/>
                <w:sz w:val="18"/>
                <w:szCs w:val="18"/>
                <w:lang w:val="sq-AL" w:eastAsia="sq-AL" w:bidi="sq-AL"/>
              </w:rPr>
            </w:pPr>
            <w:r w:rsidRPr="007F5F6B">
              <w:rPr>
                <w:rFonts w:ascii="Times New Roman" w:hAnsi="Times New Roman"/>
                <w:color w:val="auto"/>
                <w:sz w:val="18"/>
                <w:szCs w:val="18"/>
                <w:lang w:val="sq-AL" w:eastAsia="sq-AL" w:bidi="sq-AL"/>
              </w:rPr>
              <w:t>Neni 55</w:t>
            </w:r>
          </w:p>
          <w:p w:rsidR="007F5F6B" w:rsidRPr="007F5F6B" w:rsidRDefault="007F5F6B" w:rsidP="00A87413">
            <w:pPr>
              <w:pStyle w:val="Heading1"/>
              <w:spacing w:before="0"/>
              <w:rPr>
                <w:rFonts w:ascii="Times New Roman" w:hAnsi="Times New Roman"/>
                <w:color w:val="auto"/>
                <w:sz w:val="18"/>
                <w:szCs w:val="18"/>
                <w:lang w:val="sq-AL" w:eastAsia="sq-AL" w:bidi="sq-AL"/>
              </w:rPr>
            </w:pPr>
            <w:r w:rsidRPr="007F5F6B">
              <w:rPr>
                <w:rFonts w:ascii="Times New Roman" w:hAnsi="Times New Roman"/>
                <w:color w:val="auto"/>
                <w:sz w:val="18"/>
                <w:szCs w:val="18"/>
                <w:lang w:val="sq-AL" w:eastAsia="sq-AL" w:bidi="sq-AL"/>
              </w:rPr>
              <w:t>Rregullimi i mëtejshëm i kolegjeve të mbikëqyrjes</w:t>
            </w:r>
          </w:p>
          <w:p w:rsidR="006E5B5B" w:rsidRPr="00F727DA" w:rsidRDefault="006E5B5B" w:rsidP="00A87413">
            <w:pPr>
              <w:pStyle w:val="Heading1"/>
              <w:spacing w:before="0"/>
              <w:rPr>
                <w:rFonts w:ascii="Times New Roman" w:eastAsia="Calibri" w:hAnsi="Times New Roman" w:cs="Times New Roman"/>
                <w:color w:val="auto"/>
                <w:sz w:val="18"/>
                <w:szCs w:val="18"/>
                <w:lang w:eastAsia="sq-AL" w:bidi="sq-AL"/>
              </w:rPr>
            </w:pPr>
          </w:p>
        </w:tc>
        <w:tc>
          <w:tcPr>
            <w:tcW w:w="2064" w:type="dxa"/>
            <w:shd w:val="clear" w:color="auto" w:fill="auto"/>
            <w:vAlign w:val="center"/>
          </w:tcPr>
          <w:p w:rsidR="006E5B5B" w:rsidRPr="00302D83" w:rsidRDefault="00302D83" w:rsidP="00A87413">
            <w:pPr>
              <w:pStyle w:val="NormalWeb"/>
              <w:spacing w:before="0" w:beforeAutospacing="0" w:after="0" w:afterAutospacing="0"/>
              <w:rPr>
                <w:sz w:val="18"/>
                <w:szCs w:val="18"/>
                <w:lang w:val="sq-AL" w:eastAsia="sq-AL" w:bidi="sq-AL"/>
              </w:rPr>
            </w:pPr>
            <w:r w:rsidRPr="00302D83">
              <w:rPr>
                <w:sz w:val="18"/>
                <w:szCs w:val="18"/>
                <w:lang w:val="sq-AL" w:eastAsia="sq-AL" w:bidi="sq-AL"/>
              </w:rPr>
              <w:t>Modalitetet dhe procedurat për krijimin, organizimin, funksionimin dhe koordinimin e kolegjeve të mbikëqyrjes të parashikuara në nenet 49, 50 dhe 51 të këtij ligji rregullohen më tej në përputhje me legjislacionin sektorial përkatës dhe aktet nënligjore të nxjerra nga autoritetet mbikëqyrëse kompetente.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përfshirë një nen delegues që parashikon rregullimin e mëtejshëm të aspekteve procedurale dhe organizative të kolegjeve të mbikëqyrjes përmes legjislacionit sektorial dhe akteve nënligjore të autoriteteve mbikëqyrëse. Dispozita garanton zbatueshmëri efektive të neneve 49 dhe 50 pa ndryshuar përmbajtjen materiale të Direktivës.</w:t>
            </w: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302D83"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302D83" w:rsidRPr="00302D83" w:rsidRDefault="00302D83" w:rsidP="00A87413">
            <w:pPr>
              <w:pStyle w:val="Heading1"/>
              <w:spacing w:before="0"/>
              <w:rPr>
                <w:rFonts w:ascii="Times New Roman" w:hAnsi="Times New Roman"/>
                <w:color w:val="auto"/>
                <w:sz w:val="18"/>
                <w:szCs w:val="18"/>
                <w:lang w:val="sq-AL" w:eastAsia="sq-AL" w:bidi="sq-AL"/>
              </w:rPr>
            </w:pPr>
            <w:r w:rsidRPr="00302D83">
              <w:rPr>
                <w:rFonts w:ascii="Times New Roman" w:hAnsi="Times New Roman"/>
                <w:color w:val="auto"/>
                <w:sz w:val="18"/>
                <w:szCs w:val="18"/>
                <w:lang w:val="sq-AL" w:eastAsia="sq-AL" w:bidi="sq-AL"/>
              </w:rPr>
              <w:t>Neni 56</w:t>
            </w:r>
          </w:p>
          <w:p w:rsidR="00302D83" w:rsidRPr="00302D83" w:rsidRDefault="00302D83" w:rsidP="00A87413">
            <w:pPr>
              <w:pStyle w:val="Heading1"/>
              <w:spacing w:before="0"/>
              <w:rPr>
                <w:rFonts w:ascii="Times New Roman" w:hAnsi="Times New Roman"/>
                <w:color w:val="auto"/>
                <w:sz w:val="18"/>
                <w:szCs w:val="18"/>
                <w:lang w:val="sq-AL" w:eastAsia="sq-AL" w:bidi="sq-AL"/>
              </w:rPr>
            </w:pPr>
            <w:r w:rsidRPr="00302D83">
              <w:rPr>
                <w:rFonts w:ascii="Times New Roman" w:hAnsi="Times New Roman"/>
                <w:color w:val="auto"/>
                <w:sz w:val="18"/>
                <w:szCs w:val="18"/>
                <w:lang w:val="sq-AL" w:eastAsia="sq-AL" w:bidi="sq-AL"/>
              </w:rPr>
              <w:t>Zbatimi në kuadër të integrimit evropian</w:t>
            </w:r>
          </w:p>
          <w:p w:rsidR="006E5B5B" w:rsidRPr="00302D83"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02D83" w:rsidRPr="00302D83" w:rsidRDefault="00302D83" w:rsidP="00A87413">
            <w:pPr>
              <w:pStyle w:val="NormalWeb"/>
              <w:spacing w:before="0" w:beforeAutospacing="0" w:after="0" w:afterAutospacing="0"/>
              <w:rPr>
                <w:b/>
                <w:sz w:val="18"/>
                <w:szCs w:val="18"/>
                <w:lang w:val="sq-AL" w:eastAsia="sq-AL" w:bidi="sq-AL"/>
              </w:rPr>
            </w:pPr>
          </w:p>
          <w:p w:rsidR="00302D83" w:rsidRPr="00302D83" w:rsidRDefault="00302D83" w:rsidP="00A87413">
            <w:pPr>
              <w:pStyle w:val="NormalWeb"/>
              <w:spacing w:before="0" w:beforeAutospacing="0" w:after="0" w:afterAutospacing="0"/>
              <w:rPr>
                <w:sz w:val="18"/>
                <w:szCs w:val="18"/>
                <w:lang w:val="sq-AL" w:eastAsia="sq-AL" w:bidi="sq-AL"/>
              </w:rPr>
            </w:pPr>
            <w:r w:rsidRPr="00302D83">
              <w:rPr>
                <w:sz w:val="18"/>
                <w:szCs w:val="18"/>
                <w:lang w:val="sq-AL" w:eastAsia="sq-AL" w:bidi="sq-AL"/>
              </w:rPr>
              <w:t>Dispozitat e këtij ligji që lidhen me bashkëpunimin ndërkombëtar, 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rsidR="006E5B5B" w:rsidRPr="00302D83" w:rsidRDefault="00302D83" w:rsidP="00A87413">
            <w:pPr>
              <w:pStyle w:val="NormalWeb"/>
              <w:spacing w:before="0" w:beforeAutospacing="0" w:after="0" w:afterAutospacing="0"/>
              <w:rPr>
                <w:sz w:val="18"/>
                <w:szCs w:val="18"/>
                <w:lang w:val="sq-AL" w:eastAsia="sq-AL" w:bidi="sq-AL"/>
              </w:rPr>
            </w:pPr>
            <w:r w:rsidRPr="00302D83">
              <w:rPr>
                <w:sz w:val="18"/>
                <w:szCs w:val="18"/>
                <w:lang w:val="sq-AL" w:eastAsia="sq-AL" w:bidi="sq-AL"/>
              </w:rPr>
              <w:t>Me anëtarësimin e Republikës së Shqipërisë në Bashkimin Evropian, referencat ndaj bashkëpunimit me autoritetet e shteteve të tjera dhe me Autoritetin për Luftën kundër Pastrimit të Parave (AMLA) interpretohen dhe zbatohen në përputhje me acquis të Bashkimit Evropian dhe aktet përkatëse të zbatueshme drejtpërdrejt.</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parashikuar një dispozitë horizontale që siguron zbatimin e dispozitave për bashkëpunimin ndërkombëtar, shkëmbimin e informacionit ndërkufitar dhe mbikëqyrjen në nivel grupi në përputhje me marrëveshjet ndërkombëtare të ratifikuara nga Republika e Shqipërisë dhe me aktet e Bashkimit Evropian që bëhen të zbatueshme për të. Kjo garanton përafrim të plotë material me acquis dhe siguron zbatueshmëri automatike pas anëtarësimit, pa qenë e nevojshme ndërhyrje e menjëhershme legjislative.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Seksioni 3</w:t>
            </w:r>
          </w:p>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veçanta që lidhen me organet vetë-rregulluese</w:t>
            </w:r>
          </w:p>
          <w:p w:rsidR="006E5B5B" w:rsidRPr="00F727DA" w:rsidRDefault="006E5B5B" w:rsidP="00A87413">
            <w:pPr>
              <w:snapToGrid w:val="0"/>
              <w:spacing w:after="0" w:line="240" w:lineRule="auto"/>
              <w:rPr>
                <w:rFonts w:ascii="Times New Roman" w:hAnsi="Times New Roman"/>
                <w:b/>
                <w:sz w:val="18"/>
                <w:szCs w:val="18"/>
                <w:lang w:eastAsia="sq-AL" w:bidi="sq-AL"/>
              </w:rPr>
            </w:pPr>
          </w:p>
        </w:tc>
      </w:tr>
      <w:tr w:rsidR="00E24C86" w:rsidRPr="00F727DA" w:rsidTr="00DB3060">
        <w:trPr>
          <w:trHeight w:val="578"/>
        </w:trPr>
        <w:tc>
          <w:tcPr>
            <w:tcW w:w="14397" w:type="dxa"/>
            <w:gridSpan w:val="8"/>
            <w:shd w:val="clear" w:color="auto" w:fill="D0CECE" w:themeFill="background2" w:themeFillShade="E6"/>
            <w:vAlign w:val="center"/>
          </w:tcPr>
          <w:p w:rsidR="00E24C86" w:rsidRPr="00F727DA" w:rsidRDefault="00E24C86" w:rsidP="00A87413">
            <w:pPr>
              <w:shd w:val="clear" w:color="auto" w:fill="D0CECE" w:themeFill="background2" w:themeFillShade="E6"/>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52</w:t>
            </w:r>
          </w:p>
          <w:p w:rsidR="00E24C86" w:rsidRPr="00F727DA" w:rsidRDefault="00E24C86"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Mbikëqyrja e organeve vetë-rregulluese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shtetet anëtare vendosin, në përputhje me nenin 37, paragrafi 3 të kësaj direktive, të lejojnë organet vetërregulluese të kryejnë mbikëqyrjen e subjekteve të detyruara të përmendura në nenin 3, paragrafi 3, germat "a" dhe "b" të Rregullores (BE) 2024/1624, ato garantojnë që veprimtaritë e këtyre organeve vetërregulluese në kuadër të ushtrimit të këtyre funksioneve t'i nënshtrohen mbikëqyrjes nga një autoritet publik.</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DB3060" w:rsidRPr="00DB3060" w:rsidRDefault="00DB3060" w:rsidP="00A87413">
            <w:pPr>
              <w:widowControl w:val="0"/>
              <w:snapToGrid w:val="0"/>
              <w:spacing w:after="0" w:line="240" w:lineRule="auto"/>
              <w:rPr>
                <w:rFonts w:ascii="Times New Roman" w:hAnsi="Times New Roman"/>
                <w:sz w:val="18"/>
                <w:szCs w:val="18"/>
                <w:lang w:val="sq-AL" w:eastAsia="sq-AL" w:bidi="sq-AL"/>
              </w:rPr>
            </w:pPr>
            <w:r w:rsidRPr="00DB3060">
              <w:rPr>
                <w:rFonts w:ascii="Times New Roman" w:hAnsi="Times New Roman"/>
                <w:sz w:val="18"/>
                <w:szCs w:val="18"/>
                <w:lang w:val="sq-AL" w:eastAsia="sq-AL" w:bidi="sq-AL"/>
              </w:rPr>
              <w:t>Neni 57</w:t>
            </w:r>
          </w:p>
          <w:p w:rsidR="00DB3060" w:rsidRPr="00DB3060" w:rsidRDefault="00DB3060" w:rsidP="00A87413">
            <w:pPr>
              <w:widowControl w:val="0"/>
              <w:snapToGrid w:val="0"/>
              <w:spacing w:after="0" w:line="240" w:lineRule="auto"/>
              <w:rPr>
                <w:rFonts w:ascii="Times New Roman" w:hAnsi="Times New Roman"/>
                <w:sz w:val="18"/>
                <w:szCs w:val="18"/>
                <w:lang w:val="sq-AL" w:eastAsia="sq-AL" w:bidi="sq-AL"/>
              </w:rPr>
            </w:pPr>
            <w:r w:rsidRPr="00DB3060">
              <w:rPr>
                <w:rFonts w:ascii="Times New Roman" w:hAnsi="Times New Roman"/>
                <w:sz w:val="18"/>
                <w:szCs w:val="18"/>
                <w:lang w:val="sq-AL" w:eastAsia="sq-AL" w:bidi="sq-AL"/>
              </w:rPr>
              <w:t>Mbikëqyrja e organeve vetërregulluese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F6256" w:rsidRDefault="00AF6256" w:rsidP="00A87413">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1. Kur organet vetërregulluese ushtrojnë funksione mbikëqyrëse ndaj subjekteve të detyruara të përcaktuara në nenin 3, pikat (3)(a) dhe (b) të Rregullores (BE) 2024/1624, veprimtaria e tyre në ushtrimin e këtyre funksioneve i nënshtrohet mbikëqyrjes nga një autoritet publik kompetent, në përputhje me legjislacionin sektorial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AF6256"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duke parashikuar që organet vetërregulluese që ushtrojnë funksione mbikëqyrëse i nënshtrohen mbikëqyrjes nga një autoritet publik kompetent. Identifikimi i autoritetit publik dhe kompetencat përkatëse rregullohen në legjislacionin sektorial përkatës. </w:t>
            </w:r>
            <w:r w:rsidRPr="00AF6256">
              <w:rPr>
                <w:rFonts w:ascii="Times New Roman" w:hAnsi="Times New Roman"/>
                <w:sz w:val="18"/>
                <w:szCs w:val="18"/>
                <w:lang w:eastAsia="sq-AL" w:bidi="sq-AL"/>
              </w:rPr>
              <w:t>Aktualisht, kjo dispozitë zbatohet për Dhomën Kombëtare të Avokatisë.</w:t>
            </w:r>
          </w:p>
          <w:p w:rsidR="006E5B5B" w:rsidRPr="00F727DA" w:rsidRDefault="006E5B5B" w:rsidP="00A87413">
            <w:pPr>
              <w:snapToGrid w:val="0"/>
              <w:spacing w:after="0" w:line="240" w:lineRule="auto"/>
              <w:rPr>
                <w:rFonts w:ascii="Times New Roman" w:hAnsi="Times New Roman"/>
                <w:sz w:val="18"/>
                <w:szCs w:val="18"/>
                <w:lang w:eastAsia="sq-AL" w:bidi="sq-AL"/>
              </w:rPr>
            </w:pPr>
            <w:r w:rsidRPr="00AF6256">
              <w:rPr>
                <w:rFonts w:ascii="Times New Roman" w:hAnsi="Times New Roman"/>
                <w:sz w:val="18"/>
                <w:szCs w:val="18"/>
                <w:lang w:eastAsia="sq-AL" w:bidi="sq-AL"/>
              </w:rPr>
              <w:t>Duhet te hartohet dispozita perkatese ne ligjin per Avokatine.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 publik që mbikëqyr organet vetërregulluese është përgjegjës për të garantuar një sistem mbikëqyrës të përshtatshëm dhe efektiv për subjektet e detyruara të përmendura në nenin 3, paragrafi 3, germat "a" dhe "b" të Rregullores (BE) 2024/1624, midis të tjerash, duke: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Autoriteti publik që ushtron mbikëqyrje mbi organet vetërregulluese është përgjegjës për garantimin e një sistemi të përshtatshëm dhe efektiv mbikëqyrjeje ndaj subjekteve të detyruara në sektorin jofinanciar, në përputhje me këtë ligj dhe legjislacionin sektorial përkatës, duke përfshirë, ndër të tjera: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përgjegjësinë e autoritetit publik mbikëqyrës për të garantuar një sistem adekuat dhe efektiv mbikëqyrjeje për subjektet e detyruara që mbikëqyren nga organet vetërregulluese. Detajet institucionale dhe kompetencat specifike rregullohen në legjislacionin sektorial përkatës.</w:t>
            </w: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color w:val="C00000"/>
                <w:sz w:val="18"/>
                <w:szCs w:val="18"/>
                <w:lang w:eastAsia="sq-AL" w:bidi="sq-AL"/>
              </w:rPr>
            </w:pPr>
            <w:r w:rsidRPr="00F727DA">
              <w:rPr>
                <w:rFonts w:ascii="Times New Roman" w:hAnsi="Times New Roman"/>
                <w:color w:val="C00000"/>
                <w:sz w:val="18"/>
                <w:szCs w:val="18"/>
                <w:highlight w:val="yellow"/>
                <w:lang w:eastAsia="sq-AL" w:bidi="sq-AL"/>
              </w:rPr>
              <w:t>Duhet te parashokohen dispozita lidhese ose ne ligjin per MD ose ne ligjin per Avokatine- per tu diskutuar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verifikuar që çdo organ vetërregullues që ushtron funksionet ose aspiron të ushtrojë funksionet e përmendura në nenin 37, paragrafi 1, përmbush kërkesat e paragrafit 3 të atij neni;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F6256" w:rsidRDefault="00AF6256" w:rsidP="00A87413">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a) verifikimin që çdo organ vetërregullues që ushtron, ose synon të ushtrojë, funksionet e parashikuara në nenin 39, pika 1, të këtij ligji, përmbush kërkesat e përcaktuara në atë nen;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për të verifikuar që çdo organ vetërregullues që ushtron ose synon të ushtrojë funksione mbikëqyrëse përmbush kërkesat e nenit 37(1) të ligjit. Kjo garanton që funksionet mbikëqyrëse të deleguara organeve vetërregulluese të ushtrohen vetëm nëse plotësohen standardet ligjore.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nxjerrë udhëzime në lidhje me ushtrimin e funksioneve të përmendura në nenin 37, paragrafi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F6256" w:rsidRDefault="00AF6256" w:rsidP="00A87413">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b) nxjerrjen e udhëzimeve (akteve nënligjore) lidhur me ushtrimin e funksioneve të parashikuara në nenin 39, pika 1,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mbikëqyrës për të nxjerrë udhëzime lidhur me ushtrimin e funksioneve mbikëqyrëse nga organet vetërregulluese. Kjo kontribuon në garantimin e një sistemi adekuat dhe efektiv mbikëqyrjeje.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garantuar që organet vetërregulluese të ushtrojnë funksionet e tyre në kuadër të seksionit 1 të këtij kreu në mënyrë të përshtatshme dhe efektive;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AF6256" w:rsidRPr="00AF6256" w:rsidRDefault="00AF6256" w:rsidP="00A87413">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c) sigurimin që organet vetërregulluese ushtrojnë funksionet e tyre në përputhje me Seksionin 1 të këtij Kreu, në mënyrë të përshtatshme dhe efektive.</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përgjegjësinë e autoritetit publik mbikëqyrës për të siguruar që organet vetërregulluese ushtrojnë funksionet e tyre në mënyrë të përshtatshme dhe efektive, në përputhje me Seksionin 1 të këtij Kreu. Kjo garanton mbikëqyrje publike efektive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shqyrtuar përjashtimet e lejuara nga organet vetërregulluese nga detyrimi për të hartuar një vlerësim individual të dokumentuar të rrezikut në përputhje me nenin 37, paragrafi 5, germa "b";</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F6256" w:rsidRDefault="00AF6256" w:rsidP="00A87413">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d) rishikimin e përjashtimeve të dhëna nga organet vetërregulluese nga detyrimi për hartimin e një vlerësimi individual të dokumentuar të rrezikut, në përputhje me nenin 39, pika 5, shkronja (b),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mbikëqyrës për të rishikuar përjashtimet e dhëna nga organet vetërregulluese nga detyrimi për hartimin e vlerësimeve individuale të dokumentuara të rrezikut. Kjo garanton që përjashtimet të jenë të arsyetuara dhe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informuar rregullisht organet vetërregulluese për çdo veprimtari të planifikuar ose detyrë të kryer nga AMLA me rëndësi për ushtrimin e funksionit të tyre mbikëqyrës, dhe në veçanti për planifikimin e vlerësimeve mes homologëve, në përputhje me nenin 35 të Rregullores (BE) nr.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informimin e rregullt të organeve vetërregulluese për çdo aktivitet të planifikuar ose detyrë të kryer nga struktura e Bashkimit Evropian kompetente në fushën e PPP/FT që është lidhet me  ushtrimin e funksionit të tyre mbikëqyrës, duke përfshirë, në veçanti, planifikimin e vlerësime të ndërsjella ndërmjet autoriteteve mbikëqyrëse (peer revie</w:t>
            </w:r>
            <w:r w:rsidR="000C5AB0">
              <w:rPr>
                <w:rFonts w:ascii="Times New Roman" w:hAnsi="Times New Roman"/>
                <w:sz w:val="18"/>
                <w:szCs w:val="18"/>
                <w:lang w:eastAsia="sq-AL" w:bidi="sq-AL"/>
              </w:rPr>
              <w:t>w</w:t>
            </w:r>
            <w:r w:rsidRPr="00F727DA">
              <w:rPr>
                <w:rFonts w:ascii="Times New Roman" w:hAnsi="Times New Roman"/>
                <w:sz w:val="18"/>
                <w:szCs w:val="18"/>
                <w:lang w:eastAsia="sq-AL" w:bidi="sq-AL"/>
              </w:rPr>
              <w:t>s), në përputhje me legjislacionin e Bashkimit Evropian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informuar rregullisht organet vetërregulluese për aktivitetet përkatëse të strukturës kompetente të Bashkimit Evropian, përfshirë vlerësimet ndërmjet kolegëve. Mekanizmi është future-operational dhe aktivizohet nga data e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autoritetit publik që mbikëqyr organet vetërregulluese t'i jepen kompetenca të mjaftueshme për të ushtruar përgjegjësitë e tij sipas paragrafit 2. Minimalisht, shtetet anëtare garantojnë që autoriteti publik të ketë kompetencën që: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FC72F4" w:rsidRPr="00FC72F4" w:rsidRDefault="00FC72F4" w:rsidP="00A87413">
            <w:pPr>
              <w:widowControl w:val="0"/>
              <w:spacing w:after="0" w:line="240" w:lineRule="auto"/>
              <w:rPr>
                <w:rFonts w:ascii="Times New Roman" w:hAnsi="Times New Roman"/>
                <w:sz w:val="18"/>
                <w:szCs w:val="18"/>
                <w:lang w:val="sq-AL" w:eastAsia="sq-AL" w:bidi="sq-AL"/>
              </w:rPr>
            </w:pPr>
            <w:r w:rsidRPr="00FC72F4">
              <w:rPr>
                <w:rFonts w:ascii="Times New Roman" w:hAnsi="Times New Roman"/>
                <w:sz w:val="18"/>
                <w:szCs w:val="18"/>
                <w:lang w:val="sq-AL" w:eastAsia="sq-AL" w:bidi="sq-AL"/>
              </w:rPr>
              <w:t>3. Autoritetit publik që ushtron mbikëqyrje mbi organet vetërregulluese i garantohen kompetenca të mjaftueshme për të përmbushur përgjegjësitë e përcaktuara në pikën 2 të këtij neni.</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Së paku, autoriteti publik ka kompetencë 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autoriteti publik mbikëqyrës mbi organet vetërregulluese të ketë kompetenca të mjaftueshme për të ushtruar përgjegjësitë e tij, në përputhje me kërkesat minimale të Direktivës. Kompetencat konkrete parashikohen në këtë ligj dhe detajohen më tej në legjislacionin sektorial përkatës.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detyrojë gjenerimin e çfarëdolloj informacioni me rëndësi për monitorimin e pajtueshmërisë dhe kryerjen e kontrolleve, me përjashtim të informacioneve të mbledhura nga subjektet e detyruara të përmendura në nenin 3, paragrafi 3, germat "a" dhe "b" të Rregullores (BE) 2024/1624 gjatë verifikimit të pozitës juridike të klientit të tyre, duke iu nënshtruar kushteve të nenit 21, paragrafi 2 të kësaj rregulloreje, ose në kuadër të kryerjes së detyrës së mbrojtjes ose përfaqësimit të atij klienti në procedura gjyqësore apo në lidhje me këto të fundit, duke përfshirë këshillimin lidhur me nisjen ose shmangien e këtyre procedurave; pavarësisht nëse këto informacione janë mbledhur para, gjatë ose pas këtyre procedurave;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45A23" w:rsidRDefault="00645A23" w:rsidP="00A87413">
            <w:pPr>
              <w:widowControl w:val="0"/>
              <w:spacing w:after="0" w:line="240" w:lineRule="auto"/>
              <w:rPr>
                <w:rFonts w:ascii="Times New Roman" w:hAnsi="Times New Roman"/>
                <w:sz w:val="18"/>
                <w:szCs w:val="18"/>
                <w:lang w:val="sq-AL" w:eastAsia="sq-AL" w:bidi="sq-AL"/>
              </w:rPr>
            </w:pPr>
            <w:r w:rsidRPr="00645A23">
              <w:rPr>
                <w:rFonts w:ascii="Times New Roman" w:hAnsi="Times New Roman"/>
                <w:sz w:val="18"/>
                <w:szCs w:val="18"/>
                <w:lang w:val="sq-AL" w:eastAsia="sq-AL" w:bidi="sq-AL"/>
              </w:rPr>
              <w:t>a) të kërkojë dhe të detyrojë paraqitjen e çdo informacioni që është i nevojshëm për monitorimin e përputhshmërisë dhe për kryerjen e kontrolleve, me përjashtim të informacionit të mbledhur nga subjektet e detyruara të përcaktuara në nenin përkatës të këtij ligji që transpozon nenin 3, pikat (3)(a) dhe (b), të Rregullores (BE) 2024/1624, gjatë përcaktimit të pozitës juridike të klientit të tyre sipas përcaktimeve te nenin 21 (2) te rregullores ose gjatë ushtrimit të detyrës për mbrojtjen ose përfaqësimin e klientit në, ose në lidhje me, procedura gjyqësore, përfshirë dhënien e këshillimit për fillimin ose shmangien e procedurave të tilla, pavarësisht nëse informacioni është mbledhur para, gjatë ose pas këtyre procedurave;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kompetencën e autoritetit publik për të kërkuar dhe detyruar paraqitjen e informacionit të nevojshëm për mbikëqyrje, duke respektuar përjashtimin që lidhet me sekretin profesional të avokatit (legal professional privilege), në përputhje me kërkesat e Direktivës dhe Rregullores (BE) 2024/1624.</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nxjerrë udhëzime për organet vetërregulluese me qëllim korrigjimin e mosushtrimit të funksioneve të tyre sipas nenit 37, paragrafi 1 ose të mospërmbushjes së kërkesave të paragrafit 6 të këtij neni, ose me qëllim parandalimin e këtyre mospërmbushjeve.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nxjerrjen e udhëzimeve për organet vetërregulluese në përputhje me germën “b” të nënparagrafit të parë, autoriteti publik merr në konsideratë çdo udhëzim përkatës që i ka dhënë AMLA-s ose që është dhënë nga AMLA.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45A23" w:rsidRPr="00645A23" w:rsidRDefault="00645A23" w:rsidP="00A87413">
            <w:pPr>
              <w:pStyle w:val="NormalWeb"/>
              <w:spacing w:before="0" w:beforeAutospacing="0" w:after="0" w:afterAutospacing="0"/>
              <w:rPr>
                <w:sz w:val="18"/>
                <w:szCs w:val="18"/>
                <w:lang w:val="sq-AL" w:eastAsia="sq-AL" w:bidi="sq-AL"/>
              </w:rPr>
            </w:pPr>
            <w:r w:rsidRPr="00645A23">
              <w:rPr>
                <w:sz w:val="18"/>
                <w:szCs w:val="18"/>
                <w:lang w:val="sq-AL" w:eastAsia="sq-AL" w:bidi="sq-AL"/>
              </w:rPr>
              <w:t>b) të nxjerrë udhëzime detyruese ndaj organit vetërregullues për të korrigjuar mos ushtrimin e funksioneve të parashikuara në nenin 39, pika 1, të këtij ligji, ose mosrespektimin e kërkesave të pikës 6 të atij neni, si dhe për të parandaluar mos përmbushje të tilla.</w:t>
            </w:r>
          </w:p>
          <w:p w:rsidR="006E5B5B" w:rsidRPr="00645A23" w:rsidRDefault="00645A23" w:rsidP="00A87413">
            <w:pPr>
              <w:pStyle w:val="NormalWeb"/>
              <w:spacing w:before="0" w:beforeAutospacing="0" w:after="0" w:afterAutospacing="0"/>
              <w:rPr>
                <w:sz w:val="18"/>
                <w:szCs w:val="18"/>
                <w:lang w:val="sq-AL" w:eastAsia="sq-AL" w:bidi="sq-AL"/>
              </w:rPr>
            </w:pPr>
            <w:r w:rsidRPr="00645A23">
              <w:rPr>
                <w:sz w:val="18"/>
                <w:szCs w:val="18"/>
                <w:lang w:val="sq-AL" w:eastAsia="sq-AL" w:bidi="sq-AL"/>
              </w:rPr>
              <w:t>Gjatë nxjerrjes së udhëzimeve në përputhje me këtë shkronjë, autoriteti publik merr në konsideratë çdo udhëzim përkatës të dhënë prej tij, si dhe udhëzimet e strukturës së Bashkimit Evropian kompetente në fushën e PPP/FT, në përputhje me legjislacionin e Bashkimit Evropian në fuqi dhe që janë të zbatueshme për Shqipërinë.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w:t>
            </w:r>
            <w:r w:rsidR="00E61771">
              <w:t xml:space="preserve"> </w:t>
            </w:r>
            <w:r w:rsidR="00E61771" w:rsidRPr="00E61771">
              <w:rPr>
                <w:rFonts w:ascii="Times New Roman" w:hAnsi="Times New Roman"/>
                <w:sz w:val="18"/>
                <w:szCs w:val="18"/>
              </w:rPr>
              <w:t>Operacional në të ardhmen</w:t>
            </w:r>
            <w:r w:rsidR="00E61771" w:rsidRPr="00F727DA">
              <w:rPr>
                <w:rFonts w:ascii="Times New Roman" w:hAnsi="Times New Roman"/>
                <w:sz w:val="18"/>
                <w:szCs w:val="18"/>
                <w:lang w:eastAsia="sq-AL" w:bidi="sq-AL"/>
              </w:rPr>
              <w:t xml:space="preserve"> </w:t>
            </w:r>
            <w:r w:rsidRPr="00F727DA">
              <w:rPr>
                <w:rFonts w:ascii="Times New Roman" w:hAnsi="Times New Roman"/>
                <w:sz w:val="18"/>
                <w:szCs w:val="18"/>
                <w:lang w:eastAsia="sq-AL" w:bidi="sq-AL"/>
              </w:rPr>
              <w:t>për referencën ndaj strukturës së BE-së).</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kompetencën e autoritetit publik për të nxjerrë udhëzime detyruese ndaj organeve vetërregulluese në rast mosushtrimi të funksioneve ose mosrespektimi të kërkesave ligjore, si dhe për të parandaluar dështime të tilla. Është parashikuar detyrimi për të marrë në konsideratë udhëzimet përkatëse, përfshirë ato të strukturës kompetente të BE-së, në mënyrë future-operational.</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 publik i cili mbikëqyr organet vetërregulluese t’i kryejë funksionet e tij pa asnjë ndikim të panevojshëm.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stafi i autoritetit publik që mbikëqyr organet vetërregulluese t'u përmbahet kërkesave të sekretit profesional të barasvlershme me ato të përcaktuara në nenin 67, të zbatojë standarde të larta profesionale, duke përfshirë standardet e larta profesionale të konfidencialitetit dhe mbrojtjes së të dhënave, si dhe të ketë integritet të lartë. Shtetet anëtare garantojnë që autoriteti publik që mbikëqyr organet vetërregulluese të ketë procedura në dispozicion për parandalimin dhe menaxhimin e konflikteve të interesit.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A4FA2" w:rsidRPr="004A4FA2" w:rsidRDefault="004A4FA2" w:rsidP="00A87413">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4. Autoriteti publik që ushtron mbikëqyrje mbi organet vetërregulluese i kryen funksionet e tij në mënyrë të pavarur dhe në kushte që garantojnë objektivitetin dhe paanshmërinë e vendimmarrjes.</w:t>
            </w:r>
          </w:p>
          <w:p w:rsidR="004A4FA2" w:rsidRPr="004A4FA2" w:rsidRDefault="004A4FA2" w:rsidP="00A87413">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Personeli i këtij autoriteti i nënshtrohet kërkesave për ruajtjen e sekretit profesional të paktën të barasvlershme me ato të parashikuara në nenin 83 të këtij ligji, ruan standarde të larta profesionale, përfshirë konfidencialitetin dhe mbrojtjen e të dhënave personale, dhe vepron me integritet të lartë.</w:t>
            </w:r>
          </w:p>
          <w:p w:rsidR="006E5B5B" w:rsidRPr="004A4FA2" w:rsidRDefault="004A4FA2" w:rsidP="00A87413">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Autoriteti publik miraton dhe zbaton vendosjen e procedurave për parandalimin dhe menaxhimin e konflikteve të interesit.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pavarësinë operacionale të autoritetit publik mbikëqyrës, detyrimin për sekret profesional dhe standarde të larta profesionale për personelin e tij, si dhe ekzistencën e procedurave për parandalimin dhe menaxhimin e konflikteve të interesit. Kjo siguron integritet dhe efektivitet të sistemit të mbikëqyrjes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parashikojnë masa ose sanksione efektive, proporcionale dhe shtrënguese për mosrespektimin nga organet vetërregulluese të kërkesave ose udhëzimeve apo masave të tjera të marra nga autoriteti në përputhje me paragrafin 2 ose 3.</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C1E8E" w:rsidRDefault="008C1E8E" w:rsidP="00A87413">
            <w:pPr>
              <w:widowControl w:val="0"/>
              <w:spacing w:after="0" w:line="240" w:lineRule="auto"/>
              <w:rPr>
                <w:rFonts w:ascii="Times New Roman" w:hAnsi="Times New Roman"/>
                <w:sz w:val="18"/>
                <w:szCs w:val="18"/>
                <w:lang w:val="sq-AL" w:eastAsia="sq-AL" w:bidi="sq-AL"/>
              </w:rPr>
            </w:pPr>
            <w:r w:rsidRPr="008C1E8E">
              <w:rPr>
                <w:rFonts w:ascii="Times New Roman" w:hAnsi="Times New Roman"/>
                <w:sz w:val="18"/>
                <w:szCs w:val="18"/>
                <w:lang w:val="sq-AL" w:eastAsia="sq-AL" w:bidi="sq-AL"/>
              </w:rPr>
              <w:t>5. Në rast të mosrespektimit nga organet vetërregulluese të kërkesave, udhëzimeve ose masave të marra nga autoriteti publik në përputhje me pikat 2 dhe 3 të këtij neni, legjislacioni sektorial përkatës parashikon masa korrigjuese apo gjobave administrative efektive, proporcionale dhe parandaluese.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mundësinë e masave ose sanksioneve efektive, proporcionale dhe parandaluese ndaj organeve vetërregulluese në rast mosrespektimi të kërkesave ose udhëzimeve të autoritetit publik. Masat konkrete rregullohen në legjislacionin sektorial përkatës.</w:t>
            </w: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r w:rsidRPr="006F4A3A">
              <w:rPr>
                <w:rFonts w:ascii="Times New Roman" w:hAnsi="Times New Roman"/>
                <w:sz w:val="18"/>
                <w:szCs w:val="18"/>
                <w:shd w:val="clear" w:color="auto" w:fill="FFFFFF" w:themeFill="background1"/>
                <w:lang w:eastAsia="sq-AL" w:bidi="sq-AL"/>
              </w:rPr>
              <w:t>Parashikim per dispozita ligjore ne ligjet sektoriale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 publik që mbikëqyr organet vetërregulluese të informojë menjëherë autoritetet kompetente për hetimin dhe ndjekjen e veprave penale, drejtpërdrejt ose nëpërmjet NjIF-së, për çdo shkelje objekt sanksionesh penale që ai zbulon në ushtrimin e detyrave të tij.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Autoriteti publik që ushtron mbikëqyrje mbi organet vetërregulluese informon në kohë autoritetet kompetente për hetimin dhe ndjekjen penale, drejtpërdrejt ose përmes Agjencise të Inteligjencës Financiare, për çdo shkelje që përbën vepër penale dhe që konstatohet gjatë ushtrimit të detyrave të tij.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informuar në kohë autoritetet kompetente për hetimin dhe ndjekjen penale, drejtpërdrejt ose përmes Njësisë së Inteligjencës Financiare, për çdo shkelje që përbën vepër penale dhe që konstatohet gjatë ushtrimit të funksioneve të tij. Kjo garanton koordinim efektiv ndërinstitucional në përputhje me Direktivën.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 publik që mbikëqyr organet vetërregulluese publikon një raport vjetor që përmban informacione mbi: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7.Autoriteti publik që ushtron mbikëqyrje mbi organet vetërregulluese publikon një raport vjetor që përmban informacion mbi: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publikuar një raport vjetor mbi ushtrimin e funksioneve të tij mbikëqyrëse ndaj organeve vetërregulluese, duke garantuar transparencë dhe llogaridhënie.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natyrën e shkeljeve të zbuluara nga secili organ vetërregullues dhe sanksionet në formë gjobe ose masat administrative të zbatuara ndaj subjekteve të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numrin dhe natyrën e shkeljeve të konstatuara nga çdo organ vetërregullues, si dhe gjobat e vendosura ose masat administrative të zbatuara ndaj subjekteve të detyruara;</w:t>
            </w:r>
          </w:p>
        </w:tc>
        <w:tc>
          <w:tcPr>
            <w:tcW w:w="1356" w:type="dxa"/>
            <w:shd w:val="clear" w:color="auto" w:fill="auto"/>
            <w:vAlign w:val="center"/>
          </w:tcPr>
          <w:p w:rsidR="006E5B5B" w:rsidRPr="00F727DA" w:rsidRDefault="006E5B5B" w:rsidP="00A87413">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raporti vjetor i autoritetit publik të përfshijë numrin dhe natyrën e shkeljeve të konstatuara nga organet vetërregulluese, si dhe sanksionet monetare ose masat administrative të zbatuara ndaj subjekteve të detyruara. Kjo garanton transparencë dhe llogaridhënie në sistemin e mbikëqyrjes.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transaksioneve të dyshimta të raportuara pranë NjIF-së nga subjektet e detyruara që i nënshtrohen mbikëqyrjes nga çdo organ vetërregullues, pavarësisht nëse paraqiten drejtpërdrejt sipas nenit 69, paragrafi 1 të Rregullores (BE) 2024/1624 ose nëse i përcillen NjIF-së nga çdo organ vetërregullues sipas nenit 70, paragrafi 1 të kësaj rregulloreje;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CE59E8" w:rsidRDefault="00CE59E8" w:rsidP="00A87413">
            <w:pPr>
              <w:widowControl w:val="0"/>
              <w:spacing w:after="0" w:line="240" w:lineRule="auto"/>
              <w:rPr>
                <w:rFonts w:ascii="Times New Roman" w:hAnsi="Times New Roman"/>
                <w:sz w:val="18"/>
                <w:szCs w:val="18"/>
                <w:lang w:val="sq-AL" w:eastAsia="sq-AL" w:bidi="sq-AL"/>
              </w:rPr>
            </w:pPr>
            <w:r w:rsidRPr="00CE59E8">
              <w:rPr>
                <w:rFonts w:ascii="Times New Roman" w:hAnsi="Times New Roman"/>
                <w:sz w:val="18"/>
                <w:szCs w:val="18"/>
                <w:lang w:val="sq-AL" w:eastAsia="sq-AL" w:bidi="sq-AL"/>
              </w:rPr>
              <w:t>b) numrin e raportimeve të transaksioneve të dyshimta të paraqitura, nga subjektet e detyruara që mbikëqyren nga çdo organ vetërregullues, pranë Agjencisë së Inteligjencës Financiare, qoftë drejtpërdrejt në përputhje me nenin 69(1) të Rregullores (BE) 2024/1624 të këtij ligji, ose të përcjella nga organi vetërregullues pranë Agjencisë të Inteligjencës Financiare, në përputhje me  neni 85(1) këtë ligj;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raporti vjetor i autoritetit publik të përfshijë numrin e raportimeve të transaksioneve të dyshimta të paraqitura nga subjektet e detyruara të mbikëqyruara nga organet vetërregulluese, si drejtpërdrejt pranë Njësisë së Inteligjencës Financiare, ashtu edhe përmes organeve vetërregulluese. Kjo garanton transparencë mbi efektivitetin e sistemit të raportimit.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përshkrimin e sanksioneve në formë gjobe dhe sanksioneve financiare periodike të vendosura ose të masave administrative të zbatuara në kuadër të seksionit 4 të këtij kreu nga çdo organ vetërregullues për të siguruar respektimin nga subjektet e detyruara të Rregullores (BE) 2024/1624 të përmendur në nenin 55, paragrafi 1 të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B1084C" w:rsidRDefault="00B1084C" w:rsidP="00A87413">
            <w:pPr>
              <w:widowControl w:val="0"/>
              <w:spacing w:after="0" w:line="240" w:lineRule="auto"/>
              <w:rPr>
                <w:rFonts w:ascii="Times New Roman" w:hAnsi="Times New Roman"/>
                <w:sz w:val="18"/>
                <w:szCs w:val="18"/>
                <w:lang w:val="sq-AL" w:eastAsia="sq-AL" w:bidi="sq-AL"/>
              </w:rPr>
            </w:pPr>
            <w:r w:rsidRPr="00B1084C">
              <w:rPr>
                <w:rFonts w:ascii="Times New Roman" w:hAnsi="Times New Roman"/>
                <w:sz w:val="18"/>
                <w:szCs w:val="18"/>
                <w:lang w:val="sq-AL" w:eastAsia="sq-AL" w:bidi="sq-AL"/>
              </w:rPr>
              <w:t xml:space="preserve">c) numrin dhe përshkrimin e gjobave, të pagesave periodike me karakter detyrues dhe të masave administrative të vendosura nga çdo organ vetërregullues për të garantuar respektimin nga subjektet e detyruara të detyrimeve të përcaktuara në Rregulloren (BE) 2024/1624 dhe në nenin 63 (1) të këtij ligji; </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raporti vjetor të përfshijë numrin dhe përshkrimin e sanksioneve monetare, pagesave periodike me karakter detyrues dhe masave administrative të vendosura nga organet vetërregulluese për të garantuar respektimin e kërkesave të ligjit AML. Referenca ndaj Rregullores (BE) 2024/1624 është reflektuar përmes harmonizimit material të dispozitave përkatëse në këtë ligj.</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përshkrimin e masave të marra nga autoriteti publik që mbikëqyr organet vetërregulluese në kuadër të këtij neni dhe numrin e udhëzimeve të lëshuara për organet vetërregulluese.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nënparagrafin e parë vihet në dispozicion në faqen e internetit të autoritetit publik që mbikëqyr organet vetërregulluese dhe i paraqitet Komisionit dhe AMLA-s.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E6146E" w:rsidRPr="00E6146E" w:rsidRDefault="00E6146E" w:rsidP="00A87413">
            <w:pPr>
              <w:pStyle w:val="NormalWeb"/>
              <w:spacing w:before="0" w:beforeAutospacing="0" w:after="0" w:afterAutospacing="0"/>
              <w:rPr>
                <w:sz w:val="18"/>
                <w:szCs w:val="18"/>
                <w:lang w:val="sq-AL" w:eastAsia="sq-AL" w:bidi="sq-AL"/>
              </w:rPr>
            </w:pPr>
            <w:r w:rsidRPr="00E6146E">
              <w:rPr>
                <w:sz w:val="18"/>
                <w:szCs w:val="18"/>
                <w:lang w:val="sq-AL" w:eastAsia="sq-AL" w:bidi="sq-AL"/>
              </w:rPr>
              <w:t>d) numrin dhe përshkrimin e masave të marra nga autoriteti publik në zbatim të këtij neni, si dhe numrin e udhëzimeve të lëshuara ndaj organeve vetërregulluese.</w:t>
            </w:r>
          </w:p>
          <w:p w:rsidR="006E5B5B" w:rsidRPr="00E6146E" w:rsidRDefault="00E6146E" w:rsidP="00A87413">
            <w:pPr>
              <w:pStyle w:val="NormalWeb"/>
              <w:spacing w:before="0" w:beforeAutospacing="0" w:after="0" w:afterAutospacing="0"/>
              <w:rPr>
                <w:sz w:val="18"/>
                <w:szCs w:val="18"/>
                <w:lang w:val="sq-AL" w:eastAsia="sq-AL" w:bidi="sq-AL"/>
              </w:rPr>
            </w:pPr>
            <w:r w:rsidRPr="00E6146E">
              <w:rPr>
                <w:sz w:val="18"/>
                <w:szCs w:val="18"/>
                <w:lang w:val="sq-AL" w:eastAsia="sq-AL" w:bidi="sq-AL"/>
              </w:rPr>
              <w:t>Raporti i parashikuar në këtë pikë publikohet në faqen zyrtare të autoritetit publik dhe i përcillet 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përfshirjen në raportin vjetor të masave të marra nga autoriteti publik dhe të udhëzimeve të lëshuara ndaj organeve vetërregulluese, si dhe detyrimin për publikim dhe për përcjellje te strukturat kompetente të BE-së. Detyrimi për përcjellje është future-operational dhe aktivizohet nga data e anëtarësimit të Republikës së Shqipërisë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9F70DD" w:rsidRDefault="009F70DD" w:rsidP="00A87413">
            <w:pPr>
              <w:pStyle w:val="NormalWeb"/>
              <w:spacing w:before="0" w:beforeAutospacing="0" w:after="0" w:afterAutospacing="0"/>
              <w:rPr>
                <w:sz w:val="18"/>
                <w:szCs w:val="18"/>
                <w:lang w:val="sq-AL" w:eastAsia="sq-AL" w:bidi="sq-AL"/>
              </w:rPr>
            </w:pPr>
            <w:r w:rsidRPr="009F70DD">
              <w:rPr>
                <w:sz w:val="18"/>
                <w:szCs w:val="18"/>
                <w:lang w:val="sq-AL" w:eastAsia="sq-AL" w:bidi="sq-AL"/>
              </w:rPr>
              <w:t>8. Dispozitat e këtij neni  zbatohen në përputhje me legjislacionin sektorial përkatës që rregullon organizimin dhe funksionimin e organeve vetërregulluese, i cili përcakton procedurat, kompetencat konkrete dhe masat për ushtrimin efektiv të mbikëqyrjes nga autoriteti publik.</w:t>
            </w:r>
          </w:p>
        </w:tc>
        <w:tc>
          <w:tcPr>
            <w:tcW w:w="1356" w:type="dxa"/>
            <w:shd w:val="clear" w:color="auto" w:fill="auto"/>
            <w:vAlign w:val="center"/>
          </w:tcPr>
          <w:p w:rsidR="006E5B5B" w:rsidRPr="00F727DA" w:rsidRDefault="00242850"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sektorial siguron që kompetencat e autoritetit publik të jenë efektive, proporcionale dhe të përshtatshme për përmbushjen e kërkesave të këtij ligji.</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përfshirë një dispozitë koordinuese që garanton zbatimin efektiv të nenit 52 përmes legjislacionit sektorial përkatës, duke siguruar koherencë ndërmjet ligjit AML dhe ligjit përkatës që rregullon organet vetërregulluese</w:t>
            </w:r>
            <w:r w:rsidRPr="00F727DA">
              <w:rPr>
                <w:sz w:val="18"/>
                <w:szCs w:val="18"/>
              </w:rPr>
              <w: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Seksioni 4</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Dispozita të veçanta që lidhen me organet vetë-rregulluese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 xml:space="preserve">Neni 53 </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Dispozita të Përgjithshme</w:t>
            </w:r>
            <w:r w:rsidRPr="00F727DA">
              <w:rPr>
                <w:rFonts w:ascii="Times New Roman" w:hAnsi="Times New Roman"/>
                <w:sz w:val="18"/>
                <w:szCs w:val="18"/>
                <w:lang w:eastAsia="sq-AL" w:bidi="sq-AL"/>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e detyruara të mund të ngarkohen me përgjegjësi për shkeljet e Rregulloreve (BE) 2024/1624 dhe (BE) 2023/1113 në përputhje me këtë seksion.</w:t>
            </w:r>
          </w:p>
        </w:tc>
        <w:tc>
          <w:tcPr>
            <w:tcW w:w="1266" w:type="dxa"/>
            <w:gridSpan w:val="2"/>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p>
        </w:tc>
        <w:tc>
          <w:tcPr>
            <w:tcW w:w="1980" w:type="dxa"/>
            <w:shd w:val="clear" w:color="auto" w:fill="auto"/>
            <w:vAlign w:val="center"/>
          </w:tcPr>
          <w:p w:rsidR="00DD0AFE" w:rsidRPr="00DD0AFE" w:rsidRDefault="00DD0AFE" w:rsidP="00A87413">
            <w:pPr>
              <w:snapToGrid w:val="0"/>
              <w:spacing w:after="0" w:line="240" w:lineRule="auto"/>
              <w:rPr>
                <w:rFonts w:ascii="Times New Roman" w:hAnsi="Times New Roman"/>
                <w:sz w:val="18"/>
                <w:szCs w:val="18"/>
                <w:lang w:val="sq-AL" w:eastAsia="sq-AL" w:bidi="sq-AL"/>
              </w:rPr>
            </w:pPr>
            <w:r w:rsidRPr="00DD0AFE">
              <w:rPr>
                <w:rFonts w:ascii="Times New Roman" w:hAnsi="Times New Roman"/>
                <w:sz w:val="18"/>
                <w:szCs w:val="18"/>
                <w:lang w:val="sq-AL" w:eastAsia="sq-AL" w:bidi="sq-AL"/>
              </w:rPr>
              <w:t>Neni 58</w:t>
            </w:r>
          </w:p>
          <w:p w:rsidR="00DD0AFE" w:rsidRPr="00DD0AFE" w:rsidRDefault="00DD0AFE" w:rsidP="00A87413">
            <w:pPr>
              <w:snapToGrid w:val="0"/>
              <w:spacing w:after="0" w:line="240" w:lineRule="auto"/>
              <w:rPr>
                <w:rFonts w:ascii="Times New Roman" w:hAnsi="Times New Roman"/>
                <w:sz w:val="18"/>
                <w:szCs w:val="18"/>
                <w:lang w:val="sq-AL" w:eastAsia="sq-AL" w:bidi="sq-AL"/>
              </w:rPr>
            </w:pPr>
            <w:r w:rsidRPr="00DD0AFE">
              <w:rPr>
                <w:rFonts w:ascii="Times New Roman" w:hAnsi="Times New Roman"/>
                <w:sz w:val="18"/>
                <w:szCs w:val="18"/>
                <w:lang w:val="sq-AL" w:eastAsia="sq-AL" w:bidi="sq-AL"/>
              </w:rPr>
              <w:t>Dispozita të përgjithshme</w:t>
            </w:r>
          </w:p>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1.Subjektet e detyruara janë përgjegjëse për shkeljet e dispozitave të këtij ligji në fushën e parandalimit të pastrimit të parave, financimit të terrorizmit dhe financimit të përhapjes të armëve të dëmtimit në masë.</w:t>
            </w:r>
          </w:p>
        </w:tc>
        <w:tc>
          <w:tcPr>
            <w:tcW w:w="1356" w:type="dxa"/>
            <w:shd w:val="clear" w:color="auto" w:fill="auto"/>
            <w:vAlign w:val="center"/>
          </w:tcPr>
          <w:p w:rsidR="006E5B5B" w:rsidRPr="00F727DA" w:rsidRDefault="006E5B5B" w:rsidP="00A87413">
            <w:pPr>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Rregulloret (BE) 2024/1624 dhe (BE) 2023/1113 janë harmonizuar dhe pjesë e këtij ligji deri në përfundim të procesit të anëtarësimit; pas anëtarësimit ato do të zbatohen drejtpërdrejt. Formulimi siguron përgjegjësi të plotë të subjekteve të detyruara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të drejtën e shteteve anëtare për të parashikuar dhe për të vendosur sanksione penale, shtetet anëtare përcaktojnë rregullat për sanksione në formë gjobe dhe masa administrative dhe garantojnë që mbikëqyrësit të mund të vendosin sanksione në formë gjobe dhe të zbatojnë masa administrative në lidhje me shkeljet e Rregullores (BE) 2024/1624 ose Rregullores (BE) 2023/1113, si dhe sigurojnë ekzekutimin e tyre. Sanksionet e vendosura ose masat e zbatuara në përputhje me këtë seksion janë efektive, proporcionale dhe shtrënguese.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709D6" w:rsidRPr="003709D6" w:rsidRDefault="003709D6" w:rsidP="00A87413">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2. Pa përjashtuar përgjegjësinë penale sipas legjislacionit në fuqi, ky ligj përcakton rregullat për vendosjen e gjobave dhe masave administrative të zbatueshme ndaj subjekteve të detyruara për shkelje të dispozitave të Rregullores (BE) 2024/1624 dhe Rregullores (BE) 2023/1113 në fushën e PPP/FT.</w:t>
            </w:r>
          </w:p>
          <w:p w:rsidR="003709D6" w:rsidRPr="003709D6" w:rsidRDefault="003709D6" w:rsidP="00A87413">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3. Autoritetet mbikëqyrëse kompetente, në përputhje me këtë ligj dhe ligjet sektoriale përkatëse, kanë kompetencë të konstatojnë shkeljet, të iniciojnë procedurat administrative, të vendosin gjoba administrative, të aplikojnë masa të tjera administrative dhe të sigurojnë ekzekutimin e tyre.</w:t>
            </w:r>
          </w:p>
          <w:p w:rsidR="006E5B5B" w:rsidRPr="003709D6" w:rsidRDefault="003709D6" w:rsidP="00A87413">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Gjobat dhe masat administrative të vendosura sipas këtij neni duhet të jenë efektive, proporcionale dhe parandaluese.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Kuadri kombëtar parashikon sanksione me gjobë dhe masa administrative në fushën e PPP/FT/PF, pa cenuar përgjegjësinë penale, dhe garanton kompetencën e autoriteteve mbikëqyrëse për vendosjen dhe zbatimin e tyre. Rregulloret (BE) 2024/1624 dhe (BE) 2023/1113 do të harmonizohen deri në anëtarësim dhe më pas do të zbatohen drejtpërdrejt. Sanksionet sigurojnë efektivitet, proporcionalitet dhe efekt parandaluese në përputhje me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p>
          <w:p w:rsidR="006E5B5B" w:rsidRPr="003709D6" w:rsidRDefault="006E5B5B" w:rsidP="00A87413">
            <w:pPr>
              <w:snapToGrid w:val="0"/>
              <w:spacing w:after="0" w:line="240" w:lineRule="auto"/>
              <w:rPr>
                <w:rFonts w:ascii="Times New Roman" w:hAnsi="Times New Roman"/>
                <w:sz w:val="18"/>
                <w:szCs w:val="18"/>
                <w:lang w:eastAsia="sq-AL" w:bidi="sq-AL"/>
              </w:rPr>
            </w:pPr>
            <w:r w:rsidRPr="003709D6">
              <w:rPr>
                <w:rFonts w:ascii="Times New Roman" w:hAnsi="Times New Roman"/>
                <w:sz w:val="18"/>
                <w:szCs w:val="18"/>
                <w:lang w:eastAsia="sq-AL" w:bidi="sq-AL"/>
              </w:rPr>
              <w:t xml:space="preserve">*** Dispozitë lidhëse ne ligjet sektroiale organike </w:t>
            </w:r>
          </w:p>
          <w:p w:rsidR="006E5B5B" w:rsidRPr="00F727DA" w:rsidRDefault="006E5B5B" w:rsidP="00A87413">
            <w:pPr>
              <w:snapToGrid w:val="0"/>
              <w:spacing w:after="0" w:line="240" w:lineRule="auto"/>
              <w:rPr>
                <w:rFonts w:ascii="Times New Roman" w:hAnsi="Times New Roman"/>
                <w:color w:val="C00000"/>
                <w:sz w:val="18"/>
                <w:szCs w:val="18"/>
                <w:lang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paragrafi 2, kur sistemi ligjor i një shteti anëtar nuk parashikon sanksione administrative, ky nen mund të zbatohet në mënyrë të tillë që sanksioni në formë gjobe të përcaktohet nga mbikëqyrësi dhe të vendoset nga një autoritet gjyqësor, duke siguruar që këto zgjidhje ligjore të jenë efektive dhe të kenë efekt të barasvlershëm me sanksionet në formë gjobe të vendosura nga mbikëqyrësit. Në çdo rast, sanksionet në formë gjobe që vendosen janë efektive, proporcionale dhe shtrënguese.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të përmendura në nënparagrafin e parë i komunikojnë Komisionit masat e legjislacionit të brendshëm që ato miratojnë në përputhje me këtë paragraf deri më 10 korrik 2027 dhe, pa vonesë, çdo ndryshim të mëvonshëm.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nuk është e aplikueshme, pasi legjislacioni shqiptar parashikon vendosjen e drejtpërdrejtë të sanksioneve administrative nga autoritetet mbikëqyrëse kompetente në fushën e PPP/FT. Për rrjedhojë, nuk kërkohet mekanizëm alternativ me vendimmarrje gjyqësore sipas parashikimit të kësaj pike.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të shkeljes së Rregulloreve (BE) 2024/1624 dhe (BE) 2023/1113, shtetet anëtare garantojnë që kur detyrimet janë të zbatueshme për personat juridikë, të mund të vendosen sanksione në formë gjobe dhe të zbatohen masa administrative jo vetëm ndaj personit juridik, por edhe ndaj drejtuesve të lartë dhe personave të tjerë fizikë që sipas legjislacionit kombëtar janë përgjegjës për shkeljen.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mbikëqyrësit identifikojnë shkelje që janë objekt i sanksioneve penale, ata të informojnë menjëherë autoritetet kompetente për hetimin dhe ndjekjen e veprave penale.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C2329" w:rsidRPr="002C2329" w:rsidRDefault="002C2329" w:rsidP="00A87413">
            <w:pPr>
              <w:suppressAutoHyphens w:val="0"/>
              <w:spacing w:after="0" w:line="240" w:lineRule="auto"/>
              <w:rPr>
                <w:rFonts w:ascii="Times New Roman" w:hAnsi="Times New Roman"/>
                <w:sz w:val="18"/>
                <w:szCs w:val="18"/>
                <w:lang w:val="sq-AL" w:eastAsia="sq-AL" w:bidi="sq-AL"/>
              </w:rPr>
            </w:pPr>
            <w:r w:rsidRPr="002C2329">
              <w:rPr>
                <w:rFonts w:ascii="Times New Roman" w:hAnsi="Times New Roman"/>
                <w:sz w:val="18"/>
                <w:szCs w:val="18"/>
                <w:lang w:val="sq-AL" w:eastAsia="sq-AL" w:bidi="sq-AL"/>
              </w:rPr>
              <w:t>4. Në rast të shkeljeve të dispozitave që harmonizojnë Rregulloren (BE) 2024/1624 dhe Rregulloren (BE) 2023/1113, kur detyrimet zbatohen ndaj subjekteve të detyruar që kanë formën e personit juridik, gjobat dhe masat administrative mund të vendosen jo vetëm ndaj personit juridik, por edhe ndaj anëtarëve të organit administrues ose drejtues dhe personave që ushtrojnë funksione drejtuese të larta, si dhe ndaj çdo personi tjetër fizik që sipas dispozitave ligjore në fuqi që mban përgjegjësi për shkeljen.</w:t>
            </w:r>
          </w:p>
          <w:p w:rsidR="006E5B5B" w:rsidRPr="002C2329" w:rsidRDefault="002C2329" w:rsidP="00A87413">
            <w:pPr>
              <w:suppressAutoHyphens w:val="0"/>
              <w:spacing w:after="0" w:line="240" w:lineRule="auto"/>
              <w:rPr>
                <w:rFonts w:ascii="Times New Roman" w:hAnsi="Times New Roman"/>
                <w:sz w:val="18"/>
                <w:szCs w:val="18"/>
                <w:lang w:val="sq-AL" w:eastAsia="sq-AL" w:bidi="sq-AL"/>
              </w:rPr>
            </w:pPr>
            <w:r w:rsidRPr="002C2329">
              <w:rPr>
                <w:rFonts w:ascii="Times New Roman" w:hAnsi="Times New Roman"/>
                <w:sz w:val="18"/>
                <w:szCs w:val="18"/>
                <w:lang w:val="sq-AL" w:eastAsia="sq-AL" w:bidi="sq-AL"/>
              </w:rPr>
              <w:t>Autoritetet mbikëqyrëse kompetente, kur konstatojnë shkelje që përbëjnë vepër penale sipas legjislacionit në fuqi, informojnë pa vonesë autoritetet kompetente për hetimin dhe ndjekjen penale.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në fushën e PPP/FT parashikon përgjegjësi jo vetëm për personat juridikë, por edhe për drejtimin e lartë dhe personat fizikë përgjegjës sipas ligjit. Gjithashtu, sigurohet mekanizëm i qartë për referimin në kohë tek autoritetet e hetimit dhe ndjekjes penale në rast të shkeljeve me natyrë penale. Formulimi është në përputhje me acquis të BE-së dhe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përputhje me këtë direktivë dhe me legjislacionin e brendshëm, vendosja e sanksioneve në formë gjobe dhe zbatimi i masave administrative bëhet në cilëndo nga mënyrat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F53E6" w:rsidRDefault="006F53E6" w:rsidP="00A87413">
            <w:pPr>
              <w:widowControl w:val="0"/>
              <w:spacing w:after="0" w:line="240" w:lineRule="auto"/>
              <w:rPr>
                <w:rFonts w:ascii="Times New Roman" w:hAnsi="Times New Roman"/>
                <w:sz w:val="18"/>
                <w:szCs w:val="18"/>
                <w:lang w:val="sq-AL" w:eastAsia="sq-AL" w:bidi="sq-AL"/>
              </w:rPr>
            </w:pPr>
            <w:r w:rsidRPr="006F53E6">
              <w:rPr>
                <w:rFonts w:ascii="Times New Roman" w:hAnsi="Times New Roman"/>
                <w:sz w:val="18"/>
                <w:szCs w:val="18"/>
                <w:lang w:val="sq-AL" w:eastAsia="sq-AL" w:bidi="sq-AL"/>
              </w:rPr>
              <w:t>5. Në përputhje me këtë ligj dhe me legjislacionin sektorial në fuqi, vendosen  gjoba dhe masat administrative sipas një ose më shumë prej mënyrave të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duke përcaktuar se sanksionet me gjobë dhe masat administrative në fushën e PPP/FT vendosen dhe aplikohen në përputhje me ligjin kombëtar dhe kuadrin procedural në fuqi. Mënyrat konkrete të aplikimit pasqyrohen në nën-dispozitat përkatëse.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drejtpërdrejt nga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drejtpërdrejt nga autoritetet mbikëqyrëse kompetente;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kompetencë të drejtpërdrejtë të autoriteteve mbikëqyrëse për vendosjen e sanksioneve me gjobë dhe aplikimin e masave administrative në fushën e PPP/FT, në përputhje me kuadrin ligjor AML dhe ligjet sektoriale përkatëse.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bashkëpunim ndërmjet mbikëqyrësve dhe autoriteteve të tjera;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r w:rsidRPr="00F727DA">
              <w:rPr>
                <w:rFonts w:eastAsia="Calibri"/>
                <w:b/>
                <w:bCs/>
                <w:sz w:val="18"/>
                <w:szCs w:val="18"/>
                <w:lang w:val="en-GB" w:eastAsia="sq-AL" w:bidi="sq-AL"/>
              </w:rPr>
              <w:t>b)</w:t>
            </w:r>
            <w:r w:rsidRPr="00F727DA">
              <w:rPr>
                <w:rFonts w:eastAsia="Calibri"/>
                <w:sz w:val="18"/>
                <w:szCs w:val="18"/>
                <w:lang w:val="en-GB" w:eastAsia="sq-AL" w:bidi="sq-AL"/>
              </w:rPr>
              <w:t xml:space="preserve"> në bashkëpunim ndërmjet autoriteteve mbikëqyrëse kompetente dhe autoriteteve të tjera kompetente;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Kuadri ligjor kombëtar parashikon mundësinë e vendosjes së gjobave dhe aplikimit të masave administrative në bashkëpunim ndërmjet autoriteteve mbikëqyrëse dhe autoriteteve të tjera kompetente, duke garantuar koordinim institucional efektiv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 përgjegjësinë e mbikëqyrësve, me delegim tek autoritetet e tjera;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c)</w:t>
            </w:r>
            <w:r w:rsidRPr="00F727DA">
              <w:rPr>
                <w:rFonts w:eastAsia="Calibri"/>
                <w:sz w:val="18"/>
                <w:szCs w:val="18"/>
                <w:lang w:val="en-GB" w:eastAsia="sq-AL" w:bidi="sq-AL"/>
              </w:rPr>
              <w:t xml:space="preserve"> nën përgjegjësinë e autoriteteve mbikëqyrëse kompetente, nëpërmjet delegimit të ushtrimit të kompetencave tek autoritete të tjera;</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mundësia e ushtrimit të kompetencave për vendosjen e gjobave dhe aplikimin e masave administrative përmes delegimit tek autoritete të tjera, duke ruajtur përgjegjësinë përfundimtare të autoriteteve mbikëqyrëse kompetente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kërkesë nga mbikëqyrësit tek autoritetet kompetente gjyqësore.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tetor 2027, shtetet anëtare i komunikojnë Komisionit dhe AMLA-s informacionin në lidhje me modalitetet e vendosjes së sanksioneve në formë gjobe ose zbatimit të masave administrative në përputhje me këtë paragraf, duke përfshirë, sipas rastit, informacionin nëse sanksione ose masa të caktuara kërkojnë përdorimin e një procedure specifike.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d)</w:t>
            </w:r>
            <w:r w:rsidRPr="00F727DA">
              <w:rPr>
                <w:rFonts w:ascii="Times New Roman" w:hAnsi="Times New Roman"/>
                <w:sz w:val="18"/>
                <w:szCs w:val="18"/>
                <w:lang w:eastAsia="sq-AL" w:bidi="sq-AL"/>
              </w:rPr>
              <w:t xml:space="preserve"> me kërkesë të autoritetit mbikëqyrës kompetent drejtuar gjykatës kompetente për vendosjen e gjobës ose të masave administrative, kur kjo parashikohet nga legjislacioni në fuqi.</w:t>
            </w:r>
          </w:p>
        </w:tc>
        <w:tc>
          <w:tcPr>
            <w:tcW w:w="1356" w:type="dxa"/>
            <w:shd w:val="clear" w:color="auto" w:fill="auto"/>
            <w:vAlign w:val="center"/>
          </w:tcPr>
          <w:p w:rsidR="006E5B5B" w:rsidRPr="00F727DA" w:rsidRDefault="006F53E6"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 xml:space="preserve">    </w:t>
            </w:r>
            <w:r w:rsidR="006E5B5B"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N/A – legjislacioni shqiptar nuk parashikon vendosjen e gjobave administrative nga gjykata me kërkesë të autoritetit mbikëqyrës; gjobat vendosen drejtpërdrejt nga autoritetet mbikëqyrëse kompetente dhe ankimohen ne gjykatë sipas rastit.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përcaktimin e llojit dhe nivelit të sanksioneve në formë gjobe ose masave administrative, mbikëqyrësit të marrin parasysh të gjitha rrethanat përkatëse, duke përfshirë, sipas rastit: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Gjatë përcaktimit të llojit dhe nivelit të gjobave ose masave administrative, autoritetet mbikëqyrëse kompetente marrin në konsideratë të gjitha rrethanat përkatëse, përfshirë, kur është e aplikueshme: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parashikon që, në përcaktimin e llojit dhe nivelit të gjobave ose masave administrative në fushën e PPP/FT, autoritetet mbikëqyrëse marrin në konsideratë të gjitha rrethanat përkatëse, në përputhje me parimet e proporcionalitetit dhe efektivitetit, sipas kërkesave të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seriozitetin dhe kohëzgjatjen e shkeljes;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rëndësinë dhe kohëzgjatjen e shkeljes.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rëndësia dhe kohëzgjatja e shkeljes, në përputhje me parimin e proporcionalitetit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rasteve të përsëritjes së shkeljes;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numrin e rasteve të përsëritjes së shkeljes.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Në përcaktimin e llojit dhe nivelit të gjobave ose masave administrative në fushën e PPP/FT merret në konsideratë edhe përsëritja e shkeljes, në përputhje me parimin e proporcionalitetit dhe karakterit parandalues të sanksioneve sipas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shkallën e përgjegjësisë së personit fizik ose juridik të ngarkuar me përgjegjësi;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shkallën e përgjegjësisë së personit fizik ose juridik që mbahet përgjegjës për shkeljen.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shkalla e përgjegjësisë së personit fizik ose juridik që mbahet përgjegjës për shkeljen, në përputhje me parimin e proporcionalitetit dhe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fuqinë financiare të personit fizik ose juridik të ngarkuar me përgjegjësi, duke marrë parasysh edhe xhiron apo të ardhurat vjetore totale;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d)</w:t>
            </w:r>
            <w:r w:rsidRPr="00F727DA">
              <w:rPr>
                <w:rFonts w:ascii="Times New Roman" w:hAnsi="Times New Roman"/>
                <w:sz w:val="18"/>
                <w:szCs w:val="18"/>
                <w:lang w:eastAsia="sq-AL" w:bidi="sq-AL"/>
              </w:rPr>
              <w:t xml:space="preserve"> fuqinë financiare të personit fizik ose juridik që mbahet përgjegjës, përfshirë qarkullimin e përgjithshëm ose të ardhurat vjetore të tij.</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gjendja financiare e personit fizik ose juridik, përfshirë qarkullimin ose të ardhurat vjetore, në përputhje me parimin e proporcionalitetit dhe efektivitetit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përfitimin si rezultat i shkeljes për personin fizik ose juridik të ngarkuar me përgjegjësi, aq sa mund të përcaktohet;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e)</w:t>
            </w:r>
            <w:r w:rsidRPr="00F727DA">
              <w:rPr>
                <w:rFonts w:ascii="Times New Roman" w:hAnsi="Times New Roman"/>
                <w:sz w:val="18"/>
                <w:szCs w:val="18"/>
                <w:lang w:eastAsia="sq-AL" w:bidi="sq-AL"/>
              </w:rPr>
              <w:t xml:space="preserve"> përfitimin e nxjerrë nga shkelja nga personi fizik ose juridik që mbahet përgjegjës, për aq sa ai mund të përcaktohet.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përfitimi i nxjerrë nga shkelja, për aq sa mund të përcaktohet, në përputhje me parimin e proporcionalitetit dhe karakterit parandalues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humbjet e pësuara nga palët e treta si pasojë e shkeljes, aq sa mund të përcaktohen;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f)</w:t>
            </w:r>
            <w:r w:rsidRPr="00F727DA">
              <w:rPr>
                <w:rFonts w:ascii="Times New Roman" w:hAnsi="Times New Roman"/>
                <w:sz w:val="18"/>
                <w:szCs w:val="18"/>
                <w:lang w:eastAsia="sq-AL" w:bidi="sq-AL"/>
              </w:rPr>
              <w:t xml:space="preserve"> dëmet e shkaktuara palëve të treta nga shkelja, për aq sa ato mund të përcaktohen.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dëmi i shkaktuar palëve të treta, për aq sa mund të përcaktohet, në përputhje me parimin e proporcionalitetit dhe efektivitetit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53(6)(g)</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nivelin e bashkëpunimit të personit fizik ose juridik të ngarkuar me përgjegjësi me autoritetin kompetent;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g)</w:t>
            </w:r>
            <w:r w:rsidRPr="00F727DA">
              <w:rPr>
                <w:rFonts w:ascii="Times New Roman" w:hAnsi="Times New Roman"/>
                <w:sz w:val="18"/>
                <w:szCs w:val="18"/>
                <w:lang w:eastAsia="sq-AL" w:bidi="sq-AL"/>
              </w:rPr>
              <w:t xml:space="preserve"> nivelin e bashkëpunimit të personit fizik ose juridik që mbahet përgjegjës me autoritetin kompetent.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niveli i bashkëpunimit të personit fizik ose juridik me autoritetin kompetent, në përputhje me parimin e proporcionalitetit dhe efektivitetit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53(6)(h)</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shkeljet e mëparshme nga personi fizik ose juridik i ngarkuar me përgjegjësi.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h)</w:t>
            </w:r>
            <w:r w:rsidRPr="00F727DA">
              <w:rPr>
                <w:rFonts w:ascii="Times New Roman" w:hAnsi="Times New Roman"/>
                <w:sz w:val="18"/>
                <w:szCs w:val="18"/>
                <w:lang w:eastAsia="sq-AL" w:bidi="sq-AL"/>
              </w:rPr>
              <w:t xml:space="preserve"> shkeljet e mëparshme/ fakti i të qënit përsëritës  të personit fizik ose juridik që mbahet përgjegjës.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ekzistenca e shkeljeve të mëparshme të personit fizik ose juridik, në përputhje me parimin e proporcionalitetit dhe karakterit parandalues të sanksioneve sipas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personat juridikë të mund të ngarkohen me përgjegjësi për shkeljet e Rregulloreve (BE) 2024/1624 dhe (BE) 2023/1113 të kryera në emër të tyre ose për përfitim të tyre nga çdo person që vepron, individualisht ose si pjesë e një organi të atij personi juridik dhe që ka një pozicion drejtues brenda atij personi juridik, bazuar 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92556E" w:rsidRDefault="0092556E" w:rsidP="00A87413">
            <w:pPr>
              <w:widowControl w:val="0"/>
              <w:spacing w:after="0" w:line="240" w:lineRule="auto"/>
              <w:rPr>
                <w:rFonts w:ascii="Times New Roman" w:hAnsi="Times New Roman"/>
                <w:sz w:val="18"/>
                <w:szCs w:val="18"/>
                <w:lang w:val="sq-AL" w:eastAsia="sq-AL" w:bidi="sq-AL"/>
              </w:rPr>
            </w:pPr>
            <w:r w:rsidRPr="0092556E">
              <w:rPr>
                <w:rFonts w:ascii="Times New Roman" w:hAnsi="Times New Roman"/>
                <w:sz w:val="18"/>
                <w:szCs w:val="18"/>
                <w:lang w:val="sq-AL" w:eastAsia="sq-AL" w:bidi="sq-AL"/>
              </w:rPr>
              <w:t>7. Personi juridik mban përgjegjësi për shkeljet e dispozitave që harmonizojnë Rregulloren (BE) 2024/1624 dhe Rregulloren (BE) 2023/1113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Legjislacioni kombëtar në fushën e PPP/FT parashikon përgjegjësi të personave juridikë për shkeljet e kryera në emër ose për përfitim të tyre nga persona me pozicion drejtues, në përputhje me kërkesat e acquis të BE-së dhe me parimet e përgjegjësisë së personit juridik në të drejtën shqiptare.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kompetencën për të përfaqësuar personin juridik;</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ka kompetencën për të përfaqësuar personin juridik.</w:t>
            </w:r>
          </w:p>
        </w:tc>
        <w:tc>
          <w:tcPr>
            <w:tcW w:w="1356" w:type="dxa"/>
            <w:shd w:val="clear" w:color="auto" w:fill="auto"/>
            <w:vAlign w:val="center"/>
          </w:tcPr>
          <w:p w:rsidR="006E5B5B" w:rsidRPr="00F727DA" w:rsidRDefault="0092556E"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autoritetin për të marrë vendime në emër të personit juridik;</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kompetencën për të marrë vendime në emër të personit juridik.</w:t>
            </w:r>
          </w:p>
        </w:tc>
        <w:tc>
          <w:tcPr>
            <w:tcW w:w="1356" w:type="dxa"/>
            <w:shd w:val="clear" w:color="auto" w:fill="auto"/>
            <w:vAlign w:val="center"/>
          </w:tcPr>
          <w:p w:rsidR="006E5B5B" w:rsidRPr="00F727DA" w:rsidRDefault="0092556E"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përgjegjësia e personit juridik kur shkelja kryhet nga një person me pozicion drejtues që ka kompetencë për të marrë vendime në emër të tij, në përputhje me legjislacionin shqiptar për përgjegjësinë e personave juridikë dhe kërkesat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autoritetin për të ushtruar kontroll në brendësi të personit juridik.</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kompetencën për të ushtruar kontroll brenda personit juridik.</w:t>
            </w:r>
          </w:p>
          <w:p w:rsidR="006E5B5B" w:rsidRPr="00F727DA" w:rsidRDefault="006E5B5B" w:rsidP="00A87413">
            <w:pPr>
              <w:widowControl w:val="0"/>
              <w:spacing w:after="0" w:line="240" w:lineRule="auto"/>
              <w:rPr>
                <w:rFonts w:ascii="Times New Roman" w:hAnsi="Times New Roman"/>
                <w:sz w:val="18"/>
                <w:szCs w:val="18"/>
                <w:lang w:eastAsia="sq-AL" w:bidi="sq-AL"/>
              </w:rPr>
            </w:pP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Përgjegjësia e personit juridik për shkeljet sipas këtij ligji përcaktohet në përputhje me legjislacionin për përgjegjësinë e personave juridikë.</w:t>
            </w:r>
          </w:p>
        </w:tc>
        <w:tc>
          <w:tcPr>
            <w:tcW w:w="1356" w:type="dxa"/>
            <w:shd w:val="clear" w:color="auto" w:fill="auto"/>
            <w:vAlign w:val="center"/>
          </w:tcPr>
          <w:p w:rsidR="006E5B5B" w:rsidRPr="00F727DA" w:rsidRDefault="0092556E" w:rsidP="00A87413">
            <w:pPr>
              <w:widowControl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përgjegjësia e personit juridik kur shkelja kryhet nga një person me pozicion drejtues që ka kompetencë për të ushtruar kontroll brenda tij, në përputhje me legjislacionin shqiptar për përgjegjësinë e personave juridikë dhe kërkesat e acquis të BE-së në fushën e PPP/FT.</w:t>
            </w:r>
          </w:p>
          <w:p w:rsidR="006E5B5B" w:rsidRPr="00F727DA" w:rsidRDefault="006E5B5B" w:rsidP="00A87413">
            <w:pPr>
              <w:spacing w:after="0" w:line="240" w:lineRule="auto"/>
              <w:rPr>
                <w:rFonts w:ascii="Times New Roman" w:hAnsi="Times New Roman"/>
                <w:sz w:val="18"/>
                <w:szCs w:val="18"/>
                <w:lang w:eastAsia="sq-AL" w:bidi="sq-AL"/>
              </w:rPr>
            </w:pPr>
          </w:p>
          <w:p w:rsidR="006E5B5B" w:rsidRPr="00F727DA" w:rsidRDefault="006E5B5B" w:rsidP="00A8741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Shënim: **** nevojiten ndryshime ne ligjin per pergjegjesine e personit juridik</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53(8)</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personat juridikë të mund të ngarkohen me përgjegjësi në rast se mungesa e mbikëqyrjes ose kontrollit nga ana e një personi të përmendur në paragrafin 7 të këtij neni ka bërë të mundur shkeljen e Rregullores (BE) 2024/1624 ose të Rregullores (BE) 2023/1113 nga një person nën autoritetin e tyre, në emër të personit juridik ose për përfitim të këtij të fundit.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8149C" w:rsidRPr="0028149C" w:rsidRDefault="0028149C" w:rsidP="00A87413">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8. Personi juridik mban përgjegjësi edhe kur mungesa e mbikëqyrjes ose kontrollit nga një person me pozicion drejtues, sipas pikës 7 të këtij neni, ka bërë të mundur kryerjen e shkeljeve të dispozitave që harmonizojnë Rregulloren (BE) 2024/1624 dhe Rregulloren (BE) 2023/1113), nga një person nën autoritetin e tij, në emër ose për përfitim të personit juridik.</w:t>
            </w:r>
          </w:p>
          <w:p w:rsidR="0028149C" w:rsidRPr="0028149C" w:rsidRDefault="0028149C" w:rsidP="00A87413">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Përgjegjësia ushtrohet në përputhje me legjislacionin në fuqi për përgjegjësinë e personave juridikë.</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Përgjegjësia e personit juridik në rast mungese mbikëqyrjeje zbatohet përmes mekanizmave të kontrollit administrativ të autoriteteve mbikëqyrëse, të cilat vlerësojnë efektivitetin e sistemeve të kontrollit të brendshëm dhe rolin e drejtimit të lartë, si dhe përmes referimit në autoritetet penale kur është e aplikueshme.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ushtrimin e kompetencave të tyre për vendosjen e sanksioneve në formë gjobe dhe zbatimin e masave administrative, mbikëqyrësit bashkëpunojnë ngushtësisht dhe, sipas rastit, koordinojnë veprimet e tyre me autoritetet e tjera, sipas rastit, për të garantuar që ato sanksione në formë gjobe ose masa administrative të japin rezultatet e dëshiruara, si dhe koordinojnë veprimet e tyre në trajtimin e rasteve ndërkufitare.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8149C" w:rsidRPr="0028149C" w:rsidRDefault="0028149C" w:rsidP="00A87413">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9. Në ushtrimin e kompetencave për vendosjen e gjobave dhe aplikimin e masave administrative, autoritetet mbikëqyrëse bashkëpunojnë ngushtë dhe, kur është e nevojshme, koordinojnë veprimet e tyre me autoritete të tjera kompetente, me qëllim garantimin e efektivitetit të gjobave dhe masave administrative të vendosura.</w:t>
            </w:r>
          </w:p>
          <w:p w:rsidR="0028149C" w:rsidRPr="0028149C" w:rsidRDefault="0028149C" w:rsidP="00A87413">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Në rastet kur kemi të përfshirë elemente ndërkufitar, autoritetet mbikëqyrëse koordinojnë veprimet e tyre me autoritetet përkatëse, në përputhje me legjislacionin në fuqi dhe me marrëveshjet ndërkombëtare të bashkëpunimit.</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detyrimin e autoriteteve mbikëqyrëse për bashkëpunim dhe koordinim me autoritete të tjera kompetente, përfshirë në rastet me element ndërkufitar, me qëllim sigurimin e efektivitetit të gjobave dhe masave administrative në fushën e PPP/FT. Formulimi është i përshtatur me statusin e Shqipërisë si vend kandidat dhe me kuadrin ekzistues të bashkëpunimit institucional.</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0F3BB7" w:rsidRDefault="000F3BB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6E5B5B" w:rsidRPr="00F727DA" w:rsidRDefault="000F3BB7" w:rsidP="00A87413">
            <w:pPr>
              <w:widowControl w:val="0"/>
              <w:snapToGrid w:val="0"/>
              <w:spacing w:after="0" w:line="240" w:lineRule="auto"/>
              <w:rPr>
                <w:rFonts w:ascii="Times New Roman" w:hAnsi="Times New Roman"/>
                <w:sz w:val="18"/>
                <w:szCs w:val="18"/>
                <w:lang w:eastAsia="sq-AL" w:bidi="sq-AL"/>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lidhet me kompetencat e AMLA-s dhe miratimin e standardeve teknike rregullatore nga Komisioni Evropian. Duke qenë se Shqipëria është vend kandidat dhe jo shtet anëtar, kjo dispozitë do të bëhet e zbatueshme me anëtarësimin në Bashkimin Evropian. Deri në atë moment, legjislacioni kombëtar mund të harmonizohet në përputhje me zhvillimet e acquis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treguesit për klasifikimin e nivelit të seriozitetit të shkeljeve;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0F3BB7" w:rsidRDefault="000F3BB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0F3BB7" w:rsidRDefault="000F3BB7" w:rsidP="00A87413">
            <w:pPr>
              <w:spacing w:after="0"/>
              <w:rPr>
                <w:rFonts w:ascii="Times New Roman" w:hAnsi="Times New Roman"/>
                <w:sz w:val="18"/>
                <w:szCs w:val="18"/>
                <w:lang w:eastAsia="sq-AL" w:bidi="sq-AL"/>
              </w:rPr>
            </w:pPr>
          </w:p>
          <w:p w:rsidR="006E5B5B" w:rsidRPr="00F727DA" w:rsidRDefault="000F3BB7" w:rsidP="00A87413">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që duhen marrë në konsideratë kur përcaktohet niveli i sanksioneve në formë gjobe ose kur zbatohen masat administrative në përputhje me këtë seksion;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0F3BB7" w:rsidRDefault="000F3BB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6E5B5B" w:rsidRPr="00F727DA" w:rsidRDefault="000F3BB7" w:rsidP="00A87413">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metodologji për vendosjen e sanksioneve financiare periodike sipas nenit 57, duke përfshirë shpeshtësinë e tyre.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0F3BB7" w:rsidRDefault="000F3BB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6E5B5B" w:rsidRPr="00F727DA" w:rsidRDefault="000F3BB7" w:rsidP="00A87413">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nxjerr udhëzime mbi shumat bazë për vendosjen e sanksioneve në formë gjobe në raport me xhiron, të ndara sipas llojit të shkeljes dhe kategorisë së subjekteve të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0F3BB7" w:rsidRDefault="000F3BB7" w:rsidP="00A8741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rsidR="006E5B5B" w:rsidRPr="000F3BB7" w:rsidRDefault="000F3BB7" w:rsidP="00A87413">
            <w:pPr>
              <w:spacing w:after="0"/>
              <w:rPr>
                <w:rFonts w:ascii="Times New Roman" w:hAnsi="Times New Roman"/>
                <w:sz w:val="18"/>
                <w:szCs w:val="18"/>
              </w:rPr>
            </w:pPr>
            <w:r w:rsidRPr="000F3BB7">
              <w:rPr>
                <w:rFonts w:ascii="Times New Roman" w:hAnsi="Times New Roman"/>
                <w:sz w:val="18"/>
                <w:szCs w:val="18"/>
              </w:rPr>
              <w:t>Nuk zbatohet në këtë fazë – do të bëhet operacional me anëtarësimin në Bashkimin Evropian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0F9E" w:rsidRPr="00F727DA" w:rsidTr="00D33FC1">
        <w:trPr>
          <w:trHeight w:val="578"/>
        </w:trPr>
        <w:tc>
          <w:tcPr>
            <w:tcW w:w="5673" w:type="dxa"/>
            <w:gridSpan w:val="4"/>
            <w:shd w:val="clear" w:color="auto" w:fill="auto"/>
            <w:vAlign w:val="center"/>
          </w:tcPr>
          <w:p w:rsidR="006E0F9E" w:rsidRPr="00F727DA" w:rsidRDefault="006E0F9E"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0F9E" w:rsidRPr="006E0F9E" w:rsidRDefault="006E0F9E" w:rsidP="00A87413">
            <w:pPr>
              <w:widowControl w:val="0"/>
              <w:snapToGrid w:val="0"/>
              <w:spacing w:after="0" w:line="240" w:lineRule="auto"/>
              <w:rPr>
                <w:rFonts w:ascii="Times New Roman" w:hAnsi="Times New Roman"/>
                <w:bCs/>
                <w:sz w:val="18"/>
                <w:szCs w:val="18"/>
                <w:lang w:val="sq-AL"/>
              </w:rPr>
            </w:pPr>
            <w:r w:rsidRPr="006E0F9E">
              <w:rPr>
                <w:rFonts w:ascii="Times New Roman" w:hAnsi="Times New Roman"/>
                <w:bCs/>
                <w:sz w:val="18"/>
                <w:szCs w:val="18"/>
                <w:lang w:val="sq-AL"/>
              </w:rPr>
              <w:t>Neni 59</w:t>
            </w:r>
          </w:p>
          <w:p w:rsidR="006E0F9E" w:rsidRPr="006E0F9E" w:rsidRDefault="006E0F9E" w:rsidP="00A87413">
            <w:pPr>
              <w:widowControl w:val="0"/>
              <w:snapToGrid w:val="0"/>
              <w:spacing w:after="0" w:line="240" w:lineRule="auto"/>
              <w:rPr>
                <w:rFonts w:ascii="Times New Roman" w:hAnsi="Times New Roman"/>
                <w:b/>
                <w:sz w:val="18"/>
                <w:szCs w:val="18"/>
                <w:lang w:val="sq-AL"/>
              </w:rPr>
            </w:pPr>
            <w:r w:rsidRPr="006E0F9E">
              <w:rPr>
                <w:rFonts w:ascii="Times New Roman" w:hAnsi="Times New Roman"/>
                <w:b/>
                <w:bCs/>
                <w:sz w:val="18"/>
                <w:szCs w:val="18"/>
                <w:lang w:val="sq-AL"/>
              </w:rPr>
              <w:t>Përgjegjësia e personit juridik</w:t>
            </w:r>
          </w:p>
          <w:p w:rsidR="006E0F9E" w:rsidRPr="00F727DA" w:rsidRDefault="006E0F9E"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1. Personi juridik mban përgjegjësi administrative për shkeljet e dispozitave të këtij ligji dhe dispozitave të Rregullores (BE) 1624/2024 dhe Rregullores (BE) 1113/2023 në fushën e parandalimit të pastrimit të parave dhe financimit të terrorizmit, kur këto shkelje kryhen në emër ose për përfitim të tij nga një person që vepron individualisht ose si pjesë e një organi të personit juridik dhe që ka funksion drejtues brenda tij, përfshirë kur ai person:</w:t>
            </w:r>
          </w:p>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a) ka kompetencën për të përfaqësuar personin juridik;</w:t>
            </w:r>
          </w:p>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b) ka kompetencën për të marrë vendime në emër të personit juridik;</w:t>
            </w:r>
          </w:p>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c) ka kompetencën për të ushtruar kontroll brenda personit juridik.</w:t>
            </w:r>
          </w:p>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2. Personi juridik mban përgjegjësi administrative edhe kur shkelja është bërë e mundur si rezultat i mungesës së mbikëqyrjes ose kontrollit nga një person me funksion drejtues, sipas pikës 1 të këtij neni, dhe është kryer nga një person nën autoritetin e tij, në emër ose për përfitim të personit juridik.</w:t>
            </w:r>
          </w:p>
          <w:p w:rsidR="006E0F9E" w:rsidRPr="006E0F9E" w:rsidRDefault="006E0F9E" w:rsidP="00A87413">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3. Përgjegjësia administrative e personit juridik sipas këtij ligji nuk përjashton përgjegjësinë individuale të personave fizikë dhe ushtrohet pa cenuar zbatimin e legjislacionit penal në fuqi për përgjegjësinë e personave juridikë.</w:t>
            </w:r>
          </w:p>
          <w:p w:rsidR="006E0F9E" w:rsidRPr="00F727DA" w:rsidRDefault="006E0F9E" w:rsidP="00A87413">
            <w:pPr>
              <w:widowControl w:val="0"/>
              <w:spacing w:after="0" w:line="240" w:lineRule="auto"/>
              <w:rPr>
                <w:rFonts w:ascii="Times New Roman" w:hAnsi="Times New Roman"/>
                <w:sz w:val="18"/>
                <w:szCs w:val="18"/>
              </w:rPr>
            </w:pPr>
          </w:p>
        </w:tc>
        <w:tc>
          <w:tcPr>
            <w:tcW w:w="1356" w:type="dxa"/>
            <w:shd w:val="clear" w:color="auto" w:fill="auto"/>
          </w:tcPr>
          <w:p w:rsidR="006E0F9E" w:rsidRDefault="006E0F9E"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0F9E" w:rsidRPr="00F727DA" w:rsidRDefault="00637A6A" w:rsidP="00A87413">
            <w:pPr>
              <w:snapToGrid w:val="0"/>
              <w:spacing w:after="0" w:line="240" w:lineRule="auto"/>
              <w:rPr>
                <w:rFonts w:ascii="Times New Roman" w:hAnsi="Times New Roman"/>
                <w:sz w:val="18"/>
                <w:szCs w:val="18"/>
              </w:rPr>
            </w:pPr>
            <w:r>
              <w:rPr>
                <w:rFonts w:ascii="Times New Roman" w:hAnsi="Times New Roman"/>
                <w:sz w:val="18"/>
                <w:szCs w:val="18"/>
              </w:rPr>
              <w:t>Shtim neni AIF mbi përgjegjësinë e personit juridik</w:t>
            </w:r>
          </w:p>
        </w:tc>
      </w:tr>
      <w:tr w:rsidR="000934A1" w:rsidRPr="00F727DA" w:rsidTr="00D33FC1">
        <w:trPr>
          <w:trHeight w:val="578"/>
        </w:trPr>
        <w:tc>
          <w:tcPr>
            <w:tcW w:w="5673" w:type="dxa"/>
            <w:gridSpan w:val="4"/>
            <w:shd w:val="clear" w:color="auto" w:fill="auto"/>
            <w:vAlign w:val="center"/>
          </w:tcPr>
          <w:p w:rsidR="000934A1" w:rsidRPr="00F727DA" w:rsidRDefault="000934A1"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35021" w:rsidRPr="00046F14" w:rsidRDefault="00535021" w:rsidP="00A87413">
            <w:pPr>
              <w:widowControl w:val="0"/>
              <w:snapToGrid w:val="0"/>
              <w:spacing w:after="0" w:line="240" w:lineRule="auto"/>
              <w:rPr>
                <w:rFonts w:ascii="Times New Roman" w:hAnsi="Times New Roman"/>
                <w:bCs/>
                <w:sz w:val="18"/>
                <w:szCs w:val="18"/>
                <w:lang w:val="sq-AL"/>
              </w:rPr>
            </w:pPr>
            <w:r w:rsidRPr="00046F14">
              <w:rPr>
                <w:rFonts w:ascii="Times New Roman" w:hAnsi="Times New Roman"/>
                <w:bCs/>
                <w:sz w:val="18"/>
                <w:szCs w:val="18"/>
                <w:lang w:val="sq-AL"/>
              </w:rPr>
              <w:t>Neni 60</w:t>
            </w:r>
          </w:p>
          <w:p w:rsidR="000934A1" w:rsidRPr="00854634" w:rsidRDefault="00535021" w:rsidP="00A87413">
            <w:pPr>
              <w:widowControl w:val="0"/>
              <w:snapToGrid w:val="0"/>
              <w:spacing w:after="0" w:line="240" w:lineRule="auto"/>
              <w:rPr>
                <w:rFonts w:ascii="Times New Roman" w:hAnsi="Times New Roman"/>
                <w:b/>
                <w:bCs/>
                <w:sz w:val="18"/>
                <w:szCs w:val="18"/>
                <w:lang w:val="sq-AL"/>
              </w:rPr>
            </w:pPr>
            <w:r w:rsidRPr="00854634">
              <w:rPr>
                <w:rFonts w:ascii="Times New Roman" w:hAnsi="Times New Roman"/>
                <w:b/>
                <w:bCs/>
                <w:sz w:val="18"/>
                <w:szCs w:val="18"/>
                <w:lang w:val="sq-AL"/>
              </w:rPr>
              <w:t>Llojet e masave</w:t>
            </w:r>
          </w:p>
        </w:tc>
        <w:tc>
          <w:tcPr>
            <w:tcW w:w="2064" w:type="dxa"/>
            <w:shd w:val="clear" w:color="auto" w:fill="auto"/>
            <w:vAlign w:val="center"/>
          </w:tcPr>
          <w:p w:rsidR="00535021" w:rsidRPr="00535021" w:rsidRDefault="00535021" w:rsidP="00A8741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Autoritetet mbikëqyrëse kompetente, në përputhje me këtë ligj dhe legjislacionin sektorial përkatës:</w:t>
            </w:r>
          </w:p>
          <w:p w:rsidR="00535021" w:rsidRPr="00535021" w:rsidRDefault="00535021" w:rsidP="00A8741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a) konstatojnë shkeljet;</w:t>
            </w:r>
            <w:r w:rsidRPr="00535021">
              <w:rPr>
                <w:rFonts w:ascii="Times New Roman" w:eastAsia="Times New Roman" w:hAnsi="Times New Roman"/>
                <w:sz w:val="18"/>
                <w:szCs w:val="18"/>
                <w:lang w:val="sq-AL" w:eastAsia="en-US"/>
              </w:rPr>
              <w:br/>
              <w:t>b) nisin procedurat administrative;</w:t>
            </w:r>
            <w:r w:rsidRPr="00535021">
              <w:rPr>
                <w:rFonts w:ascii="Times New Roman" w:eastAsia="Times New Roman" w:hAnsi="Times New Roman"/>
                <w:sz w:val="18"/>
                <w:szCs w:val="18"/>
                <w:lang w:val="sq-AL" w:eastAsia="en-US"/>
              </w:rPr>
              <w:br/>
              <w:t>c) vendosin gjoba administrative;</w:t>
            </w:r>
          </w:p>
          <w:p w:rsidR="00535021" w:rsidRPr="00535021" w:rsidRDefault="00535021" w:rsidP="00A8741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d) aplikojnë masa të tjera administrative, përfshirë paralajmërim, urdhër për korrigjim, pezullim, kufizim ose revokim licence;</w:t>
            </w:r>
          </w:p>
          <w:p w:rsidR="000934A1" w:rsidRPr="00535021" w:rsidRDefault="00535021" w:rsidP="00A8741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e) sigurojnë ekzekutimin e masave të vendosura.</w:t>
            </w:r>
          </w:p>
        </w:tc>
        <w:tc>
          <w:tcPr>
            <w:tcW w:w="1356" w:type="dxa"/>
            <w:shd w:val="clear" w:color="auto" w:fill="auto"/>
          </w:tcPr>
          <w:p w:rsidR="000934A1" w:rsidRDefault="000934A1"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0934A1" w:rsidRDefault="00535021" w:rsidP="00A87413">
            <w:pPr>
              <w:snapToGrid w:val="0"/>
              <w:spacing w:after="0" w:line="240" w:lineRule="auto"/>
              <w:rPr>
                <w:rFonts w:ascii="Times New Roman" w:hAnsi="Times New Roman"/>
                <w:sz w:val="18"/>
                <w:szCs w:val="18"/>
              </w:rPr>
            </w:pPr>
            <w:r>
              <w:rPr>
                <w:rFonts w:ascii="Times New Roman" w:hAnsi="Times New Roman"/>
                <w:sz w:val="18"/>
                <w:szCs w:val="18"/>
              </w:rPr>
              <w:t>S</w:t>
            </w:r>
            <w:r w:rsidR="00A06114">
              <w:rPr>
                <w:rFonts w:ascii="Times New Roman" w:hAnsi="Times New Roman"/>
                <w:sz w:val="18"/>
                <w:szCs w:val="18"/>
              </w:rPr>
              <w:t>h</w:t>
            </w:r>
            <w:r>
              <w:rPr>
                <w:rFonts w:ascii="Times New Roman" w:hAnsi="Times New Roman"/>
                <w:sz w:val="18"/>
                <w:szCs w:val="18"/>
              </w:rPr>
              <w:t>tim neni AIF mbi llojet e masave qe aplikohen nga autoritetet mbikqyrese</w:t>
            </w:r>
          </w:p>
        </w:tc>
      </w:tr>
      <w:tr w:rsidR="00854634" w:rsidRPr="00F727DA" w:rsidTr="00D33FC1">
        <w:trPr>
          <w:trHeight w:val="578"/>
        </w:trPr>
        <w:tc>
          <w:tcPr>
            <w:tcW w:w="5673" w:type="dxa"/>
            <w:gridSpan w:val="4"/>
            <w:shd w:val="clear" w:color="auto" w:fill="auto"/>
            <w:vAlign w:val="center"/>
          </w:tcPr>
          <w:p w:rsidR="00854634" w:rsidRPr="00F727DA" w:rsidRDefault="00854634"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854634" w:rsidRPr="00854634" w:rsidRDefault="00854634" w:rsidP="00A87413">
            <w:pPr>
              <w:widowControl w:val="0"/>
              <w:snapToGrid w:val="0"/>
              <w:spacing w:after="0" w:line="240" w:lineRule="auto"/>
              <w:rPr>
                <w:rFonts w:ascii="Times New Roman" w:hAnsi="Times New Roman"/>
                <w:bCs/>
                <w:sz w:val="18"/>
                <w:szCs w:val="18"/>
                <w:lang w:val="sq-AL"/>
              </w:rPr>
            </w:pPr>
            <w:r w:rsidRPr="00854634">
              <w:rPr>
                <w:rFonts w:ascii="Times New Roman" w:hAnsi="Times New Roman"/>
                <w:bCs/>
                <w:sz w:val="18"/>
                <w:szCs w:val="18"/>
                <w:lang w:val="sq-AL"/>
              </w:rPr>
              <w:t>Neni 61</w:t>
            </w:r>
            <w:r w:rsidRPr="00854634">
              <w:rPr>
                <w:rFonts w:ascii="Times New Roman" w:hAnsi="Times New Roman"/>
                <w:bCs/>
                <w:sz w:val="18"/>
                <w:szCs w:val="18"/>
                <w:lang w:val="sq-AL"/>
              </w:rPr>
              <w:br/>
            </w:r>
            <w:r w:rsidRPr="00854634">
              <w:rPr>
                <w:rFonts w:ascii="Times New Roman" w:hAnsi="Times New Roman"/>
                <w:b/>
                <w:bCs/>
                <w:sz w:val="18"/>
                <w:szCs w:val="18"/>
                <w:lang w:val="sq-AL"/>
              </w:rPr>
              <w:t>Koordinimi ndërinstitucional</w:t>
            </w:r>
          </w:p>
          <w:p w:rsidR="00854634" w:rsidRPr="00046F14" w:rsidRDefault="00854634" w:rsidP="00A87413">
            <w:pPr>
              <w:widowControl w:val="0"/>
              <w:snapToGrid w:val="0"/>
              <w:spacing w:after="0" w:line="240" w:lineRule="auto"/>
              <w:rPr>
                <w:rFonts w:ascii="Times New Roman" w:hAnsi="Times New Roman"/>
                <w:bCs/>
                <w:sz w:val="18"/>
                <w:szCs w:val="18"/>
                <w:lang w:val="sq-AL"/>
              </w:rPr>
            </w:pPr>
          </w:p>
        </w:tc>
        <w:tc>
          <w:tcPr>
            <w:tcW w:w="2064" w:type="dxa"/>
            <w:shd w:val="clear" w:color="auto" w:fill="auto"/>
            <w:vAlign w:val="center"/>
          </w:tcPr>
          <w:p w:rsidR="00854634" w:rsidRPr="00854634" w:rsidRDefault="00854634" w:rsidP="00A87413">
            <w:pPr>
              <w:suppressAutoHyphens w:val="0"/>
              <w:spacing w:after="0" w:line="276" w:lineRule="auto"/>
              <w:ind w:hanging="23"/>
              <w:rPr>
                <w:rFonts w:ascii="Times New Roman" w:eastAsia="Times New Roman" w:hAnsi="Times New Roman"/>
                <w:sz w:val="18"/>
                <w:szCs w:val="18"/>
                <w:lang w:val="sq-AL" w:eastAsia="en-US"/>
              </w:rPr>
            </w:pPr>
            <w:r w:rsidRPr="00854634">
              <w:rPr>
                <w:rFonts w:ascii="Times New Roman" w:eastAsia="Times New Roman" w:hAnsi="Times New Roman"/>
                <w:sz w:val="18"/>
                <w:szCs w:val="18"/>
                <w:lang w:val="sq-AL" w:eastAsia="en-US"/>
              </w:rPr>
              <w:t>1. Në ushtrimin e kompetencave për vendosjen e gjobave dhe aplikimin e masave administrative, autoritetet mbikëqyrëse bashkëpunojnë ngushtë dhe kur është e nevojshme, koordinojnë veprimet e tyre me autoritete të tjera kompetente për të garantuar efektivitetin e këtyre masave.</w:t>
            </w:r>
          </w:p>
          <w:p w:rsidR="00854634" w:rsidRPr="00535021" w:rsidRDefault="00854634" w:rsidP="00A87413">
            <w:pPr>
              <w:suppressAutoHyphens w:val="0"/>
              <w:spacing w:after="0" w:line="276" w:lineRule="auto"/>
              <w:ind w:hanging="23"/>
              <w:rPr>
                <w:rFonts w:ascii="Times New Roman" w:eastAsia="Times New Roman" w:hAnsi="Times New Roman"/>
                <w:sz w:val="18"/>
                <w:szCs w:val="18"/>
                <w:lang w:val="sq-AL" w:eastAsia="en-US"/>
              </w:rPr>
            </w:pPr>
            <w:r w:rsidRPr="00854634">
              <w:rPr>
                <w:rFonts w:ascii="Times New Roman" w:eastAsia="Times New Roman" w:hAnsi="Times New Roman"/>
                <w:sz w:val="18"/>
                <w:szCs w:val="18"/>
                <w:lang w:val="sq-AL" w:eastAsia="en-US"/>
              </w:rPr>
              <w:t>2. Kur shkeljet përfshijnë elemente ndërkufitare, autoritetet mbikëqyrëse koordinojnë veprimet me autoritetet homologe, në përputhje me legjislacionin në fuqi dhe marrëveshjet ndërkombëtare të bashkëpunimit.</w:t>
            </w:r>
          </w:p>
        </w:tc>
        <w:tc>
          <w:tcPr>
            <w:tcW w:w="1356" w:type="dxa"/>
            <w:shd w:val="clear" w:color="auto" w:fill="auto"/>
          </w:tcPr>
          <w:p w:rsidR="00854634" w:rsidRDefault="00854634"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854634" w:rsidRDefault="00854634" w:rsidP="00A87413">
            <w:pPr>
              <w:snapToGrid w:val="0"/>
              <w:spacing w:after="0" w:line="240" w:lineRule="auto"/>
              <w:rPr>
                <w:rFonts w:ascii="Times New Roman" w:hAnsi="Times New Roman"/>
                <w:sz w:val="18"/>
                <w:szCs w:val="18"/>
              </w:rPr>
            </w:pPr>
            <w:r w:rsidRPr="00854634">
              <w:rPr>
                <w:rFonts w:ascii="Times New Roman" w:hAnsi="Times New Roman"/>
                <w:sz w:val="18"/>
                <w:szCs w:val="18"/>
              </w:rPr>
              <w:t xml:space="preserve">Shtim neni AIF mbi </w:t>
            </w:r>
            <w:r>
              <w:rPr>
                <w:rFonts w:ascii="Times New Roman" w:hAnsi="Times New Roman"/>
                <w:sz w:val="18"/>
                <w:szCs w:val="18"/>
              </w:rPr>
              <w:t>koordinimin nderinstitucional</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54</w:t>
            </w:r>
          </w:p>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Masat mbikëqyrëse ndaj ndërmarrjeve të subjekteve të detyruara dhe disa aktiviteteve të kryera nën lirinë për ofrimin e shërbimeve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njësive të subjekteve të detyruara që si të tilla nuk kualifikohen si institucione krediti apo institucione financiare, ose llojeve të infrastrukturës të subjekteve të detyruara mbi të cilat mbikëqyrësi i shtetit anëtar pritës ushtron mbikëqyrje në përputhje me nenin 38, paragrafi 1, zbatohen paragrafët 2 deri në 5 të këtij neni.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3873BE" w:rsidRPr="003873BE" w:rsidRDefault="003873BE" w:rsidP="00A87413">
            <w:pPr>
              <w:widowControl w:val="0"/>
              <w:snapToGrid w:val="0"/>
              <w:spacing w:after="0" w:line="240" w:lineRule="auto"/>
              <w:rPr>
                <w:rFonts w:ascii="Times New Roman" w:hAnsi="Times New Roman"/>
                <w:sz w:val="18"/>
                <w:szCs w:val="18"/>
                <w:lang w:val="sq-AL" w:eastAsia="sq-AL" w:bidi="sq-AL"/>
              </w:rPr>
            </w:pPr>
            <w:r w:rsidRPr="003873BE">
              <w:rPr>
                <w:rFonts w:ascii="Times New Roman" w:hAnsi="Times New Roman"/>
                <w:sz w:val="18"/>
                <w:szCs w:val="18"/>
                <w:lang w:val="sq-AL" w:eastAsia="sq-AL" w:bidi="sq-AL"/>
              </w:rPr>
              <w:t>Neni 62</w:t>
            </w:r>
          </w:p>
          <w:p w:rsidR="003873BE" w:rsidRPr="003873BE" w:rsidRDefault="003873BE" w:rsidP="00A87413">
            <w:pPr>
              <w:widowControl w:val="0"/>
              <w:snapToGrid w:val="0"/>
              <w:spacing w:after="0" w:line="240" w:lineRule="auto"/>
              <w:rPr>
                <w:rFonts w:ascii="Times New Roman" w:hAnsi="Times New Roman"/>
                <w:sz w:val="18"/>
                <w:szCs w:val="18"/>
                <w:lang w:val="sq-AL" w:eastAsia="sq-AL" w:bidi="sq-AL"/>
              </w:rPr>
            </w:pPr>
            <w:r w:rsidRPr="003873BE">
              <w:rPr>
                <w:rFonts w:ascii="Times New Roman" w:hAnsi="Times New Roman"/>
                <w:sz w:val="18"/>
                <w:szCs w:val="18"/>
                <w:lang w:val="sq-AL" w:eastAsia="sq-AL" w:bidi="sq-AL"/>
              </w:rPr>
              <w:t>Masat mbikëqyrëse ndaj degëve të subjekteve të detyruara dhe ndaj disa veprimtarive të ushtruara në bazë të lirisë së ofrimit të shërbimeve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BF312B" w:rsidRDefault="00BF312B" w:rsidP="00A87413">
            <w:pPr>
              <w:suppressAutoHyphens w:val="0"/>
              <w:spacing w:after="0" w:line="240" w:lineRule="auto"/>
              <w:rPr>
                <w:rFonts w:ascii="Times New Roman" w:hAnsi="Times New Roman"/>
                <w:sz w:val="18"/>
                <w:szCs w:val="18"/>
                <w:lang w:val="sq-AL" w:eastAsia="sq-AL" w:bidi="sq-AL"/>
              </w:rPr>
            </w:pPr>
            <w:r w:rsidRPr="00BF312B">
              <w:rPr>
                <w:rFonts w:ascii="Times New Roman" w:hAnsi="Times New Roman"/>
                <w:sz w:val="18"/>
                <w:szCs w:val="18"/>
                <w:lang w:val="sq-AL" w:eastAsia="sq-AL" w:bidi="sq-AL"/>
              </w:rPr>
              <w:t>1. Në rastin e degëve ose formave të tjera të pranishmërisë, të ushtrimit të veprimtarisë së subjekteve të detyruara, të cilat nuk kualifikohen si institucione krediti ose institucione financiare, si dhe të llojeve të caktuara të infrastrukturës së subjekteve të detyruara mbi të cilat autoriteti mbikëqyrës i shtetit pritës ushtron mbikëqyrje në përputhje me nenin 39 të këtij ligji  zbatohen pikat 2 deri në 5 të këtij neni.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zbatimi i masave mbikëqyrëse ndaj degëve ose formave të tjera të pranishmërisë së subjekteve të detyruara që nuk kualifikohen si institucione krediti ose financiare, si dhe ndaj infrastrukturave përkatëse, në përputhje me kuadrin kombëtar të mbikëqyrjes. Dimensioni ndërkufitar është përshtatur me statusin e Shqipërisë si vend kandidat dhe do të bëhet plotësisht operacional me anëtarësimin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mbikëqyrësit e shtetit anëtar pritës identifikojnë shkelje të kërkesave të zbatueshme, ata u kërkojnë subjekteve të detyruara që operojnë përmes njësive ose llojeve të infrastrukturës të përmendura në paragrafin 1 që të respektojnë kërkesat e zbatueshme, si dhe informojnë mbikëqyrësit e shtetit anëtar të origjinës për shkeljet e identifikuara brenda këtyre subjekteve të detyruara dhe për kërkesën e bërë lidhur me respektimin e kërkesave.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02338D" w:rsidRDefault="0002338D" w:rsidP="00A87413">
            <w:pPr>
              <w:widowControl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mbikëqyrës të shtetit të origjinës për shkeljet e konstatuara në lidhje me subjektin e detyruar, si dhe për kërkesën e drejtuar atij për përmbushjen e detyrimeve ligjore.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detyrimi i autoritetit mbikëqyrës të shtetit pritës për të kërkuar përputhshmëri nga subjekti i detyruar dhe për të informuar autoritetin e shtetit të origjinës në rast shkeljesh. Mekanizmi i bashkëpunimit ndërkufitar është i përshtatur me kuadrin kombëtar dhe do të bëhet plotësisht operacional me anëtarësimin e Shqipërisë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e detyruara nuk marrin masat e nevojshme, mbikëqyrësit e shtetit anëtar pritës informojnë mbikëqyrësit e shtetit anëtar të origjinës përkatësisht.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e shtetit anëtar të origjinës veprojnë menjëherë dhe marrin të gjitha masat e duhura për të siguruar që subjekti i detyruar në fjalë të korrigjojë shkeljet e zbuluara te njësitë ose llojet e infrastrukturës së tij në shtetin anëtar pritës. Mbikëqyrësit e shtetit anëtar të origjinës informojnë mbikëqyrësit e shtetit anëtar pritës për masat e ndërmarra në përputhje me këtë paragraf.</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02338D" w:rsidRPr="0002338D" w:rsidRDefault="0002338D" w:rsidP="00A8741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3. Nëse subjekti i detyruar nuk merr masat e nevojshme për përmbushjen e detyrimeve ligjore, autoriteti mbikëqyrës kompetent informon autoritetin mbikëqyrës të shtetit të origjinës për këtë fakt.</w:t>
            </w:r>
          </w:p>
          <w:p w:rsidR="0002338D" w:rsidRPr="0002338D" w:rsidRDefault="0002338D" w:rsidP="00A8741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rsidR="006E5B5B" w:rsidRPr="0002338D" w:rsidRDefault="0002338D" w:rsidP="00A8741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Autoriteti mbikëqyrës i shtetit të origjinës informon autoritetin mbikëqyrës të shtetit pritës për masat e ndërmarra në zbatim të kësaj pike.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mekanizëm bashkëpunimi ndërmjet autoritetit mbikëqyrës të shtetit pritës dhe atij të shtetit të origjinës në rast mos-përputhshmërie nga subjekti i detyruar, duke siguruar ndërhyrje të shpejtë dhe marrjen e masave korrigjuese. Mekanizmi ndërkufitar është i përshtatur me statusin e Shqipërisë si vend kandidat dhe do të bëhet plotësisht operacional me anëtarësimin në BE.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paragrafi 3, në situata të shkeljeve serioze, të përsëritura ose sistematike nga subjektet e detyruara që operojnë nëpërmjet njësive ose llojeve të tjera të infrastrukturës në territorin e tyre, siç përmendet në paragrafin 1, të cilat kërkojnë ndërhyrje të menjëhershme, mbikëqyrësit e shtetit anëtar pritës lejohen me iniciativën e tyre të marrin masa të përshtatshme dhe proporcionale për të adresuar këto shkelje. Këto masa janë të përkohshme dhe përfundojnë kur shkeljet e identifikuara adresohen, duke përfshirë me ndihmën e mbikëqyrësve të shtetit anëtar të origjinës të subjektit të detyruar ose në bashkëpunim me ta.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pritës të informojnë mbikëqyrësin e shtetit anëtar të origjinës të subjektit të detyruar menjëherë pas identifikimit të shkeljeve serioze, të përsëritura ose sistematike dhe pas marrjes së masave në përputhje me nënparagrafin e parë, përveç rasteve kur masat merren në bashkëpunim me mbikëqyrësit e shtetit anëtar të origjinës.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145A3" w:rsidRPr="005145A3" w:rsidRDefault="005145A3" w:rsidP="00A87413">
            <w:pPr>
              <w:pStyle w:val="NormalWeb"/>
              <w:spacing w:before="0" w:beforeAutospacing="0" w:after="0" w:afterAutospacing="0"/>
              <w:rPr>
                <w:sz w:val="18"/>
                <w:szCs w:val="18"/>
                <w:lang w:val="sq-AL" w:eastAsia="sq-AL" w:bidi="sq-AL"/>
              </w:rPr>
            </w:pPr>
            <w:r w:rsidRPr="005145A3">
              <w:rPr>
                <w:sz w:val="18"/>
                <w:szCs w:val="18"/>
                <w:lang w:val="sq-AL" w:eastAsia="sq-AL" w:bidi="sq-AL"/>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rsidR="005145A3" w:rsidRPr="005145A3" w:rsidRDefault="005145A3" w:rsidP="00A87413">
            <w:pPr>
              <w:pStyle w:val="NormalWeb"/>
              <w:spacing w:before="0" w:beforeAutospacing="0" w:after="0" w:afterAutospacing="0"/>
              <w:rPr>
                <w:sz w:val="18"/>
                <w:szCs w:val="18"/>
                <w:lang w:val="sq-AL" w:eastAsia="sq-AL" w:bidi="sq-AL"/>
              </w:rPr>
            </w:pPr>
            <w:r w:rsidRPr="005145A3">
              <w:rPr>
                <w:sz w:val="18"/>
                <w:szCs w:val="18"/>
                <w:lang w:val="sq-AL" w:eastAsia="sq-AL" w:bidi="sq-AL"/>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rsidR="005145A3" w:rsidRDefault="005145A3" w:rsidP="00A87413">
            <w:pPr>
              <w:pStyle w:val="NormalWeb"/>
              <w:spacing w:before="0" w:beforeAutospacing="0" w:after="0" w:afterAutospacing="0"/>
              <w:rPr>
                <w:sz w:val="18"/>
                <w:szCs w:val="18"/>
                <w:lang w:val="sq-AL" w:eastAsia="sq-AL" w:bidi="sq-AL"/>
              </w:rPr>
            </w:pPr>
          </w:p>
          <w:p w:rsidR="006E5B5B" w:rsidRPr="005145A3" w:rsidRDefault="005145A3" w:rsidP="00A87413">
            <w:pPr>
              <w:pStyle w:val="NormalWeb"/>
              <w:spacing w:before="0" w:beforeAutospacing="0" w:after="0" w:afterAutospacing="0"/>
              <w:rPr>
                <w:sz w:val="18"/>
                <w:szCs w:val="18"/>
                <w:lang w:val="sq-AL" w:eastAsia="sq-AL" w:bidi="sq-AL"/>
              </w:rPr>
            </w:pPr>
            <w:r w:rsidRPr="005145A3">
              <w:rPr>
                <w:sz w:val="18"/>
                <w:szCs w:val="18"/>
                <w:lang w:val="sq-AL" w:eastAsia="sq-AL" w:bidi="sq-AL"/>
              </w:rPr>
              <w:t>Autoriteti mbikëqyrës kompetent i shtetit pritës 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autoritetit mbikëqyrës të shtetit pritës për të ndërhyrë drejtpërdrejt, në mënyrë proporcionale dhe të përkohshme, në rast shkeljesh serioze, të përsëritura ose sistematike që kërkojnë masa të menjëhershme. Mekanizmi garanton mbrojtjen efektive të integritetit të sistemit të PPP/FT, duke ruajtur njëkohësisht bashkëpunimin me autoritetin e shtetit të origjinës. Dispozita është e përshtatur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mbikëqyrësit e shtetit anëtar të origjinës dhe atij pritës nuk bien dakord për masat që duhen marrë në lidhje me një subjekt të detyruar, ata mund t'ia referojnë çështjen AMLA-s dhe të kërkojnë ndihmën e saj në përputhje me nenin 33 dhe 38 të Rregullores (BE) 2024/1620. AMLA jep opinionin e saj mbi objektin e mosdakordësisë brenda 1 muaji.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A4DE2" w:rsidRDefault="006A4DE2" w:rsidP="00A87413">
            <w:pPr>
              <w:suppressAutoHyphens w:val="0"/>
              <w:spacing w:after="0" w:line="240" w:lineRule="auto"/>
              <w:rPr>
                <w:rFonts w:ascii="Times New Roman" w:hAnsi="Times New Roman"/>
                <w:sz w:val="18"/>
                <w:szCs w:val="18"/>
                <w:lang w:val="sq-AL" w:eastAsia="sq-AL" w:bidi="sq-AL"/>
              </w:rPr>
            </w:pPr>
            <w:r w:rsidRPr="006A4DE2">
              <w:rPr>
                <w:rFonts w:ascii="Times New Roman" w:hAnsi="Times New Roman"/>
                <w:sz w:val="18"/>
                <w:szCs w:val="18"/>
                <w:lang w:val="sq-AL" w:eastAsia="sq-AL" w:bidi="sq-AL"/>
              </w:rPr>
              <w:t>5. 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reflektuar statusin e Shqipërisë si vend kandidat. Mekanizmi i referimit të mosmarrëveshjeve tek AMLA dhe kërkimi i asistencës do të bëhet plotësisht operacional me anëtarësimin në Bashkimin Evropian, në përputhje me rregulloret e BE-së në fuqi në momentin e anëtarësimit.</w:t>
            </w:r>
          </w:p>
        </w:tc>
      </w:tr>
      <w:tr w:rsidR="006A4DE2" w:rsidRPr="00F727DA" w:rsidTr="00E24C86">
        <w:trPr>
          <w:trHeight w:val="578"/>
        </w:trPr>
        <w:tc>
          <w:tcPr>
            <w:tcW w:w="900" w:type="dxa"/>
            <w:shd w:val="clear" w:color="auto" w:fill="auto"/>
            <w:vAlign w:val="center"/>
          </w:tcPr>
          <w:p w:rsidR="006A4DE2" w:rsidRPr="00F727DA" w:rsidRDefault="006A4DE2"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A4DE2" w:rsidRPr="00F727DA" w:rsidRDefault="006A4DE2"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A4DE2" w:rsidRPr="00F727DA" w:rsidRDefault="006A4DE2"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A4DE2" w:rsidRPr="00F727DA" w:rsidRDefault="006A4DE2"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A4DE2" w:rsidRPr="006A4DE2" w:rsidRDefault="006A4DE2" w:rsidP="00A87413">
            <w:pPr>
              <w:suppressAutoHyphens w:val="0"/>
              <w:spacing w:after="0" w:line="240" w:lineRule="auto"/>
              <w:rPr>
                <w:rFonts w:ascii="Times New Roman" w:hAnsi="Times New Roman"/>
                <w:sz w:val="18"/>
                <w:szCs w:val="18"/>
                <w:lang w:val="sq-AL" w:eastAsia="sq-AL" w:bidi="sq-AL"/>
              </w:rPr>
            </w:pPr>
            <w:r w:rsidRPr="006A4DE2">
              <w:rPr>
                <w:rFonts w:ascii="Times New Roman" w:hAnsi="Times New Roman"/>
                <w:sz w:val="18"/>
                <w:szCs w:val="18"/>
                <w:lang w:val="sq-AL" w:eastAsia="sq-AL" w:bidi="sq-AL"/>
              </w:rPr>
              <w:t>6. Me anëtarësimin e Republikës së Shqipërisë në Bashkimin Evropian, autoritetet kompetente mund t’i drejtohen Autoritetit të BE-së për Parandalimin e Pastrimit të Parave (AMLA) për asistencë, në përputhje me rregulloret përkatëse të Bashkimit Evropian.</w:t>
            </w:r>
          </w:p>
        </w:tc>
        <w:tc>
          <w:tcPr>
            <w:tcW w:w="1356" w:type="dxa"/>
            <w:shd w:val="clear" w:color="auto" w:fill="auto"/>
            <w:vAlign w:val="center"/>
          </w:tcPr>
          <w:p w:rsidR="006A4DE2" w:rsidRPr="00F727DA" w:rsidRDefault="006A4DE2"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6A4DE2" w:rsidRPr="00F727DA" w:rsidRDefault="006A4DE2" w:rsidP="00A8741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pike AIF</w:t>
            </w:r>
            <w:r w:rsidR="00F8291B">
              <w:rPr>
                <w:rFonts w:ascii="Times New Roman" w:hAnsi="Times New Roman"/>
                <w:sz w:val="18"/>
                <w:szCs w:val="18"/>
                <w:lang w:eastAsia="sq-AL" w:bidi="sq-AL"/>
              </w:rPr>
              <w: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55</w:t>
            </w:r>
          </w:p>
          <w:p w:rsidR="006E5B5B" w:rsidRPr="00F727DA" w:rsidRDefault="006E5B5B" w:rsidP="00A87413">
            <w:pPr>
              <w:snapToGrid w:val="0"/>
              <w:spacing w:after="0" w:line="240" w:lineRule="auto"/>
              <w:rPr>
                <w:sz w:val="18"/>
                <w:szCs w:val="18"/>
              </w:rPr>
            </w:pPr>
            <w:r w:rsidRPr="00F727DA">
              <w:rPr>
                <w:rFonts w:ascii="Times New Roman" w:hAnsi="Times New Roman"/>
                <w:b/>
                <w:sz w:val="18"/>
                <w:szCs w:val="18"/>
              </w:rPr>
              <w:t>Sanksione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vendosjen e sanksioneve në formë gjobe ndaj subjekteve të detyruara në rastet e shkeljeve të rënda, të përsëritura apo sistematike, të kryera qoftë me dashje apo nga pakujdesia, të kërkesave të parashikuara në dispozitat në vijim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305B9" w:rsidRPr="006305B9" w:rsidRDefault="006305B9" w:rsidP="00A87413">
            <w:pPr>
              <w:widowControl w:val="0"/>
              <w:snapToGrid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Neni 63</w:t>
            </w:r>
          </w:p>
          <w:p w:rsidR="006305B9" w:rsidRPr="006305B9" w:rsidRDefault="006305B9" w:rsidP="00A87413">
            <w:pPr>
              <w:widowControl w:val="0"/>
              <w:snapToGrid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Gjobat administrative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305B9" w:rsidRDefault="006305B9" w:rsidP="00A87413">
            <w:pPr>
              <w:widowControl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1. Autoritetet mbikëqyrëse kompetente vendosin gjoba administrative ndaj subjekteve të detyruara për shkelje, serioze, të përsëritura apo sistematike, të kryera me dashje ose nga pakujdesia, të dispozitave të këtij ligji, akteve nënligjore në zbatim të tij dhe të dispozitave që harmonizojnë Rregulloren (BE) 1624/2024 dhe Rregulloren (BE) 1113/2023, si më poshtë: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E1F56" w:rsidRDefault="006E5B5B" w:rsidP="00A87413">
            <w:pPr>
              <w:snapToGrid w:val="0"/>
              <w:spacing w:after="0" w:line="240" w:lineRule="auto"/>
              <w:rPr>
                <w:rFonts w:ascii="Times New Roman" w:hAnsi="Times New Roman"/>
                <w:sz w:val="18"/>
                <w:szCs w:val="18"/>
              </w:rPr>
            </w:pPr>
            <w:r w:rsidRPr="00FE1F56">
              <w:rPr>
                <w:rFonts w:ascii="Times New Roman" w:hAnsi="Times New Roman"/>
                <w:sz w:val="18"/>
                <w:szCs w:val="18"/>
              </w:rPr>
              <w:t>Dispozita është transpozuar plotësisht. Legjislacioni kombëtar parashikon vendosjen e gjobave ndaj subjekteve të detyruara për shkelje serioze, të përsëritura ose sistematike, të kryera me dashje ose nga pakujdesia, në përputhje me kërkesat e harmonizuara të Rregullores (BE) 2024/1624 në fushën e PPP/FT. Rregullorja do të harmonizohet deri në përfundim të procesit të anëtarësimit dhe, pas anëtarësimit, do të zbatohet drejtpërdrejt.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II (Politikat, procedurat dhe kontrollet e brendshme të subjekteve të detyruara);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F7ED2" w:rsidRPr="006305B9" w:rsidRDefault="004F7ED2" w:rsidP="00A87413">
            <w:pPr>
              <w:widowControl w:val="0"/>
              <w:spacing w:after="0" w:line="240" w:lineRule="auto"/>
              <w:rPr>
                <w:rFonts w:ascii="Times New Roman" w:hAnsi="Times New Roman"/>
                <w:bCs/>
                <w:sz w:val="18"/>
                <w:szCs w:val="18"/>
                <w:lang w:val="sq-AL" w:eastAsia="sq-AL" w:bidi="sq-AL"/>
              </w:rPr>
            </w:pPr>
            <w:r w:rsidRPr="004F7ED2">
              <w:rPr>
                <w:rFonts w:ascii="Times New Roman" w:hAnsi="Times New Roman"/>
                <w:bCs/>
                <w:sz w:val="18"/>
                <w:szCs w:val="18"/>
                <w:lang w:val="sq-AL" w:eastAsia="sq-AL" w:bidi="sq-AL"/>
              </w:rPr>
              <w:t>c) për rastet kur nuk zbatojnë detyrimet ligjore në lidhje me politikat, procedurat dhe kontrollet e brendshme të subjekteve të detyruara të parashikuara në Kapitulli II (Masat parandaluese) 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vendosjen e gjobave për shkelje serioze, të përsëritura ose sistematike të detyrimeve që lidhen me politikat, procedurat dhe kontrollet e brendshme të subjekteve të detyruara në fushën e PPP/FT, në përputhje me kërkesat e harmonizuara të Rregullores (BE) 2024/1624.</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III (Vigjilenca e duhur ndaj klientëve);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F7ED2" w:rsidRPr="004F7ED2" w:rsidRDefault="004F7ED2" w:rsidP="00A87413">
            <w:pPr>
              <w:widowControl w:val="0"/>
              <w:spacing w:after="0" w:line="240" w:lineRule="auto"/>
              <w:rPr>
                <w:rFonts w:ascii="Times New Roman" w:hAnsi="Times New Roman"/>
                <w:bCs/>
                <w:sz w:val="18"/>
                <w:szCs w:val="18"/>
                <w:lang w:val="sq-AL" w:eastAsia="sq-AL" w:bidi="sq-AL"/>
              </w:rPr>
            </w:pPr>
            <w:r w:rsidRPr="004F7ED2">
              <w:rPr>
                <w:rFonts w:ascii="Times New Roman" w:hAnsi="Times New Roman"/>
                <w:bCs/>
                <w:sz w:val="18"/>
                <w:szCs w:val="18"/>
                <w:lang w:val="sq-AL" w:eastAsia="sq-AL" w:bidi="sq-AL"/>
              </w:rPr>
              <w:t>a) për rastet kur nuk zbatojnë detyrimet ligjore në lidhje me zbatimin e masave të vigjilencës së duhur të parashikuara në Kapitullin III (Vigjilenca e duhur) 1624/2024, subjektet gjobiten nga 100 000 (njëqind mijë) lekë deri në 6 000 000 (gjashtë milionë) lekë;</w:t>
            </w:r>
          </w:p>
          <w:p w:rsidR="006E5B5B" w:rsidRPr="004F7ED2" w:rsidRDefault="004F7ED2" w:rsidP="00A87413">
            <w:pPr>
              <w:widowControl w:val="0"/>
              <w:spacing w:after="0" w:line="240" w:lineRule="auto"/>
              <w:rPr>
                <w:rFonts w:ascii="Times New Roman" w:hAnsi="Times New Roman"/>
                <w:sz w:val="18"/>
                <w:szCs w:val="18"/>
                <w:lang w:eastAsia="sq-AL" w:bidi="sq-AL"/>
              </w:rPr>
            </w:pPr>
            <w:r w:rsidRPr="004F7ED2">
              <w:rPr>
                <w:rFonts w:ascii="Times New Roman" w:hAnsi="Times New Roman"/>
                <w:bCs/>
                <w:sz w:val="18"/>
                <w:szCs w:val="18"/>
                <w:lang w:val="sq-AL" w:eastAsia="sq-AL" w:bidi="sq-AL"/>
              </w:rPr>
              <w:t>b) për rastet kur nuk zbatojnë detyrimet ligjore në lidhje me zbatimin e masave të vigjilencës së zgjeruar, subjektet gjobiten nga 200 000 (dyqind mijë) lekë deri në 8 000 000 (tetë milionë) lekë;</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vendosjen e gjobave për shkelje serioze, të përsëritura ose sistematike të detyrimeve që lidhen me masat e vigjilences se duhur ndaj klientit në fushën e PPP/FT, në përputhje me kërkesat e harmonizuara të Rregullores (BE) 2024/1624.</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V (Detyrimet e raportimit);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4F7ED2" w:rsidRDefault="004F7ED2" w:rsidP="00A87413">
            <w:pPr>
              <w:widowControl w:val="0"/>
              <w:spacing w:after="0" w:line="240" w:lineRule="auto"/>
              <w:rPr>
                <w:rFonts w:ascii="Times New Roman" w:hAnsi="Times New Roman"/>
                <w:b/>
                <w:bCs/>
                <w:sz w:val="18"/>
                <w:szCs w:val="18"/>
                <w:lang w:val="sq-AL" w:eastAsia="sq-AL" w:bidi="sq-AL"/>
              </w:rPr>
            </w:pPr>
            <w:r w:rsidRPr="004F7ED2">
              <w:rPr>
                <w:rFonts w:ascii="Times New Roman" w:hAnsi="Times New Roman"/>
                <w:b/>
                <w:bCs/>
                <w:sz w:val="18"/>
                <w:szCs w:val="18"/>
                <w:lang w:val="sq-AL" w:eastAsia="sq-AL" w:bidi="sq-AL"/>
              </w:rPr>
              <w:t>ç</w:t>
            </w:r>
            <w:r w:rsidRPr="004F7ED2">
              <w:rPr>
                <w:rFonts w:ascii="Times New Roman" w:hAnsi="Times New Roman"/>
                <w:bCs/>
                <w:sz w:val="18"/>
                <w:szCs w:val="18"/>
                <w:lang w:val="sq-AL" w:eastAsia="sq-AL" w:bidi="sq-AL"/>
              </w:rPr>
              <w:t>) për rastet kur nuk zbatojnë detyrimet ligjore për raportim të parashikuara në Kapitullin III (Vigjilenca e duhur) 1624/2024, subjektet gjobiten nga 300 000 (treqind mijë) lekë deri në 10 000 000 (dhjetë milionë) lekë;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Legjislacioni kombëtar parashikon vendosjen e gjobave për shkelje serioze, të përsëritura ose sistematike të detyrimeve për raportim në fushën e PPP/FT, në përputhje me kërkesat e harmonizuara të Rregullores (BE) 2024/1624.</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77 (Ruajtja e të dhënave).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gjithashtu që të mund të vendosen sanksione në formë gjobe edhe në rastet kur subjektet e detyruara nuk kanë përmbushur masat administrative të aplikuara ndaj tyre në përputhje me nenin 56 të kësaj direktive, ose për shkeljet që nuk janë të rënda, të përsëritura apo sistematike.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420346" w:rsidRDefault="004F7ED2" w:rsidP="00A87413">
            <w:pPr>
              <w:pStyle w:val="NormalWeb"/>
              <w:spacing w:before="0" w:beforeAutospacing="0" w:after="0" w:afterAutospacing="0"/>
              <w:rPr>
                <w:bCs/>
                <w:sz w:val="18"/>
                <w:szCs w:val="18"/>
                <w:lang w:val="sq-AL" w:eastAsia="sq-AL" w:bidi="sq-AL"/>
              </w:rPr>
            </w:pPr>
            <w:r w:rsidRPr="004F7ED2">
              <w:rPr>
                <w:bCs/>
                <w:sz w:val="18"/>
                <w:szCs w:val="18"/>
                <w:lang w:val="sq-AL" w:eastAsia="sq-AL" w:bidi="sq-AL"/>
              </w:rPr>
              <w:t>d) për rastet kur nuk zbatojnë detyrimet ligjore në lidhen me ruajtjen e dokumentacionit dhe të dhënave subjektet gjobiten nga 200 000 (dyqind mijë) lekë deri në 8 000 000 (tetë milionë) lekë;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vendosjen e gjobave për shkelje të detyrimeve që lidhen me ruajtjen e dokumentacionit dhe të dhënave, si dhe në rast mosrespektimi të masave administrative të vendosura nga autoriteti mbikëqyrës. Gjithashtu, kuadri kombëtar lejon vendosjen e sanksioneve edhe për shkelje që nuk janë serioze, të përsëritura ose sistematike, në përputhje me kërkesat e acquis të BE-së në fushën e PPP/FT.</w:t>
            </w:r>
          </w:p>
        </w:tc>
      </w:tr>
      <w:tr w:rsidR="001B2186" w:rsidRPr="00F727DA" w:rsidTr="00E24C86">
        <w:trPr>
          <w:trHeight w:val="578"/>
        </w:trPr>
        <w:tc>
          <w:tcPr>
            <w:tcW w:w="900" w:type="dxa"/>
            <w:shd w:val="clear" w:color="auto" w:fill="auto"/>
            <w:vAlign w:val="center"/>
          </w:tcPr>
          <w:p w:rsidR="001B2186" w:rsidRPr="00F727DA" w:rsidRDefault="001B2186"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1B2186" w:rsidRPr="00F727DA" w:rsidRDefault="001B2186"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1B2186" w:rsidRPr="00F727DA" w:rsidRDefault="001B2186"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1B2186" w:rsidRPr="00F727DA" w:rsidRDefault="001B2186"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1B2186" w:rsidRPr="004F7ED2" w:rsidRDefault="001B2186" w:rsidP="00A87413">
            <w:pPr>
              <w:pStyle w:val="NormalWeb"/>
              <w:spacing w:before="0" w:beforeAutospacing="0" w:after="0" w:afterAutospacing="0"/>
              <w:rPr>
                <w:bCs/>
                <w:sz w:val="18"/>
                <w:szCs w:val="18"/>
                <w:lang w:val="sq-AL" w:eastAsia="sq-AL" w:bidi="sq-AL"/>
              </w:rPr>
            </w:pPr>
            <w:r w:rsidRPr="001B2186">
              <w:rPr>
                <w:bCs/>
                <w:sz w:val="18"/>
                <w:szCs w:val="18"/>
                <w:lang w:val="sq-AL" w:eastAsia="sq-AL" w:bidi="sq-AL"/>
              </w:rPr>
              <w:t>dh) për rastet kur nuk zbatojnë detyrimet e parashikuara organizimet ligjore gjobiten nga 1 500 000 (një milion e pesëqind mijë) lekë deri në 10 000 000 (dhjetë milionë) lekë;</w:t>
            </w:r>
          </w:p>
        </w:tc>
        <w:tc>
          <w:tcPr>
            <w:tcW w:w="1356" w:type="dxa"/>
            <w:shd w:val="clear" w:color="auto" w:fill="auto"/>
            <w:vAlign w:val="center"/>
          </w:tcPr>
          <w:p w:rsidR="001B2186" w:rsidRPr="00F727DA" w:rsidRDefault="001B2186"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1B2186" w:rsidRPr="00F727DA" w:rsidRDefault="00420346" w:rsidP="00A8741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w:t>
            </w:r>
          </w:p>
        </w:tc>
      </w:tr>
      <w:tr w:rsidR="00C8492C" w:rsidRPr="00F727DA" w:rsidTr="00E24C86">
        <w:trPr>
          <w:trHeight w:val="578"/>
        </w:trPr>
        <w:tc>
          <w:tcPr>
            <w:tcW w:w="900" w:type="dxa"/>
            <w:shd w:val="clear" w:color="auto" w:fill="auto"/>
            <w:vAlign w:val="center"/>
          </w:tcPr>
          <w:p w:rsidR="00C8492C" w:rsidRPr="00F727DA" w:rsidRDefault="00C8492C"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C8492C" w:rsidRPr="00F727DA" w:rsidRDefault="00C8492C"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C8492C" w:rsidRPr="00F727DA" w:rsidRDefault="00C8492C"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8492C" w:rsidRPr="00F727DA" w:rsidRDefault="00C8492C"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C8492C" w:rsidRDefault="00C8492C" w:rsidP="00A87413">
            <w:pPr>
              <w:widowControl w:val="0"/>
              <w:spacing w:after="0" w:line="240" w:lineRule="auto"/>
              <w:rPr>
                <w:rFonts w:ascii="Times New Roman" w:hAnsi="Times New Roman"/>
                <w:sz w:val="18"/>
                <w:szCs w:val="18"/>
                <w:lang w:val="sq-AL" w:eastAsia="sq-AL" w:bidi="sq-AL"/>
              </w:rPr>
            </w:pPr>
            <w:r w:rsidRPr="001B2186">
              <w:rPr>
                <w:rFonts w:ascii="Times New Roman" w:hAnsi="Times New Roman"/>
                <w:sz w:val="18"/>
                <w:szCs w:val="18"/>
                <w:lang w:val="sq-AL" w:eastAsia="sq-AL" w:bidi="sq-AL"/>
              </w:rPr>
              <w:t>e) për rastet kur nuk zbatojnë detyrimet ligjore në lidhen me moszbatimin e masave administrative të vendosura ndaj tyre, ne përputhje me nenin 64 si dhe për shkelje që nuk kualifikohen si serioze, të përsëritura ose sistematike, subjektet gjobiten nga 100 000 (një qind mijë) lekë deri në 6 000 000 (gjashtë milionë) lekë;</w:t>
            </w:r>
          </w:p>
          <w:p w:rsidR="00C8492C" w:rsidRDefault="00C8492C" w:rsidP="00A87413">
            <w:pPr>
              <w:widowControl w:val="0"/>
              <w:spacing w:after="0" w:line="240" w:lineRule="auto"/>
              <w:rPr>
                <w:rFonts w:ascii="Times New Roman" w:hAnsi="Times New Roman"/>
                <w:sz w:val="18"/>
                <w:szCs w:val="18"/>
                <w:lang w:val="sq-AL" w:eastAsia="sq-AL" w:bidi="sq-AL"/>
              </w:rPr>
            </w:pPr>
            <w:r w:rsidRPr="00420346">
              <w:rPr>
                <w:rFonts w:ascii="Times New Roman" w:hAnsi="Times New Roman"/>
                <w:sz w:val="18"/>
                <w:szCs w:val="18"/>
                <w:lang w:val="sq-AL" w:eastAsia="sq-AL" w:bidi="sq-AL"/>
              </w:rPr>
              <w:t>ë) për rastet kur urdhrat, kërkesat dhe afatet e njoftuara nga autoritetet kompetente mbikëqyrëse në zbatim të dispozitave të këtij ligji nuk respektohen personat përgjegjës dhe/ose subjektet gjobiten nga 100 000 (njëqind mijë) lekë deri në 20 000 000 (njëzet milionë) lekë;</w:t>
            </w:r>
          </w:p>
          <w:p w:rsidR="00C8492C" w:rsidRPr="00C8492C" w:rsidRDefault="00C8492C" w:rsidP="00A87413">
            <w:pPr>
              <w:widowControl w:val="0"/>
              <w:spacing w:after="0" w:line="240" w:lineRule="auto"/>
              <w:rPr>
                <w:rFonts w:ascii="Times New Roman" w:hAnsi="Times New Roman"/>
                <w:sz w:val="18"/>
                <w:szCs w:val="18"/>
                <w:lang w:val="sq-AL" w:eastAsia="sq-AL" w:bidi="sq-AL"/>
              </w:rPr>
            </w:pPr>
          </w:p>
        </w:tc>
        <w:tc>
          <w:tcPr>
            <w:tcW w:w="1356" w:type="dxa"/>
            <w:shd w:val="clear" w:color="auto" w:fill="auto"/>
            <w:vAlign w:val="center"/>
          </w:tcPr>
          <w:p w:rsidR="00C8492C" w:rsidRPr="00F727DA" w:rsidRDefault="00C8492C"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C8492C" w:rsidRPr="00F727DA" w:rsidRDefault="00C8492C"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në rastet e përmendura në paragrafin 1, nënparagrafi i parë, sanksionet maksimale në formë gjobe që mund të vendosen të jenë të paktën sa dyfishi i vlerës së përfitimit të gjeneruar nga shkelja, në rastet kur ky përfitim mund të përcaktohet, ose të paktën 1 000 000 euro, cilado qoftë më e lartë.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shteteve anëtare që kanë monedhë të ndryshme nga euro, vlera e përmendur në nënparagrafin e parë është sa vlera përkatëse në monedhën kombëtare më datë 9 korrik 2024.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C8492C" w:rsidRDefault="00C8492C" w:rsidP="00A87413">
            <w:pPr>
              <w:widowControl w:val="0"/>
              <w:spacing w:after="0" w:line="240" w:lineRule="auto"/>
              <w:rPr>
                <w:rFonts w:ascii="Times New Roman" w:hAnsi="Times New Roman"/>
                <w:sz w:val="18"/>
                <w:szCs w:val="18"/>
                <w:lang w:val="sq-AL" w:eastAsia="sq-AL" w:bidi="sq-AL"/>
              </w:rPr>
            </w:pPr>
            <w:r w:rsidRPr="00C8492C">
              <w:rPr>
                <w:rFonts w:ascii="Times New Roman" w:hAnsi="Times New Roman"/>
                <w:sz w:val="18"/>
                <w:szCs w:val="18"/>
                <w:lang w:val="sq-AL" w:eastAsia="sq-AL" w:bidi="sq-AL"/>
              </w:rPr>
              <w:t>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rsidR="00C8492C" w:rsidRDefault="00C8492C" w:rsidP="00A87413">
            <w:pPr>
              <w:widowControl w:val="0"/>
              <w:spacing w:after="0" w:line="240" w:lineRule="auto"/>
              <w:rPr>
                <w:rFonts w:ascii="Times New Roman" w:hAnsi="Times New Roman"/>
                <w:sz w:val="18"/>
                <w:szCs w:val="18"/>
                <w:lang w:val="sq-AL" w:eastAsia="sq-AL" w:bidi="sq-AL"/>
              </w:rPr>
            </w:pPr>
          </w:p>
          <w:p w:rsidR="006E5B5B" w:rsidRPr="001B2186" w:rsidRDefault="006E5B5B" w:rsidP="00A87413">
            <w:pPr>
              <w:widowControl w:val="0"/>
              <w:spacing w:after="0" w:line="240" w:lineRule="auto"/>
              <w:rPr>
                <w:rFonts w:ascii="Times New Roman" w:hAnsi="Times New Roman"/>
                <w:sz w:val="18"/>
                <w:szCs w:val="18"/>
                <w:lang w:val="sq-AL"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nivel minimal të gjobës maksimale në përputhje me kërkesat e Direktivës, duke reflektuar pragun prej dyfishit të përfitimit të nxjerrë nga shkelja ose ekuivalentin në monedhën kombëtare të shumës 1 000 000 euro, cilado që është më e lartë. Kjo siguron efektivitetin dhe karakterin parandalues të sanksioneve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duke deroguar nga paragrafi 2, në rastet kur subjekti i detyruar në fjalë është një institucion krediti ose institucion financiar, të mund të vendosen edhe sanksionet në formë gjobe në vijim: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420346" w:rsidRDefault="00AB2074" w:rsidP="00A87413">
            <w:pPr>
              <w:widowControl w:val="0"/>
              <w:spacing w:after="0" w:line="240" w:lineRule="auto"/>
              <w:rPr>
                <w:rFonts w:ascii="Times New Roman" w:hAnsi="Times New Roman"/>
                <w:sz w:val="18"/>
                <w:szCs w:val="18"/>
                <w:lang w:val="sq-AL" w:eastAsia="sq-AL" w:bidi="sq-AL"/>
              </w:rPr>
            </w:pPr>
            <w:r>
              <w:rPr>
                <w:rFonts w:ascii="Times New Roman" w:hAnsi="Times New Roman"/>
                <w:sz w:val="18"/>
                <w:szCs w:val="18"/>
                <w:lang w:val="sq-AL" w:eastAsia="sq-AL" w:bidi="sq-AL"/>
              </w:rPr>
              <w:t>f</w:t>
            </w:r>
            <w:r w:rsidR="00420346" w:rsidRPr="00420346">
              <w:rPr>
                <w:rFonts w:ascii="Times New Roman" w:hAnsi="Times New Roman"/>
                <w:sz w:val="18"/>
                <w:szCs w:val="18"/>
                <w:lang w:val="sq-AL" w:eastAsia="sq-AL" w:bidi="sq-AL"/>
              </w:rPr>
              <w:t>) përveçse sa parashikohet në pikat më sipër, në rastet kur subjekti i detyruar është institucion krediti ose institucion financiar, vendosen gjithashtu gjobat e mëposhtme:</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Parashikohet regjim i posaçëm sanksionues për institucionet e kreditit dhe institucionet financiare, në përputhje me kërkesat e Direktivës dhe me kuadrin kombëtar të mbikëqyrjes financiare, duke garantuar efektivitet dhe proporcionalitet të sanksioneve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personi juridik, sanksione maksimale në formë gjobe prej të paktën 10 000 000 euro, ose, në shtetet anëtare që kanë monedhë të ndryshme nga euro, vlera përkatëse në monedhën kombëtare më 9 korrik 2024, ose 10% e totalit të xhiros vjetore sipas llogarive financiare të disponueshme të miratuara nga organi drejtues, cilado qoftë më e lartë; në rastin kur subjekti i detyruar është një ndërmarrje mëmë ose filial i ndërmarrjes mëmë, i cili duhet të përgatisë pasqyrat financiare të konsoliduara në përputhje me nenin 22 të Direktivës 2013/34/BE të Parlamentit Evropian dhe të Këshillit (44</w:t>
            </w:r>
            <w:r w:rsidRPr="00F727DA">
              <w:rPr>
                <w:rStyle w:val="FootnoteReference"/>
                <w:rFonts w:ascii="Times New Roman" w:hAnsi="Times New Roman"/>
                <w:sz w:val="18"/>
                <w:szCs w:val="18"/>
                <w:lang w:eastAsia="sq-AL" w:bidi="sq-AL"/>
              </w:rPr>
              <w:footnoteReference w:id="11"/>
            </w:r>
            <w:r w:rsidRPr="00F727DA">
              <w:rPr>
                <w:rFonts w:ascii="Times New Roman" w:hAnsi="Times New Roman"/>
                <w:sz w:val="18"/>
                <w:szCs w:val="18"/>
                <w:lang w:eastAsia="sq-AL" w:bidi="sq-AL"/>
              </w:rPr>
              <w:t xml:space="preserve"> ), totali përkatës i xhiros vjetore konsiderohet totali i xhiros vjetore ose lloji përkatës i të ardhurave, në përputhje me regjimin përkatës kontabël, sipas pasqyrave të konsoliduara të disponuara më së fundmi, të miratuara nga organi drejtues i shoqërisë kryesore mëmë;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Default="007F6493" w:rsidP="00A87413">
            <w:pPr>
              <w:widowControl w:val="0"/>
              <w:spacing w:after="0" w:line="240" w:lineRule="auto"/>
              <w:rPr>
                <w:rFonts w:ascii="Times New Roman" w:hAnsi="Times New Roman"/>
                <w:sz w:val="18"/>
                <w:szCs w:val="18"/>
                <w:lang w:val="sq-AL" w:eastAsia="sq-AL" w:bidi="sq-AL"/>
              </w:rPr>
            </w:pPr>
            <w:r w:rsidRPr="007F6493">
              <w:rPr>
                <w:rFonts w:ascii="Times New Roman" w:hAnsi="Times New Roman"/>
                <w:sz w:val="18"/>
                <w:szCs w:val="18"/>
                <w:lang w:val="sq-AL" w:eastAsia="sq-AL" w:bidi="sq-AL"/>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rsidR="00B514EA" w:rsidRPr="007F6493" w:rsidRDefault="00B514EA" w:rsidP="00A87413">
            <w:pPr>
              <w:widowControl w:val="0"/>
              <w:spacing w:after="0" w:line="240" w:lineRule="auto"/>
              <w:rPr>
                <w:rFonts w:ascii="Times New Roman" w:hAnsi="Times New Roman"/>
                <w:sz w:val="18"/>
                <w:szCs w:val="18"/>
                <w:lang w:val="sq-AL" w:eastAsia="sq-AL" w:bidi="sq-AL"/>
              </w:rPr>
            </w:pPr>
            <w:r w:rsidRPr="00B514EA">
              <w:rPr>
                <w:rFonts w:ascii="Times New Roman" w:hAnsi="Times New Roman"/>
                <w:sz w:val="18"/>
                <w:szCs w:val="18"/>
                <w:lang w:val="sq-AL" w:eastAsia="sq-AL" w:bidi="sq-AL"/>
              </w:rPr>
              <w:t>Kur subjekti i detyruar është shoqëri mëmë ose filial i një shoqërie mëmë që është e detyruar të përgatisë pasqyra 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tc>
        <w:tc>
          <w:tcPr>
            <w:tcW w:w="1356"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që, kur subjekti i detyruar është pjesë e një grupi, përllogaritja e qarkullimit total vjetor për qëllime të përcaktimit të gjobës maksimale të bazohet në pasqyrat financiare të konsoliduara të shoqërisë mëmë përfundimtare, në përputhje me regjimin kontabël të zbatueshëm. Kjo siguron që sanksionet të jenë efektive dhe proporcionale në nivel grupi dhe në përputhje me kërkesat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personi fizik, sanksione maksimale në formë gjobe prej të paktën 5 000 000 euro ose, në shtetet anëtare që kanë monedhë të ndryshme nga euro, vlera përkatëse në monedhën kombëtare më 9 korrik 2024.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B2074" w:rsidRDefault="00AB2074" w:rsidP="00A87413">
            <w:pPr>
              <w:widowControl w:val="0"/>
              <w:spacing w:after="0" w:line="240" w:lineRule="auto"/>
              <w:rPr>
                <w:rFonts w:ascii="Times New Roman" w:hAnsi="Times New Roman"/>
                <w:bCs/>
                <w:sz w:val="18"/>
                <w:szCs w:val="18"/>
                <w:lang w:val="sq-AL" w:eastAsia="sq-AL" w:bidi="sq-AL"/>
              </w:rPr>
            </w:pPr>
            <w:r w:rsidRPr="00AB2074">
              <w:rPr>
                <w:rFonts w:ascii="Times New Roman" w:hAnsi="Times New Roman"/>
                <w:bCs/>
                <w:sz w:val="18"/>
                <w:szCs w:val="18"/>
                <w:lang w:val="sq-AL" w:eastAsia="sq-AL" w:bidi="sq-AL"/>
              </w:rPr>
              <w:t>ii) në rastin e një personi fizik, gjobë maksimale në një shumë jo më të vogël se ekuivalenti në lekë i 5 000 000 (pesë milion) euro, sipas kursit zyrtar të këmbimit në datën 9 korrik 2024.</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AB2074"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Parashikohet prag maksimal i gjobës për personat fizikë në përputhje me kërkesën e Direktivës, duke reflektuar shumën prej 5 000 000 euro, të konvertuar në monedhën kombëtare sipas kursit zyrtar në datën e referencës. Kjo siguron efektivitetin dhe karakterin parandalues të sanksioneve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autoritetet kompetente që të vendosin sanksione në formë gjobe në vlera më të mëdha se ato të përmendura në paragrafët 2 dhe 3.</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p w:rsidR="006E5B5B" w:rsidRPr="009211F7" w:rsidRDefault="009211F7" w:rsidP="00A87413">
            <w:pPr>
              <w:widowControl w:val="0"/>
              <w:spacing w:after="0" w:line="240" w:lineRule="auto"/>
              <w:rPr>
                <w:rFonts w:ascii="Times New Roman" w:hAnsi="Times New Roman"/>
                <w:sz w:val="18"/>
                <w:szCs w:val="18"/>
                <w:lang w:val="sq-AL" w:eastAsia="sq-AL" w:bidi="sq-AL"/>
              </w:rPr>
            </w:pPr>
            <w:r w:rsidRPr="009211F7">
              <w:rPr>
                <w:rFonts w:ascii="Times New Roman" w:hAnsi="Times New Roman"/>
                <w:sz w:val="18"/>
                <w:szCs w:val="18"/>
                <w:lang w:val="sq-AL" w:eastAsia="sq-AL" w:bidi="sq-AL"/>
              </w:rPr>
              <w:t>2. Në raste të jashtëzakonshme dhe të arsyetuara, kur kjo është e nevojshme për të garantuar efektivitetin, proporcionalitetin dhe karakterin parandalues të gjobave administrative, autoritetet kompetente mbikëqyrëse mund të vendosin gjoba në nivele më të larta se pragjet e përcaktuara në këtë nen, brenda kufijve maksimalë të përcaktuar me ligj.</w:t>
            </w:r>
            <w:r w:rsidR="006E5B5B" w:rsidRPr="00F727DA">
              <w:rPr>
                <w:rFonts w:ascii="Times New Roman" w:hAnsi="Times New Roman"/>
                <w:sz w:val="18"/>
                <w:szCs w:val="18"/>
                <w:lang w:eastAsia="sq-AL" w:bidi="sq-AL"/>
              </w:rPr>
              <w: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ka natyrë fakultative (“may”). Legjislacioni shqiptar përcakton pragje maksimale të gjobave dhe nuk parashikon mundësinë e tejkalimit të tyre. Kjo qasje është në përputhje me natyrën jo-detyrimore të dispozitës dhe nuk krijon mospërputhje me acquis të BE-së, për sa kohë që sanksionet e parashikuara janë efektive, proporcionale dhe parandaluese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gjatë përcaktimit të vlerës së sanksionit në formë gjobe, të marrin në konsideratë aftësinë e subjektit të detyruar për ta paguar sanksionin dhe që mbikëqyrësit, në rastet kur sanksionet në formë gjobe mund të ndikojnë në pajtueshmërinë me rregulloren prudenciale, të konsultohen me autoritetet kompetente për të mbikëqyrur pajtueshmërinë e subjekteve të detyruara ne aktet përkatëse ligjore të BE-së.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AB2074" w:rsidRPr="00AB2074" w:rsidRDefault="00AB2074" w:rsidP="00A8741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5. Vendimet për dhënien e gjobave administrative përcaktohen dhe vendosen nga autoritetet mbikëqyrëse kompetente në përputhje me këtë ligj dhe ligjet sektoriale përkatëse.</w:t>
            </w:r>
          </w:p>
          <w:p w:rsidR="00AB2074" w:rsidRPr="00AB2074" w:rsidRDefault="00AB2074" w:rsidP="00A8741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6. Autoritetet mbikëqyrëse kompetente informojnë autoritetin përgjegjës për gjobat dhe masat administrative të vendosura. Në të njëjtën formë informon edhe autoriteti përgjegjës autoritetet licencuese dhe/ose mbikëqyrëse.</w:t>
            </w:r>
          </w:p>
          <w:p w:rsidR="00AB2074" w:rsidRPr="00AB2074" w:rsidRDefault="00AB2074" w:rsidP="00A8741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7. Autoritetet mbikëqyrëse kompetente, brenda fushës së juridiksionit të tyre, ushtrojnë kompetencat për konstatimin e shkeljeve, vendosjen dhe ekzekutimin e gjobave dhe masave administrative sipas këtij neni dhe nenit 64, në përputhje me këtë ligj dhe ligjet sektoriale përkatëse.</w:t>
            </w:r>
          </w:p>
          <w:p w:rsidR="006E5B5B" w:rsidRPr="00AB2074" w:rsidRDefault="00AB2074" w:rsidP="00A8741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 xml:space="preserve">8. Autoritetet mbikëqyrëse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AB2074">
              <w:rPr>
                <w:rFonts w:ascii="Times New Roman" w:hAnsi="Times New Roman"/>
                <w:bCs/>
                <w:sz w:val="18"/>
                <w:szCs w:val="18"/>
                <w:lang w:val="sq-AL" w:eastAsia="sq-AL" w:bidi="sq-AL"/>
              </w:rPr>
              <w:t>Masa e kamatëvonesës për gjobat e vendosura nuk mund të kalojë vlerën e gjobës.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Ligji parashikon që në përcaktimin e shumës së gjobës të merret në konsideratë aftësia paguese e subjektit të detyruar, si dhe siguron mekanizëm konsultimi me autoritetet e mbikëqyrjes prudenciale kur sanksioni mund të ndikojë në përputhshmërinë me kërkesat prudenciale. Kjo garanton proporcionalitet dhe koherencë ndërmjet mbikëqyrjes AML dhe mbikëqyrjes prudenciale, në përputhje me kërkesat e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56</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Masat administrative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të jenë në gjendje të zbatojnë masat administrative ndaj një subjekti të detyruar, kur kanë identifikuar: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2825C5" w:rsidRPr="002825C5" w:rsidRDefault="002825C5" w:rsidP="00A87413">
            <w:pPr>
              <w:widowControl w:val="0"/>
              <w:snapToGrid w:val="0"/>
              <w:spacing w:after="0" w:line="240" w:lineRule="auto"/>
              <w:rPr>
                <w:rFonts w:ascii="Times New Roman" w:hAnsi="Times New Roman"/>
                <w:sz w:val="18"/>
                <w:szCs w:val="18"/>
                <w:lang w:val="sq-AL" w:eastAsia="sq-AL" w:bidi="sq-AL"/>
              </w:rPr>
            </w:pPr>
            <w:r w:rsidRPr="002825C5">
              <w:rPr>
                <w:rFonts w:ascii="Times New Roman" w:hAnsi="Times New Roman"/>
                <w:sz w:val="18"/>
                <w:szCs w:val="18"/>
                <w:lang w:val="sq-AL" w:eastAsia="sq-AL" w:bidi="sq-AL"/>
              </w:rPr>
              <w:t>Neni 64</w:t>
            </w:r>
          </w:p>
          <w:p w:rsidR="002825C5" w:rsidRPr="002825C5" w:rsidRDefault="002825C5" w:rsidP="00A87413">
            <w:pPr>
              <w:widowControl w:val="0"/>
              <w:snapToGrid w:val="0"/>
              <w:spacing w:after="0" w:line="240" w:lineRule="auto"/>
              <w:rPr>
                <w:rFonts w:ascii="Times New Roman" w:hAnsi="Times New Roman"/>
                <w:sz w:val="18"/>
                <w:szCs w:val="18"/>
                <w:lang w:val="sq-AL" w:eastAsia="sq-AL" w:bidi="sq-AL"/>
              </w:rPr>
            </w:pPr>
            <w:r w:rsidRPr="002825C5">
              <w:rPr>
                <w:rFonts w:ascii="Times New Roman" w:hAnsi="Times New Roman"/>
                <w:sz w:val="18"/>
                <w:szCs w:val="18"/>
                <w:lang w:val="sq-AL" w:eastAsia="sq-AL" w:bidi="sq-AL"/>
              </w:rPr>
              <w:t>Masat administrative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248F9" w:rsidRDefault="00A248F9" w:rsidP="00A87413">
            <w:pPr>
              <w:widowControl w:val="0"/>
              <w:spacing w:after="0" w:line="240" w:lineRule="auto"/>
              <w:rPr>
                <w:rFonts w:ascii="Times New Roman" w:hAnsi="Times New Roman"/>
                <w:sz w:val="18"/>
                <w:szCs w:val="18"/>
                <w:lang w:val="sq-AL" w:eastAsia="sq-AL" w:bidi="sq-AL"/>
              </w:rPr>
            </w:pPr>
            <w:r w:rsidRPr="00A248F9">
              <w:rPr>
                <w:rFonts w:ascii="Times New Roman" w:hAnsi="Times New Roman"/>
                <w:sz w:val="18"/>
                <w:szCs w:val="18"/>
                <w:lang w:val="sq-AL" w:eastAsia="sq-AL" w:bidi="sq-AL"/>
              </w:rPr>
              <w:t>1. Autoritetet mbikëqyrëse kompetente kanë kompetencën të vendosin masa administrative ndaj një subjekti të detyruar, kur konstatojnë: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garanton kompetencën e autoriteteve mbikëqyrëse për aplikimin e masave administrative ndaj subjekteve të detyruara në rast konstatimi të shkeljeve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shkelje të Rregullores (BE) 2024/1624, ose të Rregullores (BE) 2023/1113, qoftë më vete ose në kombinim me sanksionet në formë gjobe për shkelje të rënda, të përsëritura dhe sistematike;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248F9" w:rsidRDefault="00A248F9" w:rsidP="00A87413">
            <w:pPr>
              <w:widowControl w:val="0"/>
              <w:spacing w:after="0" w:line="240" w:lineRule="auto"/>
              <w:rPr>
                <w:rFonts w:ascii="Times New Roman" w:hAnsi="Times New Roman"/>
                <w:bCs/>
                <w:sz w:val="18"/>
                <w:szCs w:val="18"/>
                <w:lang w:val="sq-AL" w:eastAsia="sq-AL" w:bidi="sq-AL"/>
              </w:rPr>
            </w:pPr>
            <w:r w:rsidRPr="00A248F9">
              <w:rPr>
                <w:rFonts w:ascii="Times New Roman" w:hAnsi="Times New Roman"/>
                <w:bCs/>
                <w:sz w:val="18"/>
                <w:szCs w:val="18"/>
                <w:lang w:val="sq-AL" w:eastAsia="sq-AL" w:bidi="sq-AL"/>
              </w:rPr>
              <w:t>a) shkelje të dispozitave të Rregullores (BE) 2024/1624 ose Rregullores (BE) 2023/1113, qoftë në kombinim me gjobë administrative për shkelje serioze, të përsëritura ose sistematike, ose si masa të pavarura.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mundësia e aplikimit të masave administrative ndaj subjekteve të detyruara për shkelje të dispozitave të harmonizuara me Rregulloren (BE) 2024/1624 dhe Rregulloren (BE) 2023/1113, si në kombinim me gjoba për shkelje serioze, të përsëritura ose sistematike, ashtu edhe si masa të pavarura, në përputhje me kërkesat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dobësi në politikat, procedurat dhe kontrollet e brendshme të subjektit të detyruar, të cilat kanë gjasa të rezultojnë në shkelje të kërkesave të përmendura në germën “a”, dhe masat administrative mund të parandalojnë ndodhjen e këtyre shkeljeve ose mund të ulin rrezikun e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mangësi në politikat, procedurat dhe kontrollet e brendshme të subjektit të detyruar, të cilat krijojnë rrezik për  shkelje të kërkesave të përmendura në shkronjën (a), kur aplikimi i masave administrative mund të parandalojë kryerjen e këtyre shkeljeve ose të reduktojë rrezikun e tyre.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mundësia e aplikimit të masave administrative në rast mangësish në politikat, procedurat dhe kontrollet e brendshme të subjekteve të detyruara, kur këto mangësi mund të çojnë në shkelje të detyrimeve në fushën e PPP/FT. Kjo siguron qasje parandaluese dhe të bazuar në rrezik,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 subjekti i detyruar ka politika, procedura dhe kontrolle të brendshme që nuk janë proporcionale me rreziqet e pastrimit të parave, veprave penale bazë të lidhura me të apo financimit të terrorizmit, ndaj të cilave është i ekspozuar subjekti.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politikat, procedurat dhe kontrollet e brendshme të subjektit të detyruar nuk janë në përpjesëtim me rreziqet e pastrimit të produkteve të veprës penale, veprave penale bazë, financimit të terrorizmit apo financimit të përhapjes të armëve të dëmtimit në masë ndaj të cilave subjekti është i ekspozuar.</w:t>
            </w:r>
          </w:p>
        </w:tc>
        <w:tc>
          <w:tcPr>
            <w:tcW w:w="1356" w:type="dxa"/>
            <w:shd w:val="clear" w:color="auto" w:fill="auto"/>
            <w:vAlign w:val="center"/>
          </w:tcPr>
          <w:p w:rsidR="006E5B5B" w:rsidRPr="00F727DA" w:rsidRDefault="007C423D"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Parashikohet mundësia e aplikimit të masave administrative kur politikat, procedurat dhe kontrollet e brendshme të subjektit të detyruar nuk janë në përpjesëtim me rreziqet e PPP/FT ndaj të cilave ai është i ekspozuar. Kjo reflekton qasjen e bazuar në rrezik dhe është në përputhje me kërkesat e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jenë të paktën në gjendje që: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2.Autoritetet mbikëqyrëse kompetente kanë, të paktën, këto kompetenca:</w:t>
            </w:r>
          </w:p>
          <w:p w:rsidR="006E5B5B" w:rsidRPr="00F727DA" w:rsidRDefault="006E5B5B" w:rsidP="00A87413">
            <w:pPr>
              <w:suppressAutoHyphens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7C423D"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garanton kompetencën e autoriteteve mbikëqyrëse për të lëshuar rekomandime ndaj subjekteve të detyruara si pjesë e masave administrative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nxjerrin rekomandime;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të nxjerrin rekomandime;</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7C423D"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586DD2" w:rsidRPr="00F727DA" w:rsidTr="00E24C86">
        <w:trPr>
          <w:trHeight w:val="578"/>
        </w:trPr>
        <w:tc>
          <w:tcPr>
            <w:tcW w:w="900" w:type="dxa"/>
            <w:shd w:val="clear" w:color="auto" w:fill="auto"/>
            <w:vAlign w:val="center"/>
          </w:tcPr>
          <w:p w:rsidR="00586DD2" w:rsidRPr="00F727DA" w:rsidRDefault="00586DD2"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586DD2" w:rsidRPr="00F727DA" w:rsidRDefault="00586DD2"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586DD2" w:rsidRPr="00F727DA" w:rsidRDefault="00586DD2"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86DD2" w:rsidRPr="00F727DA" w:rsidRDefault="00586DD2"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586DD2" w:rsidRPr="00586DD2" w:rsidRDefault="00586DD2" w:rsidP="00A87413">
            <w:pPr>
              <w:suppressAutoHyphens w:val="0"/>
              <w:spacing w:after="0" w:line="240" w:lineRule="auto"/>
              <w:rPr>
                <w:rFonts w:ascii="Times New Roman" w:hAnsi="Times New Roman"/>
                <w:sz w:val="18"/>
                <w:szCs w:val="18"/>
                <w:lang w:val="sq-AL" w:eastAsia="sq-AL" w:bidi="sq-AL"/>
              </w:rPr>
            </w:pPr>
            <w:r w:rsidRPr="00586DD2">
              <w:rPr>
                <w:rFonts w:ascii="Times New Roman" w:hAnsi="Times New Roman"/>
                <w:sz w:val="18"/>
                <w:szCs w:val="18"/>
                <w:lang w:val="sq-AL" w:eastAsia="sq-AL" w:bidi="sq-AL"/>
              </w:rPr>
              <w:t>b) të japin paralajmërime;</w:t>
            </w:r>
          </w:p>
        </w:tc>
        <w:tc>
          <w:tcPr>
            <w:tcW w:w="1356" w:type="dxa"/>
            <w:shd w:val="clear" w:color="auto" w:fill="auto"/>
            <w:vAlign w:val="center"/>
          </w:tcPr>
          <w:p w:rsidR="00586DD2" w:rsidRPr="00F727DA" w:rsidRDefault="00586DD2" w:rsidP="00A8741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rsidR="00586DD2" w:rsidRPr="00F727DA" w:rsidRDefault="00586DD2" w:rsidP="00A87413">
            <w:pPr>
              <w:snapToGrid w:val="0"/>
              <w:spacing w:after="0" w:line="240" w:lineRule="auto"/>
              <w:rPr>
                <w:rFonts w:ascii="Times New Roman" w:hAnsi="Times New Roman"/>
                <w:sz w:val="18"/>
                <w:szCs w:val="18"/>
              </w:rPr>
            </w:pPr>
            <w:r>
              <w:rPr>
                <w:rFonts w:ascii="Times New Roman" w:hAnsi="Times New Roman"/>
                <w:sz w:val="18"/>
                <w:szCs w:val="18"/>
              </w:rPr>
              <w:t>Shtim</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urdhërojnë subjektet e detyruara që të respektojnë dhe të zbatojnë masa korrigjuese specifike;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586DD2"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86DD2" w:rsidRPr="00586DD2" w:rsidRDefault="00586DD2" w:rsidP="00A87413">
            <w:pPr>
              <w:widowControl w:val="0"/>
              <w:spacing w:after="0" w:line="240" w:lineRule="auto"/>
              <w:rPr>
                <w:rFonts w:ascii="Times New Roman" w:hAnsi="Times New Roman"/>
                <w:bCs/>
                <w:sz w:val="18"/>
                <w:szCs w:val="18"/>
                <w:lang w:val="sq-AL" w:eastAsia="sq-AL" w:bidi="sq-AL"/>
              </w:rPr>
            </w:pPr>
            <w:r w:rsidRPr="00586DD2">
              <w:rPr>
                <w:rFonts w:ascii="Times New Roman" w:hAnsi="Times New Roman"/>
                <w:bCs/>
                <w:sz w:val="18"/>
                <w:szCs w:val="18"/>
                <w:lang w:val="sq-AL" w:eastAsia="sq-AL" w:bidi="sq-AL"/>
              </w:rPr>
              <w:t>c) të nxjerrin urdhër që subjekti i detyruar të përmbushë detyrimet ligjore, përfshirë zbatimin e masave të veçanta korrigjuese;</w:t>
            </w:r>
          </w:p>
          <w:p w:rsidR="006E5B5B" w:rsidRPr="00586DD2"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Ligji parashikon kompetencën e autoriteteve mbikëqyrëse për të urdhëruar subjektet e detyruara të sigurojnë përputhshmëri me kërkesat ligjore, duke përfshirë zbatimin e masave korrigjuese specifike, në përputhje me kërkesat e acquis të BE-së në fushën e PPP/FT.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publikojnë një deklaratë publike që identifikon personin fizik ose juridik dhe natyrën e shkeljes;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586DD2" w:rsidRDefault="00586DD2" w:rsidP="00A87413">
            <w:pPr>
              <w:widowControl w:val="0"/>
              <w:spacing w:after="0" w:line="240" w:lineRule="auto"/>
              <w:rPr>
                <w:rFonts w:ascii="Times New Roman" w:hAnsi="Times New Roman"/>
                <w:bCs/>
                <w:sz w:val="18"/>
                <w:szCs w:val="18"/>
                <w:lang w:val="sq-AL" w:eastAsia="sq-AL" w:bidi="sq-AL"/>
              </w:rPr>
            </w:pPr>
            <w:r w:rsidRPr="00586DD2">
              <w:rPr>
                <w:rFonts w:ascii="Times New Roman" w:hAnsi="Times New Roman"/>
                <w:bCs/>
                <w:sz w:val="18"/>
                <w:szCs w:val="18"/>
                <w:lang w:val="sq-AL" w:eastAsia="sq-AL" w:bidi="sq-AL"/>
              </w:rPr>
              <w:t>ç) të nxjerrin urdhër për shpalljen publike të kundërvajtësit dhe natyrës së kundërvajtjes;</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publikuar deklarata publike që identifikojnë subjektin përgjegjës dhe natyrën e shkeljes, duke garantuar transparencë dhe efekt parandalues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nxjerrin një urdhër, përmes të cilit t’i kërkohet personit fizik ose juridik të ndërpresë kryerjen e shkeljes dhe të mos e përsërisë më;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86DD2" w:rsidRPr="00586DD2" w:rsidRDefault="00586DD2" w:rsidP="00A87413">
            <w:pPr>
              <w:widowControl w:val="0"/>
              <w:spacing w:after="0" w:line="240" w:lineRule="auto"/>
              <w:rPr>
                <w:rFonts w:ascii="Times New Roman" w:hAnsi="Times New Roman"/>
                <w:b/>
                <w:sz w:val="18"/>
                <w:szCs w:val="18"/>
                <w:lang w:val="sq-AL" w:eastAsia="sq-AL" w:bidi="sq-AL"/>
              </w:rPr>
            </w:pPr>
            <w:r w:rsidRPr="00586DD2">
              <w:rPr>
                <w:rFonts w:ascii="Times New Roman" w:hAnsi="Times New Roman"/>
                <w:sz w:val="18"/>
                <w:szCs w:val="18"/>
                <w:lang w:val="sq-AL" w:eastAsia="sq-AL" w:bidi="sq-AL"/>
              </w:rPr>
              <w:t xml:space="preserve">d) të nxjerrin urdhër për </w:t>
            </w:r>
            <w:r w:rsidRPr="00586DD2">
              <w:rPr>
                <w:rFonts w:ascii="Times New Roman" w:hAnsi="Times New Roman"/>
                <w:bCs/>
                <w:sz w:val="18"/>
                <w:szCs w:val="18"/>
                <w:lang w:val="sq-AL" w:eastAsia="sq-AL" w:bidi="sq-AL"/>
              </w:rPr>
              <w:t>ndërprerjen e shkeljes dhe ndalimin e përsëritjes së saj</w:t>
            </w:r>
            <w:r w:rsidRPr="00586DD2">
              <w:rPr>
                <w:rFonts w:ascii="Times New Roman" w:hAnsi="Times New Roman"/>
                <w:b/>
                <w:sz w:val="18"/>
                <w:szCs w:val="18"/>
                <w:lang w:val="sq-AL" w:eastAsia="sq-AL" w:bidi="sq-AL"/>
              </w:rPr>
              <w:t>;</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urdhëruar ndërprerjen e sjelljes në shkelje dhe për të ndaluar përsëritjen e saj, duke garantuar efektivitet dhe karakter parandalues të masave administrative në fushën e PPP/FT, në përputhje me acquis të BE-së.</w:t>
            </w:r>
          </w:p>
        </w:tc>
      </w:tr>
      <w:tr w:rsidR="0014791C" w:rsidRPr="00F727DA" w:rsidTr="00E24C86">
        <w:trPr>
          <w:trHeight w:val="578"/>
        </w:trPr>
        <w:tc>
          <w:tcPr>
            <w:tcW w:w="900" w:type="dxa"/>
            <w:shd w:val="clear" w:color="auto" w:fill="auto"/>
            <w:vAlign w:val="center"/>
          </w:tcPr>
          <w:p w:rsidR="0014791C" w:rsidRPr="00F727DA" w:rsidRDefault="0014791C"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14791C" w:rsidRPr="00F727DA" w:rsidRDefault="0014791C"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14791C" w:rsidRPr="00F727DA" w:rsidRDefault="0014791C"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14791C" w:rsidRPr="00F727DA" w:rsidRDefault="0014791C"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14791C" w:rsidRPr="00586DD2" w:rsidRDefault="0014791C" w:rsidP="00A87413">
            <w:pPr>
              <w:widowControl w:val="0"/>
              <w:spacing w:after="0" w:line="240" w:lineRule="auto"/>
              <w:rPr>
                <w:rFonts w:ascii="Times New Roman" w:hAnsi="Times New Roman"/>
                <w:sz w:val="18"/>
                <w:szCs w:val="18"/>
                <w:lang w:val="sq-AL" w:eastAsia="sq-AL" w:bidi="sq-AL"/>
              </w:rPr>
            </w:pPr>
            <w:r w:rsidRPr="0014791C">
              <w:rPr>
                <w:rFonts w:ascii="Times New Roman" w:hAnsi="Times New Roman"/>
                <w:sz w:val="18"/>
                <w:szCs w:val="18"/>
                <w:lang w:val="sq-AL" w:eastAsia="sq-AL" w:bidi="sq-AL"/>
              </w:rPr>
              <w:t xml:space="preserve">e) të nxjerrin urdhër për </w:t>
            </w:r>
            <w:r w:rsidRPr="0014791C">
              <w:rPr>
                <w:rFonts w:ascii="Times New Roman" w:hAnsi="Times New Roman"/>
                <w:bCs/>
                <w:sz w:val="18"/>
                <w:szCs w:val="18"/>
                <w:lang w:val="sq-AL" w:eastAsia="sq-AL" w:bidi="sq-AL"/>
              </w:rPr>
              <w:t>pezullimin e përkohshëm ose zëvendësimin</w:t>
            </w:r>
            <w:r w:rsidRPr="0014791C">
              <w:rPr>
                <w:rFonts w:ascii="Times New Roman" w:hAnsi="Times New Roman"/>
                <w:sz w:val="18"/>
                <w:szCs w:val="18"/>
                <w:lang w:val="sq-AL" w:eastAsia="sq-AL" w:bidi="sq-AL"/>
              </w:rPr>
              <w:t xml:space="preserve"> e drejtuesve të strukturave përgjegjëse për parandalimin e pastrimit të parave dhe financimit të terrorizmit;</w:t>
            </w:r>
          </w:p>
        </w:tc>
        <w:tc>
          <w:tcPr>
            <w:tcW w:w="1356" w:type="dxa"/>
            <w:shd w:val="clear" w:color="auto" w:fill="auto"/>
            <w:vAlign w:val="center"/>
          </w:tcPr>
          <w:p w:rsidR="0014791C" w:rsidRPr="00F727DA" w:rsidRDefault="0014791C"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14791C" w:rsidRPr="00F727DA" w:rsidRDefault="0014791C" w:rsidP="00A8741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AIF</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kufizojnë apo limitojnë veprimtarinë e biznesit, operacionet, ose rrjetin e institucioneve që përbëjnë subjektin e detyruar, apo të kërkojnë heqjen dorë nga veprimtaritë;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F1C72" w:rsidRDefault="006F1C72" w:rsidP="00A87413">
            <w:pPr>
              <w:pStyle w:val="NormalWeb"/>
              <w:spacing w:before="0" w:beforeAutospacing="0" w:after="0" w:afterAutospacing="0"/>
              <w:rPr>
                <w:bCs/>
                <w:sz w:val="18"/>
                <w:szCs w:val="18"/>
                <w:lang w:val="sq-AL" w:eastAsia="sq-AL" w:bidi="sq-AL"/>
              </w:rPr>
            </w:pPr>
            <w:r w:rsidRPr="006F1C72">
              <w:rPr>
                <w:bCs/>
                <w:sz w:val="18"/>
                <w:szCs w:val="18"/>
                <w:lang w:val="sq-AL" w:eastAsia="sq-AL" w:bidi="sq-AL"/>
              </w:rPr>
              <w:t>ë) të nxjerrin urdhër për kufizimin apo pezullimin e ushtrimit të veprimtarisë, operacioneve ose të rrjetit të strukturave që përbëjnë subjektin e detyruar, si dhe për ndërprerjen ose heqjen dorë nga ushtrimi i aktiviteteve të caktuara;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autoriteteve mbikëqyrëse për të kufizuar veprimtarinë ose operacionet e subjektit të detyruar, si dhe për të kërkuar heqjen dorë nga aktivitete të caktuara, duke siguruar masa proporcionale dhe efektive për adresimin e shkeljeve në fushën e PPP/FT, në përputhje me acquis të BE-së.</w:t>
            </w:r>
          </w:p>
        </w:tc>
      </w:tr>
      <w:tr w:rsidR="0014791C" w:rsidRPr="00F727DA" w:rsidTr="00E24C86">
        <w:trPr>
          <w:trHeight w:val="578"/>
        </w:trPr>
        <w:tc>
          <w:tcPr>
            <w:tcW w:w="900" w:type="dxa"/>
            <w:shd w:val="clear" w:color="auto" w:fill="auto"/>
            <w:vAlign w:val="center"/>
          </w:tcPr>
          <w:p w:rsidR="0014791C" w:rsidRPr="00F727DA" w:rsidRDefault="0014791C"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14791C" w:rsidRPr="00F727DA" w:rsidRDefault="0014791C"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14791C" w:rsidRPr="00F727DA" w:rsidRDefault="0014791C"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14791C" w:rsidRPr="00F727DA" w:rsidRDefault="0014791C"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14791C" w:rsidRPr="006F1C72" w:rsidRDefault="0014791C" w:rsidP="00A87413">
            <w:pPr>
              <w:pStyle w:val="NormalWeb"/>
              <w:spacing w:before="0" w:beforeAutospacing="0" w:after="0" w:afterAutospacing="0"/>
              <w:rPr>
                <w:bCs/>
                <w:sz w:val="18"/>
                <w:szCs w:val="18"/>
                <w:lang w:val="sq-AL" w:eastAsia="sq-AL" w:bidi="sq-AL"/>
              </w:rPr>
            </w:pPr>
            <w:r w:rsidRPr="0014791C">
              <w:rPr>
                <w:bCs/>
                <w:sz w:val="18"/>
                <w:szCs w:val="18"/>
                <w:lang w:val="sq-AL" w:eastAsia="sq-AL" w:bidi="sq-AL"/>
              </w:rPr>
              <w:t>f) të nxjerrin urdhër që detyron subjektin të ndalë një sjellje të caktuar, praktikë pune apo biznesi, si dhe të mos e përsërisë në të ardhmen;</w:t>
            </w:r>
          </w:p>
        </w:tc>
        <w:tc>
          <w:tcPr>
            <w:tcW w:w="1356" w:type="dxa"/>
            <w:shd w:val="clear" w:color="auto" w:fill="auto"/>
            <w:vAlign w:val="center"/>
          </w:tcPr>
          <w:p w:rsidR="0014791C" w:rsidRPr="00F727DA" w:rsidRDefault="0014791C"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14791C" w:rsidRPr="00F727DA" w:rsidRDefault="0014791C" w:rsidP="00A8741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AIF</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56(2)(f)</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tërheqin apo pezullojnë autorizimin, në rast se subjekti i detyruar është subjekt autorizimi;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9C7A6C" w:rsidRDefault="009C7A6C" w:rsidP="00A87413">
            <w:pPr>
              <w:widowControl w:val="0"/>
              <w:spacing w:after="0" w:line="240" w:lineRule="auto"/>
              <w:rPr>
                <w:rFonts w:ascii="Times New Roman" w:hAnsi="Times New Roman"/>
                <w:bCs/>
                <w:sz w:val="18"/>
                <w:szCs w:val="18"/>
                <w:lang w:val="sq-AL" w:eastAsia="sq-AL" w:bidi="sq-AL"/>
              </w:rPr>
            </w:pPr>
            <w:r w:rsidRPr="009C7A6C">
              <w:rPr>
                <w:rFonts w:ascii="Times New Roman" w:hAnsi="Times New Roman"/>
                <w:bCs/>
                <w:sz w:val="18"/>
                <w:szCs w:val="18"/>
                <w:lang w:val="sq-AL" w:eastAsia="sq-AL" w:bidi="sq-AL"/>
              </w:rPr>
              <w:t>g) të nxjerrin urdhër për pezullimin apo revokimin e autorizimit e subjektit të detyruar që ushtron veprimtari mbi bazën e një autorizimi;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pezulluar ose revokuar autorizimin e subjektit të detyruar, kur ai ushtron veprimtari mbi bazën e një autorizimi, duke garantuar masa proporcionale dhe efektive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56(2)(g)</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ndryshime në strukturën e qeverisjes.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9C7A6C" w:rsidRPr="009C7A6C" w:rsidRDefault="009C7A6C" w:rsidP="00A87413">
            <w:pPr>
              <w:widowControl w:val="0"/>
              <w:spacing w:after="0" w:line="240" w:lineRule="auto"/>
              <w:rPr>
                <w:rFonts w:ascii="Times New Roman" w:hAnsi="Times New Roman"/>
                <w:bCs/>
                <w:sz w:val="18"/>
                <w:szCs w:val="18"/>
                <w:lang w:val="sq-AL" w:eastAsia="sq-AL" w:bidi="sq-AL"/>
              </w:rPr>
            </w:pPr>
            <w:r w:rsidRPr="009C7A6C">
              <w:rPr>
                <w:rFonts w:ascii="Times New Roman" w:hAnsi="Times New Roman"/>
                <w:bCs/>
                <w:sz w:val="18"/>
                <w:szCs w:val="18"/>
                <w:lang w:val="sq-AL" w:eastAsia="sq-AL" w:bidi="sq-AL"/>
              </w:rPr>
              <w:t>gj) të nxjerrin urdhër për kërkimin e ndryshimeve në organet e administrimit dhe drejtimit, si dhe në sistemin e kontrollit të brendshëm dhe të qeverisjes së subjektit të detyruar.</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kërkuar ndryshime në strukturën drejtuese ose në sistemin e qeverisjes së brendshme të subjektit të detyruar, si masë për adresimin e mangësive në përputhshmërinë me kërkesat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veçanti, shtetet anëtare sigurohen që mbikëqyrësit të jenë në gjendje, me anë të masave administrative të përmendura në paragrafin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D91AB8" w:rsidRDefault="00D91AB8" w:rsidP="00A87413">
            <w:pPr>
              <w:widowControl w:val="0"/>
              <w:spacing w:after="0" w:line="240" w:lineRule="auto"/>
              <w:rPr>
                <w:rFonts w:ascii="Times New Roman" w:hAnsi="Times New Roman"/>
                <w:sz w:val="18"/>
                <w:szCs w:val="18"/>
                <w:lang w:val="sq-AL" w:eastAsia="sq-AL" w:bidi="sq-AL"/>
              </w:rPr>
            </w:pPr>
            <w:r w:rsidRPr="00D91AB8">
              <w:rPr>
                <w:rFonts w:ascii="Times New Roman" w:hAnsi="Times New Roman"/>
                <w:sz w:val="18"/>
                <w:szCs w:val="18"/>
                <w:lang w:val="sq-AL" w:eastAsia="sq-AL" w:bidi="sq-AL"/>
              </w:rPr>
              <w:t>3. Autoritetet mbikëqyrëse kompetente, nëpërmjet masave administrative të parashikuara në pikën 2 të këtij neni, kanë kompetencë, në veçanti, 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siguron që autoritetet mbikëqyrëse të ushtrojnë kompetencat e tyre përmes masave administrative të parashikuara, në mënyrë efektive dhe proporcionale, në përputhje me kërkesat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sigurimin e çdo të dhëne apo informacioni të nevojshëm për përmbushjen e detyrave të tyre në përputhje me këtë kre, pa vonesa të paarsyeshme, të kërkojnë dorëzimin e çdo dokumenti, apo të vendosin kërkesa raportimi shtesë ose më të shpeshta;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D16D12" w:rsidRDefault="00D16D12" w:rsidP="00A87413">
            <w:pPr>
              <w:widowControl w:val="0"/>
              <w:spacing w:after="0" w:line="240" w:lineRule="auto"/>
              <w:rPr>
                <w:rFonts w:ascii="Times New Roman" w:hAnsi="Times New Roman"/>
                <w:bCs/>
                <w:sz w:val="18"/>
                <w:szCs w:val="18"/>
                <w:lang w:val="sq-AL" w:eastAsia="sq-AL" w:bidi="sq-AL"/>
              </w:rPr>
            </w:pPr>
            <w:r w:rsidRPr="00D16D12">
              <w:rPr>
                <w:rFonts w:ascii="Times New Roman" w:hAnsi="Times New Roman"/>
                <w:bCs/>
                <w:sz w:val="18"/>
                <w:szCs w:val="18"/>
                <w:lang w:val="sq-AL" w:eastAsia="sq-AL" w:bidi="sq-AL"/>
              </w:rPr>
              <w:t>a) kërkojnë, pa vonesë të pajustifikuar, vënien në dispozicion të çdo të dhëne apo informacioni të nevojshëm për përmbushjen e detyrave të tyre sipas këtij Seksioni, të kërkojnë paraqitjen e çdo dokumenti, si dhe të vendosin kërkesa shtesë ose më të shpeshta për raportim;</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garanton kompetencën e autoriteteve mbikëqyrëse për të kërkuar informacion dhe dokumentacion të nevojshëm, si dhe për të vendosur kërkesa shtesë ose më të shpeshta raportimi, duke siguruar mbikëqyrje efektive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forcimin e politikave, procedurave dhe kontrolleve të brendshme;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21EFA" w:rsidRDefault="00A21EFA" w:rsidP="00A87413">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b) kërkojnë forcimin e politikave, procedurave dhe kontrolleve të brendshme të subjektit të detyruar;</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kërkuar forcimin e politikave, procedurave dhe kontrolleve të brendshme të subjekteve të detyruara, si masë për garantimin e përputhshmërisë me kërkesat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kërkojnë subjektit të detyruar që të zbatojë një politikë apo kërkesa specifike lidhur me klientët, transaksionet, veprimtaritë ose kanalet e shpërndarjes, apo lidhur me kategoritë e tyre, të cilat paraqesin rreziqe të larta;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21EFA" w:rsidRDefault="00A21EFA" w:rsidP="00A87413">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c) kërkojnë nga subjekti i detyruar të zbatojë politika ose kërkesa të veçanta në lidhje me kategori të caktuara ose klientë individualë, transaksione, aktivitete apo kanale ofrimi që paraqesin rrezik të lartë;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kërkuar zbatimin e politikave ose kërkesave të posaçme për kategori klientësh, transaksionesh, aktivitetesh ose kanalesh ofrimi që paraqesin rrezik të lartë, në përputhje me qasjen e bazuar në rrezik në fushën e PPP/FT dhe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zbatimin e masave për të reduktuar rreziqet e pastrimit të parave apo financimit të terrorizmit që lidhen me veprimtaritë dhe produktet e subjektit të detyruar;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A21EFA" w:rsidRDefault="00A21EFA" w:rsidP="00A87413">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d) kërkojnë zbatimin e masave për reduktimin e rreziqeve të pastrimit të parave ose financimit të terrorizmit që lidhen me aktivitetet dhe produktet e subjektit të detyruar;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autoriteteve mbikëqyrëse për të kërkuar zbatimin e masave për reduktimin e rreziqeve të PPP/FT që burojnë nga aktivitetet dhe produktet e subjektit të detyruar, në përputhje me qasjen e bazuar në rrezik dhe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56(3)(e)</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vendosin një ndalim të përkohshëm nga ushtrimi i funksioneve drejtuese në subjektet e detyruara për çdo person që ushtron përgjegjësi drejtuese në një subjekt të detyruar, ose për çdo person tjetër fizik që është konsideruar përgjegjës për shkeljen;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D63D97" w:rsidRDefault="00D63D97" w:rsidP="00A87413">
            <w:pPr>
              <w:widowControl w:val="0"/>
              <w:spacing w:after="0" w:line="240" w:lineRule="auto"/>
              <w:rPr>
                <w:rFonts w:ascii="Times New Roman" w:hAnsi="Times New Roman"/>
                <w:bCs/>
                <w:sz w:val="18"/>
                <w:szCs w:val="18"/>
                <w:lang w:val="sq-AL" w:eastAsia="sq-AL" w:bidi="sq-AL"/>
              </w:rPr>
            </w:pPr>
            <w:r w:rsidRPr="00D63D97">
              <w:rPr>
                <w:rFonts w:ascii="Times New Roman" w:hAnsi="Times New Roman"/>
                <w:bCs/>
                <w:sz w:val="18"/>
                <w:szCs w:val="18"/>
                <w:lang w:val="sq-AL" w:eastAsia="sq-AL" w:bidi="sq-AL"/>
              </w:rPr>
              <w:t>e) vendosin ndalim të përkohshëm ndaj çdo personi që ushtron funksione të drejtimit të lartë në një subjekt të detyruar, si dhe ndaj çdo personi tjetër fizik që është mbajtur/ konsideruar përgjegjës për shkeljen, për të ushtruar funksione drejtuese në subjekte të detyruara.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mundësinë e vendosjes së ndalimit të përkohshëm për ushtrimin e funksioneve drejtuese ndaj personave të drejtimit të lartë ose personave fizikë të mbajtur përgjegjës për shkelje, duke garantuar efekt parandalues dhe proporcional në fushën e PPP/FT,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administrative të përmendura në paragrafin 2 shoqërohen, sipas rastit, nga afate shtrënguese për zbatimin e tyre. Shtetet anëtare sigurohen që mbikëqyrësit të ndjekin dhe të vlerësojnë zbatimin e masave të kërkuara nga subjekti i detyruar.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0E2D5E" w:rsidRPr="000E2D5E" w:rsidRDefault="000E2D5E" w:rsidP="00A87413">
            <w:pPr>
              <w:suppressAutoHyphens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4. Masat administrative të parashikuara në pikën 2 të këtij neni, përfshirë kërkesat sipas pikës 3, shkronjat “a”–“e”, shoqërohen, kur është e nevojshme, me afate detyruese zbatimi, të përcaktuara në aktet administrative përkatëse që u komunikohen subjekteve të detyruara. Subjektet e detyruara janë të detyruara t’i zbatojnë këto masa brenda afateve të përcaktuara.</w:t>
            </w:r>
          </w:p>
          <w:p w:rsidR="006E5B5B" w:rsidRPr="000E2D5E" w:rsidRDefault="000E2D5E" w:rsidP="00A87413">
            <w:pPr>
              <w:suppressAutoHyphens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Autoritetet mbikëqyrëse kompetente ndjekin dhe vlerësojnë zbatimin nga subjekti i detyruar të masave dhe veprimeve të kërkuara.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që masat administrative të shoqërohen me afate detyruese dhe që autoritetet mbikëqyrëse të monitorojnë dhe vlerësojnë zbatimin e tyre nga subjektet e detyruara. Kjo garanton efektivitet dhe ndjekje të vazhdueshme të masave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mbikëqyrësit që të zbatojnë lloje të tjera të masave administrative, krahas atyre të përmendura në paragrafin 2.</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0E2D5E" w:rsidRDefault="000E2D5E" w:rsidP="00A87413">
            <w:pPr>
              <w:widowControl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5. Autoritetet mbikëqyrëse kompetente mund të vendosin edhe lloje të tjera masash administrative, përveç atyre të parashikuara në pikën 2 të këtij neni, në përputhje me legjislacionin në fuqi.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sz w:val="18"/>
                <w:szCs w:val="18"/>
              </w:rPr>
              <w:t>Neni 56(5) i Direktivës (BE) 2024/1640 ka natyrë fakultative dhe u jep shteteve anëtare mundësinë të autorizojnë mbikëqyrësit për të zbatuar masa administrative shtesë përtej atyre minimale të përcaktuara në nenin 56(2). Kuadri ligjor shqiptar nuk përmban ndalime në këtë drejtim dhe u njeh mbikëqyrësve kompetenca të gjera për vendosjen e masave administrative në përputhje me legjislacionin sektorial. Për rrjedhojë, neni konsiderohet i përmbushur.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57</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Pagesa periodike e gjobave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në rastet kur subjektet e detyruara, nuk përmbushin masat administrative të aplikuara nga mbikëqyrësi në përputhje me nenin 56, paragrafi 2, germat “b”, “d”, “e” dhe “g”, brenda afateve të zbatueshme, mbikëqyrësit të mund të vendosin sanksione financiare periodike për të nxitur përmbushjen e masave administrative në fjalë.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7837EF" w:rsidRPr="007837EF" w:rsidRDefault="007837EF" w:rsidP="00A87413">
            <w:pPr>
              <w:pStyle w:val="NormalWeb"/>
              <w:spacing w:before="0" w:beforeAutospacing="0" w:after="0" w:afterAutospacing="0"/>
              <w:rPr>
                <w:sz w:val="18"/>
                <w:szCs w:val="18"/>
                <w:lang w:val="sq-AL" w:eastAsia="sq-AL" w:bidi="sq-AL"/>
              </w:rPr>
            </w:pPr>
            <w:r w:rsidRPr="007837EF">
              <w:rPr>
                <w:sz w:val="18"/>
                <w:szCs w:val="18"/>
                <w:lang w:val="sq-AL" w:eastAsia="sq-AL" w:bidi="sq-AL"/>
              </w:rPr>
              <w:t>Neni 65</w:t>
            </w:r>
          </w:p>
          <w:p w:rsidR="007837EF" w:rsidRPr="007837EF" w:rsidRDefault="007837EF" w:rsidP="00A87413">
            <w:pPr>
              <w:pStyle w:val="NormalWeb"/>
              <w:spacing w:before="0" w:beforeAutospacing="0" w:after="0" w:afterAutospacing="0"/>
              <w:rPr>
                <w:sz w:val="18"/>
                <w:szCs w:val="18"/>
                <w:lang w:val="sq-AL" w:eastAsia="sq-AL" w:bidi="sq-AL"/>
              </w:rPr>
            </w:pPr>
            <w:r w:rsidRPr="007837EF">
              <w:rPr>
                <w:sz w:val="18"/>
                <w:szCs w:val="18"/>
                <w:lang w:val="sq-AL" w:eastAsia="sq-AL" w:bidi="sq-AL"/>
              </w:rPr>
              <w:t>Pagesat periodike me karakter ndëshkues/ Gjobat periodike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7837EF" w:rsidRDefault="007837EF" w:rsidP="00A87413">
            <w:pPr>
              <w:widowControl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1. Kur subjekti i detyruar nuk përmbush, brenda afateve të përcaktuara, masat administrative të vendosura nga autoriteti mbikëqyrës në përputhje me nenin 64, pika 2, shkronjat (b), (d), (e) dhe (g), autoriteti mbikëqyrës kompetent ka kompetencën të vendosë gjoba periodike me qëllim detyrimin e subjektit për zbatimin e këtyre masave.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vendosjes së gjobave periodike në rast moszbatimi të masave administrative brenda afateve të caktuara, me qëllim garantimin e përputhshmërisë efektive. Nëse parashikohet në legjislacionin kombëtar, kjo dispozitë siguron mekanizëm detyrues dhe proporcional në fushën e PPP/FT,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Sanksionet financiare periodike duhet të jenë efektive dhe proporcionale. Sanksionet financiare periodike mbeten në fuqi deri në momentin që subjekti i detyruar apo personi në fjalë përmbush masat përkatëse administrative.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7837EF" w:rsidRDefault="007837EF" w:rsidP="00A87413">
            <w:pPr>
              <w:widowControl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2. Gjobat periodike vendosen për çdo ditë vonese pas përfundimit të afatit të përcaktuar dhe vazhdojnë të aplikohen deri në momentin e përmbushjes së detyrimit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parashikon mekanizmin e gjobave periodike si mjet detyrues për sigurimin e përputhshmërisë me masat administrative. Parimi i efektivitetit dhe proporcionalitetit është reflektuar në përputhje me kërkesat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Pavarësisht paragrafit 2, në rastin e personave juridikë, shuma e sanksioneve financiare periodike nuk tejkalon 3% të xhiros së tyre mesatare ditore për vitin ushtrimor pararendës ose, në rastin e personave fizikë, shuma nuk tejkalon 2% të të ardhurave të tyre mesatare ditore për vitin ushtrimor pararendës.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p>
        </w:tc>
        <w:tc>
          <w:tcPr>
            <w:tcW w:w="2064" w:type="dxa"/>
            <w:shd w:val="clear" w:color="auto" w:fill="auto"/>
            <w:vAlign w:val="center"/>
          </w:tcPr>
          <w:p w:rsidR="007837EF" w:rsidRPr="007837EF" w:rsidRDefault="007837EF" w:rsidP="00A87413">
            <w:pPr>
              <w:suppressAutoHyphens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3. Pavarësisht nga pika 2 e këtij neni, në rastin e personave juridikë, shuma e gjobës periodike nuk mund të kalojë 3 % të qarkullimit mesatar ditor të realizuar gjatë vitit financiar paraardhës.</w:t>
            </w:r>
          </w:p>
          <w:p w:rsidR="006E5B5B" w:rsidRPr="007837EF" w:rsidRDefault="007837EF" w:rsidP="00A87413">
            <w:pPr>
              <w:suppressAutoHyphens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Në rastin e personave fizikë, shuma e gjobës periodike nuk mund të kalojë 2 % të të ardhurave mesatare ditore të realizuara gjatë vitit kalendarik paraardhës.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Parashikohen kufij maksimalë të qartë për personat juridikë dhe fizikë, duke garantuar proporcionalitetin e masës dhe përputhshmërinë me kërkesat e acquis të BE-së në fushën e PPP/FT.</w:t>
            </w:r>
          </w:p>
          <w:p w:rsidR="006E5B5B" w:rsidRPr="00F727DA" w:rsidRDefault="006E5B5B" w:rsidP="00A87413">
            <w:pPr>
              <w:pStyle w:val="NormalWeb"/>
              <w:spacing w:before="0" w:beforeAutospacing="0" w:after="0" w:afterAutospacing="0"/>
              <w:rPr>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Sanksionet financiare periodike vendosen vetëm për një periudhë jo më të gjatë se 6 muaj nga momenti i vendimit të mbikëqyrësit. Në rastet kur, pas përfundimit të kësaj periudhe, subjekti i detyruar nuk ka përmbushur ende masën administrative, shtetet anëtare sigurohen që mbikëqyrësit të mund të vendosin sanksione financiare periodike për një periudhë shtesë prej jo më shumë se 6 muaj.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p>
        </w:tc>
        <w:tc>
          <w:tcPr>
            <w:tcW w:w="2064" w:type="dxa"/>
            <w:shd w:val="clear" w:color="auto" w:fill="auto"/>
            <w:vAlign w:val="center"/>
          </w:tcPr>
          <w:p w:rsidR="00B90200" w:rsidRPr="00B90200" w:rsidRDefault="00B90200" w:rsidP="00A8741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4. Gjobat periodike vendosen për një periudhë jo më të gjatë se 6 muaj nga data e vendimit të autoritetit mbikëqyrës.</w:t>
            </w:r>
          </w:p>
          <w:p w:rsidR="006E5B5B" w:rsidRPr="00B90200" w:rsidRDefault="00B90200" w:rsidP="00A8741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Nëse, me përfundimin e kësaj periudhe, subjekti i detyruar nuk ka përmbushur ende masën administrative përkatëse, autoriteti mbikëqyrës ka kompetencën të vendosë gjoba periodike për një periudhë shtesë jo më të gjatë se 6 muaj.</w:t>
            </w:r>
          </w:p>
        </w:tc>
        <w:tc>
          <w:tcPr>
            <w:tcW w:w="1356" w:type="dxa"/>
            <w:shd w:val="clear" w:color="auto" w:fill="auto"/>
            <w:vAlign w:val="center"/>
          </w:tcPr>
          <w:p w:rsidR="006E5B5B" w:rsidRPr="00F727DA" w:rsidRDefault="006E5B5B" w:rsidP="00A87413">
            <w:pPr>
              <w:suppressAutoHyphens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plotësisht kërkesat e nenit 57(4) të Direktivës, duke parashikuar kufizim të qartë kohor për aplikimin e gjobave periodike (deri në 6 muaj), si dhe mundësinë e vendosjes së tyre për një periudhë shtesë deri në 6 muaj në rast mospërmbushjeje të masës administrative.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Ky kufizim kohor garanton proporcionalitetin dhe sigurinë juridike të mekanizmit detyrues, duke siguruar njëkohësisht efektivitetin e masave administrative dhe përputhshmërinë me kërkesat e acquis të BE-së në fushën e PPP/FT.</w:t>
            </w:r>
          </w:p>
          <w:p w:rsidR="006E5B5B" w:rsidRPr="00F727DA" w:rsidRDefault="006E5B5B" w:rsidP="00A87413">
            <w:pPr>
              <w:suppressAutoHyphens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vendimi për vendosjen e sanksioneve financiare periodike të mund të merret duke filluar nga data e zbatimit të masës administrative.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Sanksioni financiar periodik hyn në fuqi duke filluar nga data e marrjes së vendimit në fjalë.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B90200" w:rsidRPr="00B90200" w:rsidRDefault="00B90200" w:rsidP="00A8741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5. Vendimi për vendosjen e gjobës periodike mund të merret njëkohësisht me vendimin për aplikimin e masës administrative përkatëse.</w:t>
            </w:r>
          </w:p>
          <w:p w:rsidR="006E5B5B" w:rsidRPr="00B90200" w:rsidRDefault="00B90200" w:rsidP="00A8741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Gjobat periodike fillojnë të aplikohen nga data e përcaktuar në vendim dhe jo më herët se përfundimi i afatit të vendosur për përmbushjen e masës administrative.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kërkesën e Direktivës, duke siguruar që vendimi për vendosjen e gjobës periodike mund të merret menjëherë pas aplikimit të masës administrative dhe që efekti i saj fillon nga data e vendimit. Kjo garanton efektivitet dhe zbatim të menjëhershëm të mekanizmit detyrues, në përputhje me kërkesat e acquis të BE-së në fushën e PPP/FT.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58</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Publikimi i sanksioneve financiare, masave administrative dhe pagesave periodike të gjobave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të publikojnë në faqen e tyre të internetit, në një format të aksesueshëm, vendimet për vendosjen e sanksioneve në formë gjobe, për zbatimin e masave administrative të përmendura në nenin 56, paragrafi 2, germat “c” deri në “g”, në përputhje me neni 56, paragrafi 1, germa “a”, ose për vendosjen e sanksioneve financiare periodike.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761BBB" w:rsidRPr="00761BBB" w:rsidRDefault="00761BBB" w:rsidP="00A87413">
            <w:pPr>
              <w:pStyle w:val="Heading3"/>
              <w:spacing w:before="0"/>
              <w:rPr>
                <w:rFonts w:ascii="Times New Roman" w:hAnsi="Times New Roman"/>
                <w:color w:val="auto"/>
                <w:sz w:val="18"/>
                <w:szCs w:val="18"/>
                <w:lang w:val="sq-AL" w:eastAsia="sq-AL" w:bidi="sq-AL"/>
              </w:rPr>
            </w:pPr>
            <w:r w:rsidRPr="00761BBB">
              <w:rPr>
                <w:rFonts w:ascii="Times New Roman" w:hAnsi="Times New Roman"/>
                <w:color w:val="auto"/>
                <w:sz w:val="18"/>
                <w:szCs w:val="18"/>
                <w:lang w:val="sq-AL" w:eastAsia="sq-AL" w:bidi="sq-AL"/>
              </w:rPr>
              <w:t>Neni 66</w:t>
            </w:r>
          </w:p>
          <w:p w:rsidR="00761BBB" w:rsidRPr="00761BBB" w:rsidRDefault="00761BBB" w:rsidP="00A87413">
            <w:pPr>
              <w:pStyle w:val="Heading3"/>
              <w:spacing w:before="0"/>
              <w:rPr>
                <w:rFonts w:ascii="Times New Roman" w:hAnsi="Times New Roman"/>
                <w:color w:val="auto"/>
                <w:sz w:val="18"/>
                <w:szCs w:val="18"/>
                <w:lang w:val="sq-AL" w:eastAsia="sq-AL" w:bidi="sq-AL"/>
              </w:rPr>
            </w:pPr>
            <w:r w:rsidRPr="00761BBB">
              <w:rPr>
                <w:rFonts w:ascii="Times New Roman" w:hAnsi="Times New Roman"/>
                <w:color w:val="auto"/>
                <w:sz w:val="18"/>
                <w:szCs w:val="18"/>
                <w:lang w:val="sq-AL" w:eastAsia="sq-AL" w:bidi="sq-AL"/>
              </w:rPr>
              <w:t>Publikimi i gjobave dhe masave administrative dhe gjobave periodike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58065C" w:rsidRDefault="0058065C" w:rsidP="00A87413">
            <w:pPr>
              <w:widowControl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1. Autoritetet mbikëqyrëse publikojnë në faqen e tyre zyrtare të internetit, në një format të aksesueshëm për publikun, vendimet për vendosjen e gjobave, për aplikimin e masave administrative të parashikuara në nenin 64, pika 2, shkronjat (c) deri në (g), si dhe për vendosjen e gjobave periodike, të marra në përputhje me nenin 64, pika 1, shkronja (a).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publikimin e vendimeve sanksionuese nga autoritetet mbikëqyrëse, duke garantuar transparencë dhe efekt parandalues në fushën e PPP/FT. Parashikohet publikimi në faqen zyrtare të internetit në format të aksesueshëm, në përputhje me kërkesat e Direktivës. Dispozita kontribuon në forcimin e efektivitetit dhe disuasivitetit të sistemit sanksionues,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vendimet e përmendura në paragrafin 1 të publikohen nga mbikëqyrësi menjëherë pasi personat përgjegjës për shkeljen të informohen rreth këtyre vendimeve.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parë, në rast se publikimi lidhet me masa administrative kundër të cilave ka një ankimim dhe të cilat nuk synojnë të korrigjojnë shkelje të rënda, të përsëritura dhe sistematike, shtetet anëtare mund të lejojnë që publikimi i këtyre masave administrative të shtyhet deri në skadimin e afatit për depozitimin e një ankimimi.</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se publikimi u referohet vendimeve kundër të cilëve ka një ankimim, mbikëqyrësit publikojnë gjithashtu, menjëherë, në faqen e tyre të internetit, këtë informacion dhe çdo informacion tjetër të mëvonshëm rreth ankimimit dhe rezultatit të tij. Gjithashtu, publikohet çdo vendim që anulon një vendim të mëparshëm për vendosjen e një sanksioni në formë gjobe, zbatimin e një mase administrative, ose vendosjen e një sanksioni financiar periodik.</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8065C" w:rsidRPr="0058065C" w:rsidRDefault="0058065C" w:rsidP="00A8741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2. Vendimet e parashikuara në pikën 1 të këtij neni publikohen nga autoriteti mbikëqyrës menjëherë pasi personat përgjegjës janë njoftuar në lidhje me vendimmarrjen e autoriteteve mbikëqyrëse kompetente.</w:t>
            </w:r>
          </w:p>
          <w:p w:rsidR="0058065C" w:rsidRPr="0058065C" w:rsidRDefault="0058065C" w:rsidP="00A8741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Përjashtimisht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rsidR="0058065C" w:rsidRPr="0058065C" w:rsidRDefault="0058065C" w:rsidP="00A8741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 xml:space="preserve">Kur publikimi i referohet vendimeve ndaj të cilave është paraqitur ankim, autoriteti mbikëqyrës publikon menjëherë në faqen e tij zyrtare informacion mbi ankimin dhe çdo informacion të mëvonshëm lidhur me të, si dhe rezultatin përfundimtar të tij. </w:t>
            </w:r>
          </w:p>
          <w:p w:rsidR="006E5B5B" w:rsidRPr="0058065C" w:rsidRDefault="0058065C" w:rsidP="00A8741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Gjithashtu pjesë e publikimit është edhe çdo vendim që shfuqizon një vendim të mëparshëm për vendosjen e gjobës administrative, aplikimin e masës administrative ose vendosjen e gjobës periodike.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kërkesat e Direktivës lidhur me kohën dhe kushtet e publikimit të vendimeve sanksionuese. Parashikohet publikimi i menjëhershëm pas njoftimit të personave përgjegjës, si dhe mundësia e shtyrjes së publikimit për masa administrative jo të lidhura me shkelje serioze, të përsëritura ose sistematike, deri në përfundimin e afatit të ankimit. Gjithashtu, sigurohet transparencë e plotë për procesin e ankimit dhe për çdo vendim shfuqizues, duke garantuar proporcionalitet, siguri juridike dhe përputhshmëri me standardet e acquis të BE-së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Publikimi përfshin të paktën informacion mbi llojin dhe natyrën e shkeljes, si dhe mbi identitetin e personave përgjegjës, dhe në rastin e sanksioneve në formë gjobe dhe sanksioneve financiare periodike, mbi shumat e tyre. Shtetet anëtare nuk janë të detyruara që ta zbatojnë këtë nënparagraf për vendimet që zbatojnë masa administrative të cilat kanë natyrë hetimore, ose të cilat janë marrë në përputhje me nenin 56, paragrafi 2, germat “a”, dhe “c”.</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se publikimi i identitetit të personave përgjegjës, siç përmendet në nënparagrafin e parë, ose i të dhënave personale të këtyre personave, konsiderohet nga mbikëqyrësit, pas kryerjes së një vlerësimi rast pas rasti, se është joproporcional, ose kur publikimi vë në rrezik stabilitetin e tregjeve financiare ose një hetim në proces, mbikëqyrësit: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3. Në publikimin e vendimeve përfshihet, të paktën:</w:t>
            </w:r>
          </w:p>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 xml:space="preserve">a) informacioni mbi llojin dhe natyrën e shkeljes; </w:t>
            </w:r>
          </w:p>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 xml:space="preserve">b) identiteti i personave përgjegjës; </w:t>
            </w:r>
          </w:p>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c) në rastin e gjobave dhe gjobave periodike, përfshihen shuma e tyre.</w:t>
            </w:r>
          </w:p>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Autoritetet mbikëqyrëse nuk janë të detyruara të zbatojnë paragrafin e parë për vendimmarrjet që parashikojnë masa administrative me karakter të marrjes së informacionit  analizues në kuadër të procedurave mbikëqyrëse apo për vendimet e marra në përputhje me nenin 64, pika 2, shkronjat (a) dhe (c).</w:t>
            </w:r>
          </w:p>
          <w:p w:rsidR="006E5B5B"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Kur publikimi i identitetit të personave përgjegjës ose i të dhënave personale të tyre vlerësohet nga autoriteti mbikëqyrës, pas një vlerësimi rast pas rasti, si jo proporcional, ose kur publikimi rrezikon stabilitetin e tregjeve financiare apo një hetim në vijim, autoriteti mbikëqyrës: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kërkesat e Direktivës mbi përmbajtjen minimale të publikimit të vendimeve sanksionuese dhe parashikon përjashtime për masa me natyrë hetimore ose për rekomandime dhe deklarata publike. Gjithashtu, sigurohet mekanizëm vlerësimi rast pas rasti për të shmangur publikimin joproporcional të të dhënave personale ose kur publikimi mund të rrezikojë stabilitetin e tregjeve financiare apo hetime në vijim, në përputhje me parimet e proporcionalitetit dhe mbrojtjes së të dhënave sipas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vonojnë publikimin e vendimit deri në momentin kur nuk ekzistojnë më arsyet për mospublikimin e tij;</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shtyn publikimin e vendimit deri në momentin kur pushojnë së ekzistuari arsyet që justifikojnë mos-publikimin e tij;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shtyrjes së publikimit të vendimit kur ekzistojnë arsye të ligjshme që e bëjnë publikimin joproporcional ose të dëmshëm (p.sh. për stabilitetin e tregjeve financiare ose për një hetim në vijim). Kjo siguron balancë ndërmjet transparencës dhe proporcionalitetit, në përputhje me kërkesat e Direktivës dhe parimet e mbrojtjes së të dhënave.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publikojnë vendimin në formë anonime dhe në përputhje me legjislacionin e brendshëm, nëse një publikim i tillë anonim siguron mbrojtje efektive të të dhënave personale në fjalë; në këtë rast, publikimi i të dhënave përkatëse mund të shtyhet për një periudhë të arsyeshme kohore nëse parashikohet që brenda kësaj periudhe nuk do të ekzistojnë më arsyet për publikimin në formë anonime;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publikojë vendimin në mënyrë anonime, në përputhje me ligjin e fushës në fuqi, nëse një publikim i tillë siguron mbrojtjen efektive të të dhënave personale përkatëse; në këtë rast, publikimi i të dhënave përkatëse mund të shtyhet për një periudhë të arsyeshme, nëse parashikohet që brenda kësaj periudhe të pushojnë së ekzistuari arsyet që justifikojnë publikimin në mënyrë anonime;</w:t>
            </w:r>
          </w:p>
        </w:tc>
        <w:tc>
          <w:tcPr>
            <w:tcW w:w="1356" w:type="dxa"/>
            <w:shd w:val="clear" w:color="auto" w:fill="auto"/>
            <w:vAlign w:val="center"/>
          </w:tcPr>
          <w:p w:rsidR="006E5B5B" w:rsidRPr="00F727DA" w:rsidRDefault="006E5B5B" w:rsidP="00A87413">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publikimit anonim të vendimeve, kur kjo është e nevojshme për mbrojtjen efektive të të dhënave personale, në përputhje me legjislacionin kombëtar për mbrojtjen e të dhënave. Gjithashtu, lejon shtyrjen e publikimit për një periudhë të arsyeshme në rast se arsyet për anonimizim pritet të pushojnë. Kjo garanton balancë ndërmjet transparencës dhe mbrojtjes së të dhënave personale, në përputhje me kërkesat 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e publikojnë vendimin në rast se opsionet e përcaktuara në germat “a” dhe “b” konsiderohen të pamjaftueshme për të garantuar një nga pikat në vijim: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të mos publikojë fare vendimin, kur vlerësohet se masat e parashikuara në </w:t>
            </w:r>
            <w:r w:rsidRPr="00F727DA">
              <w:rPr>
                <w:rFonts w:ascii="Times New Roman" w:hAnsi="Times New Roman"/>
                <w:sz w:val="18"/>
                <w:szCs w:val="18"/>
                <w:highlight w:val="yellow"/>
                <w:lang w:eastAsia="sq-AL" w:bidi="sq-AL"/>
              </w:rPr>
              <w:t>shkronjat (a) dhe (b)</w:t>
            </w:r>
            <w:r w:rsidRPr="00F727DA">
              <w:rPr>
                <w:rFonts w:ascii="Times New Roman" w:hAnsi="Times New Roman"/>
                <w:sz w:val="18"/>
                <w:szCs w:val="18"/>
                <w:lang w:eastAsia="sq-AL" w:bidi="sq-AL"/>
              </w:rPr>
              <w:t xml:space="preserve"> nuk janë të mjaftueshme për të garantuar njërin nga kushtet e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mos-publikimit të vendimit si masë e fundit, kur shtyrja e publikimit ose publikimi anonim nuk janë të mjaftueshme për të garantuar mbrojtjen e interesave të mbrojtura nga ligji (si proporcionaliteti, stabiliteti financiar apo mbrojtja e hetimeve në vijim). Kjo siguron një mekanizëm të balancuar ndërmjet transparencës dhe interesave publikë thelbësorë, në përputhje me kërkesat e Direktivës dhe parimet e proporcionalitetit.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58(3)(c)(i)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mosvënien në rrezik të stabilitetit së tregjeve financiare;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(i)</w:t>
            </w:r>
            <w:r w:rsidRPr="00F727DA">
              <w:rPr>
                <w:rFonts w:ascii="Times New Roman" w:hAnsi="Times New Roman"/>
                <w:sz w:val="18"/>
                <w:szCs w:val="18"/>
                <w:lang w:eastAsia="sq-AL" w:bidi="sq-AL"/>
              </w:rPr>
              <w:t xml:space="preserve"> që stabiliteti i tregjeve financiare të mos vihet në rrezik;</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si kusht për mos-publikimin e vendimit garantimin që stabiliteti i tregjeve financiare të mos vihet në rrezik. Kjo siguron balancë ndërmjet transparencës së vendimeve sanksionuese dhe mbrojtjes së stabilitetit financiar, në përputhje me kërkesat e Direktivës dhe me parimet e proporcionalitetit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58(3)(c)(ii)</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proporcionalitetin e publikimit të atij vendimi, në lidhje me sanksionet në formë gjobe dhe masat administrative për shkeljet që konsiderohen të papërfillshme.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(ii)</w:t>
            </w:r>
            <w:r w:rsidRPr="00F727DA">
              <w:rPr>
                <w:rFonts w:ascii="Times New Roman" w:hAnsi="Times New Roman"/>
                <w:sz w:val="18"/>
                <w:szCs w:val="18"/>
                <w:lang w:eastAsia="sq-AL" w:bidi="sq-AL"/>
              </w:rPr>
              <w:t xml:space="preserve"> të garantohet proporcionaliteti i publikimit të vendimit në raport me gjobat ose masat administrative të vendosura për shkelje të vlerësuara si të natyrës së lehtë.</w:t>
            </w:r>
          </w:p>
          <w:p w:rsidR="006E5B5B" w:rsidRPr="00F727DA" w:rsidRDefault="006E5B5B" w:rsidP="00A87413">
            <w:pPr>
              <w:widowControl w:val="0"/>
              <w:spacing w:after="0" w:line="240" w:lineRule="auto"/>
              <w:rPr>
                <w:rFonts w:ascii="Times New Roman" w:hAnsi="Times New Roman"/>
                <w:sz w:val="18"/>
                <w:szCs w:val="18"/>
                <w:lang w:eastAsia="sq-AL" w:bidi="sq-AL"/>
              </w:rPr>
            </w:pP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Vlerësimi i proporcionalitetit bëhet rast pas rasti dhe arsyetohet në vendimin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kërkesën e Direktivës për të garantuar proporcionalitetin e publikimit në rastet e shkeljeve të natyrës së lehtë. Parashikimi i këtij kriteri siguron balancë ndërmjet transparencës dhe mbrojtjes nga pasoja joproporcionale për subjektet e përfshira, në përputhje me parimin e proporcionalitetit dhe standardet e acquis të BE-së në fushën e PPP/FT.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çdo publikim në përputhje me këtë nen të mbetet në faqen e internetit të mbikëqyrësve për një periudhë prej 5 vitesh pas momentit të publikimit. Megjithatë, të dhënat personale të përfshira në publikim ruhen në faqen e internetit të mbikëqyrësve vetëm për periudhën që konsiderohet e nevojshme në përputhje me rregullat e zbatueshme për mbrojtjen e të dhënave dhe në çdo rast, jo më tepër se për 5 vite.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454F4"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4.  Publikimet e bëra në përputhje me këtë nen qëndrojnë në faqen zyrtare të autoritetit mbikëqyrës për një periudhë prej 5 vitesh nga data e publikimit.</w:t>
            </w:r>
          </w:p>
          <w:p w:rsidR="006E5B5B" w:rsidRPr="004454F4" w:rsidRDefault="004454F4" w:rsidP="00A8741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Të dhënat personale të përfshira në publikim ruhen në faqen zyrtare vetëm për aq kohë sa është e nevojshme në përputhje me legjislacionin në fuqi për mbrojtjen e të dhënave personale dhe, në çdo rast, jo më shumë se 5 vjet.</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kërkesat e Direktivës për kohëzgjatjen e publikimit të vendimeve sanksionuese, duke parashikuar afatin maksimal 5-vjeçar. Gjithashtu, sigurohet përputhshmëria me legjislacionin për mbrojtjen e të dhënave personale, duke kufizuar ruajtjen e të dhënave personale në përputhje me parimin e nevojshmërisë dhe proporcionalitetit. Kjo garanton balancë ndërmjet transparencës dhe mbrojtjes së të drejtave themelore,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E845C6" w:rsidRPr="00E845C6" w:rsidRDefault="00E845C6" w:rsidP="00A87413">
            <w:pPr>
              <w:widowControl w:val="0"/>
              <w:snapToGrid w:val="0"/>
              <w:spacing w:after="0" w:line="240" w:lineRule="auto"/>
              <w:rPr>
                <w:rFonts w:ascii="Times New Roman" w:hAnsi="Times New Roman"/>
                <w:sz w:val="18"/>
                <w:szCs w:val="18"/>
                <w:lang w:val="sq-AL" w:eastAsia="sq-AL" w:bidi="sq-AL"/>
              </w:rPr>
            </w:pPr>
            <w:r w:rsidRPr="00E845C6">
              <w:rPr>
                <w:rFonts w:ascii="Times New Roman" w:hAnsi="Times New Roman"/>
                <w:sz w:val="18"/>
                <w:szCs w:val="18"/>
                <w:lang w:val="sq-AL" w:eastAsia="sq-AL" w:bidi="sq-AL"/>
              </w:rPr>
              <w:t>Neni 67</w:t>
            </w:r>
          </w:p>
          <w:p w:rsidR="00E845C6" w:rsidRPr="00E845C6" w:rsidRDefault="00E845C6" w:rsidP="00A87413">
            <w:pPr>
              <w:widowControl w:val="0"/>
              <w:snapToGrid w:val="0"/>
              <w:spacing w:after="0" w:line="240" w:lineRule="auto"/>
              <w:rPr>
                <w:rFonts w:ascii="Times New Roman" w:hAnsi="Times New Roman"/>
                <w:sz w:val="18"/>
                <w:szCs w:val="18"/>
                <w:lang w:val="sq-AL" w:eastAsia="sq-AL" w:bidi="sq-AL"/>
              </w:rPr>
            </w:pPr>
            <w:r w:rsidRPr="00E845C6">
              <w:rPr>
                <w:rFonts w:ascii="Times New Roman" w:hAnsi="Times New Roman"/>
                <w:sz w:val="18"/>
                <w:szCs w:val="18"/>
                <w:lang w:val="sq-AL" w:eastAsia="sq-AL" w:bidi="sq-AL"/>
              </w:rPr>
              <w:t>Kompetencat e autoriteteve mbikëqyrëse për vendosjen dhe ekzekutimin e masave administrative dhe gjobave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p>
          <w:p w:rsidR="006E5B5B" w:rsidRPr="00F727DA" w:rsidRDefault="006E5B5B" w:rsidP="00A87413">
            <w:pPr>
              <w:pStyle w:val="NormalWeb"/>
              <w:spacing w:before="0" w:beforeAutospacing="0" w:after="0" w:afterAutospacing="0"/>
              <w:rPr>
                <w:sz w:val="18"/>
                <w:szCs w:val="18"/>
                <w:lang w:eastAsia="sq-AL" w:bidi="sq-AL"/>
              </w:rPr>
            </w:pPr>
          </w:p>
        </w:tc>
        <w:tc>
          <w:tcPr>
            <w:tcW w:w="2064" w:type="dxa"/>
            <w:shd w:val="clear" w:color="auto" w:fill="auto"/>
          </w:tcPr>
          <w:p w:rsidR="00367B82" w:rsidRPr="00367B82" w:rsidRDefault="00367B82" w:rsidP="00A8741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1. Vendosja dhe ekzekutimi i gjobave, masave administrative dhe gjobave periodike sipas këtij ligji bëhet nga autoritetet mbikëqyrëse kompetente, brenda fushës së juridiksionit të tyre.</w:t>
            </w:r>
          </w:p>
          <w:p w:rsidR="00367B82" w:rsidRPr="00367B82" w:rsidRDefault="00367B82" w:rsidP="00A8741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2. Autoritetet mbikëqyrëse ushtrojnë këto kompetenca në përputhje me këtë ligj, legjislacionin sektorial përkatës dhe legjislacionin në fuqi për kundërvajtjet administrative.</w:t>
            </w:r>
          </w:p>
          <w:p w:rsidR="00367B82" w:rsidRPr="00367B82" w:rsidRDefault="00367B82" w:rsidP="00A8741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3.  Vendimet e autoriteteve mbikëqyrëse për vendosjen e gjobave, masave administrative dhe gjobave periodike mund të ankimohen në gjykatën kompetente, në përputhje me legjislacionin në fuqi.</w:t>
            </w:r>
          </w:p>
          <w:p w:rsidR="006E5B5B" w:rsidRPr="00F727DA" w:rsidRDefault="006E5B5B" w:rsidP="00A87413">
            <w:pPr>
              <w:widowControl w:val="0"/>
              <w:spacing w:after="0" w:line="240" w:lineRule="auto"/>
              <w:rPr>
                <w:rFonts w:ascii="Times New Roman" w:hAnsi="Times New Roman"/>
                <w:sz w:val="18"/>
                <w:szCs w:val="18"/>
                <w:lang w:eastAsia="sq-AL" w:bidi="sq-AL"/>
              </w:rPr>
            </w:pPr>
          </w:p>
          <w:p w:rsidR="006E5B5B" w:rsidRPr="00F727DA" w:rsidRDefault="006E5B5B" w:rsidP="00A87413">
            <w:pPr>
              <w:pStyle w:val="NormalWeb"/>
              <w:spacing w:before="0" w:beforeAutospacing="0" w:after="0" w:afterAutospacing="0"/>
              <w:rPr>
                <w:rFonts w:eastAsia="Calibri"/>
                <w:sz w:val="18"/>
                <w:szCs w:val="18"/>
                <w:lang w:val="en-GB" w:eastAsia="sq-AL" w:bidi="sq-AL"/>
              </w:rPr>
            </w:pPr>
          </w:p>
          <w:p w:rsidR="006E5B5B" w:rsidRPr="00F727DA" w:rsidRDefault="006E5B5B" w:rsidP="00A87413">
            <w:pPr>
              <w:pStyle w:val="NormalWeb"/>
              <w:spacing w:before="0" w:beforeAutospacing="0" w:after="0" w:afterAutospacing="0"/>
              <w:rPr>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siguron alokim të qartë të kompetencave për vendosjen dhe ekzekutimin e gjobave, masave administrative dhe gjobave periodike nga autoritetet mbikëqyrëse kompetente, brenda juridiksionit të tyre sektorial. Parashikohet ushtrimi i këtyre kompetencave në përputhje me ligjin AML, legjislacionin sektorial përkatës dhe ligjin për kundërvajtjet administrative, duke garantuar koherencë ndërmjet kuadrit material dhe atij procedural.</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Gjithashtu, dispozita siguron të drejtën e ankimit gjyqësor ndaj vendimeve sanksionuese, duke garantuar kontroll të plotë gjyqësor në përputhje me parimet e procesit të rregullt ligjor dhe standardet e acquis të BE-së</w:t>
            </w:r>
          </w:p>
          <w:p w:rsidR="00D37838" w:rsidRDefault="00D37838" w:rsidP="00A87413">
            <w:pPr>
              <w:pStyle w:val="Heading3"/>
              <w:spacing w:before="0"/>
              <w:rPr>
                <w:rFonts w:ascii="Times New Roman" w:eastAsia="Calibri" w:hAnsi="Times New Roman" w:cs="Times New Roman"/>
                <w:color w:val="auto"/>
                <w:sz w:val="18"/>
                <w:szCs w:val="18"/>
                <w:lang w:eastAsia="sq-AL" w:bidi="sq-AL"/>
              </w:rPr>
            </w:pPr>
          </w:p>
          <w:p w:rsidR="00D37838" w:rsidRPr="00D37838" w:rsidRDefault="00D37838" w:rsidP="00A87413">
            <w:pPr>
              <w:spacing w:after="0"/>
              <w:rPr>
                <w:lang w:eastAsia="sq-AL" w:bidi="sq-AL"/>
              </w:rPr>
            </w:pPr>
          </w:p>
          <w:p w:rsidR="006E5B5B" w:rsidRPr="00D37838" w:rsidRDefault="006E5B5B" w:rsidP="00A87413">
            <w:pPr>
              <w:pStyle w:val="Heading3"/>
              <w:spacing w:before="0"/>
              <w:rPr>
                <w:rFonts w:ascii="Times New Roman" w:eastAsia="Calibri" w:hAnsi="Times New Roman" w:cs="Times New Roman"/>
                <w:color w:val="auto"/>
                <w:sz w:val="18"/>
                <w:szCs w:val="18"/>
                <w:lang w:eastAsia="sq-AL" w:bidi="sq-AL"/>
              </w:rPr>
            </w:pPr>
            <w:r w:rsidRPr="00D37838">
              <w:rPr>
                <w:rFonts w:ascii="Times New Roman" w:eastAsia="Calibri" w:hAnsi="Times New Roman" w:cs="Times New Roman"/>
                <w:color w:val="auto"/>
                <w:sz w:val="18"/>
                <w:szCs w:val="18"/>
                <w:lang w:eastAsia="sq-AL" w:bidi="sq-AL"/>
              </w:rPr>
              <w:t xml:space="preserve">Shtimi I nje dispozite lidhese ne ligjet setoriale </w:t>
            </w:r>
          </w:p>
          <w:p w:rsidR="006E5B5B" w:rsidRPr="00D37838" w:rsidRDefault="006E5B5B" w:rsidP="00A87413">
            <w:pPr>
              <w:pStyle w:val="Heading3"/>
              <w:spacing w:before="0"/>
              <w:rPr>
                <w:rFonts w:ascii="Times New Roman" w:eastAsia="Calibri" w:hAnsi="Times New Roman" w:cs="Times New Roman"/>
                <w:color w:val="auto"/>
                <w:sz w:val="18"/>
                <w:szCs w:val="18"/>
                <w:lang w:eastAsia="sq-AL" w:bidi="sq-AL"/>
              </w:rPr>
            </w:pPr>
            <w:r w:rsidRPr="00D37838">
              <w:rPr>
                <w:rFonts w:ascii="Times New Roman" w:eastAsia="Calibri" w:hAnsi="Times New Roman" w:cs="Times New Roman"/>
                <w:color w:val="auto"/>
                <w:sz w:val="18"/>
                <w:szCs w:val="18"/>
                <w:lang w:eastAsia="sq-AL" w:bidi="sq-AL"/>
              </w:rPr>
              <w:t>Neni X</w:t>
            </w:r>
          </w:p>
          <w:p w:rsidR="006E5B5B" w:rsidRPr="00D37838" w:rsidRDefault="006E5B5B" w:rsidP="00A87413">
            <w:pPr>
              <w:pStyle w:val="NormalWeb"/>
              <w:spacing w:before="0" w:beforeAutospacing="0" w:after="0" w:afterAutospacing="0"/>
              <w:rPr>
                <w:rFonts w:eastAsia="Calibri"/>
                <w:sz w:val="18"/>
                <w:szCs w:val="18"/>
                <w:lang w:val="en-GB" w:eastAsia="sq-AL" w:bidi="sq-AL"/>
              </w:rPr>
            </w:pPr>
            <w:r w:rsidRPr="00D37838">
              <w:rPr>
                <w:rFonts w:eastAsia="Calibri"/>
                <w:sz w:val="18"/>
                <w:szCs w:val="18"/>
                <w:lang w:val="en-GB" w:eastAsia="sq-AL" w:bidi="sq-AL"/>
              </w:rPr>
              <w:t>Ushtrimi i kompetencave në fushën e PPP/F</w:t>
            </w:r>
          </w:p>
          <w:p w:rsidR="006E5B5B" w:rsidRPr="00D37838" w:rsidRDefault="006E5B5B" w:rsidP="00A87413">
            <w:pPr>
              <w:pStyle w:val="NormalWeb"/>
              <w:spacing w:before="0" w:beforeAutospacing="0" w:after="0" w:afterAutospacing="0"/>
              <w:rPr>
                <w:rFonts w:eastAsia="Calibri"/>
                <w:sz w:val="18"/>
                <w:szCs w:val="18"/>
                <w:lang w:val="en-GB" w:eastAsia="sq-AL" w:bidi="sq-AL"/>
              </w:rPr>
            </w:pPr>
            <w:r w:rsidRPr="00D37838">
              <w:rPr>
                <w:rFonts w:eastAsia="Calibri"/>
                <w:sz w:val="18"/>
                <w:szCs w:val="18"/>
                <w:lang w:val="en-GB" w:eastAsia="sq-AL" w:bidi="sq-AL"/>
              </w:rPr>
              <w:t>Autoriteti, brenda fushës së juridiksionit të tij, ushtron kompetencat për mbikëqyrjen, konstatimin e shkeljeve, vendosjen dhe ekzekutimin e gjobave, masave administrative dhe gjobave periodike, në përputhje me ligjin për parandalimin e pastrimit të parave, financimit të terrorizmit dhe financimit të përhapjes të armëve të dëmtimit në masë , si dhe me këtë ligj.</w:t>
            </w:r>
          </w:p>
          <w:p w:rsidR="006E5B5B" w:rsidRPr="00F727DA" w:rsidRDefault="006E5B5B" w:rsidP="00A87413">
            <w:pPr>
              <w:pStyle w:val="NormalWeb"/>
              <w:spacing w:before="0" w:beforeAutospacing="0" w:after="0" w:afterAutospacing="0"/>
              <w:rPr>
                <w:rFonts w:eastAsia="Calibri"/>
                <w:sz w:val="18"/>
                <w:szCs w:val="18"/>
                <w:lang w:val="en-GB" w:eastAsia="sq-AL" w:bidi="sq-AL"/>
              </w:rPr>
            </w:pP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367B82" w:rsidRPr="00F727DA" w:rsidTr="00E24C86">
        <w:trPr>
          <w:trHeight w:val="578"/>
        </w:trPr>
        <w:tc>
          <w:tcPr>
            <w:tcW w:w="900" w:type="dxa"/>
            <w:shd w:val="clear" w:color="auto" w:fill="auto"/>
            <w:vAlign w:val="center"/>
          </w:tcPr>
          <w:p w:rsidR="00367B82" w:rsidRPr="00F727DA" w:rsidRDefault="00367B82"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367B82" w:rsidRPr="00F727DA" w:rsidRDefault="00367B82"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367B82" w:rsidRPr="00F727DA" w:rsidRDefault="00367B82"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367B82" w:rsidRPr="00367B82" w:rsidRDefault="00367B82" w:rsidP="00A87413">
            <w:pPr>
              <w:widowControl w:val="0"/>
              <w:suppressAutoHyphens w:val="0"/>
              <w:spacing w:after="0" w:line="276" w:lineRule="auto"/>
              <w:jc w:val="center"/>
              <w:rPr>
                <w:rFonts w:ascii="Times New Roman" w:eastAsia="Arial Unicode MS" w:hAnsi="Times New Roman"/>
                <w:color w:val="000000"/>
                <w:sz w:val="18"/>
                <w:szCs w:val="18"/>
                <w:lang w:val="sq-AL" w:eastAsia="en-US" w:bidi="en-US"/>
              </w:rPr>
            </w:pPr>
            <w:r w:rsidRPr="00367B82">
              <w:rPr>
                <w:rFonts w:ascii="Times New Roman" w:eastAsia="Arial Unicode MS" w:hAnsi="Times New Roman"/>
                <w:color w:val="000000"/>
                <w:sz w:val="18"/>
                <w:szCs w:val="18"/>
                <w:lang w:val="sq-AL" w:eastAsia="en-US" w:bidi="en-US"/>
              </w:rPr>
              <w:t>Neni 68</w:t>
            </w:r>
          </w:p>
          <w:p w:rsidR="00367B82" w:rsidRPr="00367B82" w:rsidRDefault="00367B82" w:rsidP="00A87413">
            <w:pPr>
              <w:widowControl w:val="0"/>
              <w:suppressAutoHyphens w:val="0"/>
              <w:spacing w:after="0" w:line="276" w:lineRule="auto"/>
              <w:jc w:val="center"/>
              <w:rPr>
                <w:rFonts w:ascii="Times New Roman" w:eastAsia="Arial Unicode MS" w:hAnsi="Times New Roman"/>
                <w:sz w:val="18"/>
                <w:szCs w:val="18"/>
                <w:lang w:val="sq-AL" w:eastAsia="en-US" w:bidi="en-US"/>
              </w:rPr>
            </w:pPr>
            <w:r w:rsidRPr="00367B82">
              <w:rPr>
                <w:rFonts w:ascii="Times New Roman" w:eastAsia="Arial Unicode MS" w:hAnsi="Times New Roman"/>
                <w:sz w:val="18"/>
                <w:szCs w:val="18"/>
                <w:lang w:val="sq-AL" w:eastAsia="en-US" w:bidi="en-US"/>
              </w:rPr>
              <w:t>Parashkrimi</w:t>
            </w:r>
          </w:p>
          <w:p w:rsidR="00367B82" w:rsidRPr="00367B82" w:rsidRDefault="00367B82"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tcPr>
          <w:p w:rsidR="00367B82" w:rsidRPr="00367B82" w:rsidRDefault="00367B82" w:rsidP="00A87413">
            <w:pPr>
              <w:pStyle w:val="NormalWeb"/>
              <w:spacing w:before="0" w:beforeAutospacing="0" w:after="0" w:afterAutospacing="0"/>
              <w:rPr>
                <w:rFonts w:eastAsia="Arial Unicode MS"/>
                <w:sz w:val="18"/>
                <w:szCs w:val="18"/>
                <w:lang w:val="sq-AL" w:eastAsia="sq-AL" w:bidi="sq-AL"/>
              </w:rPr>
            </w:pPr>
          </w:p>
          <w:p w:rsidR="00367B82" w:rsidRPr="00367B82" w:rsidRDefault="00367B82" w:rsidP="00A8741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1. E drejta e autoriteteve mbikëqyrëse për të shqyrtuar kundërvajtjet administrative dhe vendosur gjoba dhe masa administrative sipas këtij ligji parashkruhet brenda 5 vjetëve nga data e kryerjes së shkeljes/ kundërvajtjes administrative.</w:t>
            </w:r>
          </w:p>
          <w:p w:rsidR="00367B82" w:rsidRPr="00367B82" w:rsidRDefault="00367B82" w:rsidP="00A8741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2. Afati i parashkrimit ndërpritet nga data e njoftimit të subjektit për çdo akt formal të autoritetit mbikëqyrës që ka për objekt konstatimin ose ndjekjen administrative të shkeljes.</w:t>
            </w:r>
          </w:p>
        </w:tc>
        <w:tc>
          <w:tcPr>
            <w:tcW w:w="1356" w:type="dxa"/>
            <w:shd w:val="clear" w:color="auto" w:fill="auto"/>
            <w:vAlign w:val="center"/>
          </w:tcPr>
          <w:p w:rsidR="00367B82" w:rsidRPr="00F727DA" w:rsidRDefault="00367B82"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367B82" w:rsidRPr="00367B82" w:rsidRDefault="00367B82" w:rsidP="00A87413">
            <w:pPr>
              <w:pStyle w:val="NormalWeb"/>
              <w:spacing w:before="0" w:beforeAutospacing="0" w:after="0" w:afterAutospacing="0"/>
              <w:rPr>
                <w:rFonts w:eastAsia="Calibri"/>
                <w:sz w:val="18"/>
                <w:szCs w:val="18"/>
                <w:lang w:eastAsia="sq-AL" w:bidi="sq-AL"/>
              </w:rPr>
            </w:pPr>
            <w:r w:rsidRPr="00367B82">
              <w:rPr>
                <w:rFonts w:eastAsia="Calibri"/>
                <w:sz w:val="18"/>
                <w:szCs w:val="18"/>
                <w:lang w:eastAsia="sq-AL" w:bidi="sq-AL"/>
              </w:rPr>
              <w:t>Kjo dispozitë forcon efektivitetin, proporcionalitetin dhe zbatueshmërinë e sistemit sanksionues në fushën e PPP/FT dhe përmbush kërkesat e Direktivës për qartësi kompetencash dhe mekanizma efektivë enforcement.</w:t>
            </w:r>
          </w:p>
          <w:p w:rsidR="00367B82" w:rsidRPr="00F727DA" w:rsidRDefault="00367B82" w:rsidP="00A87413">
            <w:pPr>
              <w:pStyle w:val="NormalWeb"/>
              <w:spacing w:before="0" w:beforeAutospacing="0" w:after="0" w:afterAutospacing="0"/>
              <w:rPr>
                <w:rFonts w:eastAsia="Calibri"/>
                <w:sz w:val="18"/>
                <w:szCs w:val="18"/>
                <w:lang w:val="en-GB"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NormalWeb"/>
              <w:spacing w:before="0" w:beforeAutospacing="0" w:after="0" w:afterAutospacing="0"/>
              <w:rPr>
                <w:rFonts w:eastAsia="Calibri"/>
                <w:b/>
                <w:sz w:val="18"/>
                <w:szCs w:val="18"/>
                <w:lang w:val="en-GB" w:eastAsia="sq-AL" w:bidi="sq-AL"/>
              </w:rPr>
            </w:pPr>
            <w:r w:rsidRPr="00F727DA">
              <w:rPr>
                <w:rFonts w:eastAsia="Calibri"/>
                <w:b/>
                <w:sz w:val="18"/>
                <w:szCs w:val="18"/>
                <w:lang w:val="en-GB" w:eastAsia="sq-AL" w:bidi="sq-AL"/>
              </w:rPr>
              <w:t>Neni 59</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b/>
                <w:sz w:val="18"/>
                <w:szCs w:val="18"/>
              </w:rPr>
              <w:t>Shkëmbimi i informacionit mbi sanksionet financiare dhe masat administrative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59(1)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e tyre dhe sipas rastit, autoriteti publik që mbikëqyr organet vetërregulluese në ushtrimin e funksioneve të tyre mbikëqyrëse, të informojnë Autoritetin kundër Pastrimit të Parave (AMLA) mbi të gjitha sanksionet në formë gjobe të vendosura dhe masat administrative të zbatuara në përputhje me këtë seksion, duke përfshirë mbi çdo ankimim lidhur me to dhe rezultatet përkatëse. Këto informacione ndahen gjithashtu me mbikëqyrësit e tjerë në rastet kur sanksioni në formë gjobe apo masa administrative lidhet me një subjekt që operon në dy ose më shumë shtete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C63A8C" w:rsidRPr="00C63A8C" w:rsidRDefault="00C63A8C" w:rsidP="00A87413">
            <w:pPr>
              <w:pStyle w:val="Heading3"/>
              <w:spacing w:before="0"/>
              <w:rPr>
                <w:rFonts w:ascii="Times New Roman" w:hAnsi="Times New Roman"/>
                <w:color w:val="auto"/>
                <w:sz w:val="18"/>
                <w:szCs w:val="18"/>
                <w:lang w:val="sq-AL" w:eastAsia="sq-AL" w:bidi="sq-AL"/>
              </w:rPr>
            </w:pPr>
            <w:r w:rsidRPr="00C63A8C">
              <w:rPr>
                <w:rFonts w:ascii="Times New Roman" w:hAnsi="Times New Roman"/>
                <w:color w:val="auto"/>
                <w:sz w:val="18"/>
                <w:szCs w:val="18"/>
                <w:lang w:val="sq-AL" w:eastAsia="sq-AL" w:bidi="sq-AL"/>
              </w:rPr>
              <w:t>Neni 69</w:t>
            </w:r>
          </w:p>
          <w:p w:rsidR="00C63A8C" w:rsidRPr="00C63A8C" w:rsidRDefault="00C63A8C" w:rsidP="00A87413">
            <w:pPr>
              <w:pStyle w:val="Heading3"/>
              <w:spacing w:before="0"/>
              <w:rPr>
                <w:rFonts w:ascii="Times New Roman" w:hAnsi="Times New Roman"/>
                <w:color w:val="auto"/>
                <w:sz w:val="18"/>
                <w:szCs w:val="18"/>
                <w:lang w:val="sq-AL" w:eastAsia="sq-AL" w:bidi="sq-AL"/>
              </w:rPr>
            </w:pPr>
            <w:r w:rsidRPr="00C63A8C">
              <w:rPr>
                <w:rFonts w:ascii="Times New Roman" w:hAnsi="Times New Roman"/>
                <w:color w:val="auto"/>
                <w:sz w:val="18"/>
                <w:szCs w:val="18"/>
                <w:lang w:val="sq-AL" w:eastAsia="sq-AL" w:bidi="sq-AL"/>
              </w:rPr>
              <w:t>Shkëmbimi i informacionit mbi gjobat dhe masat administrative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C52992" w:rsidRPr="00C52992" w:rsidRDefault="00C52992" w:rsidP="00A87413">
            <w:pPr>
              <w:pStyle w:val="NormalWeb"/>
              <w:spacing w:before="0" w:beforeAutospacing="0" w:after="0" w:afterAutospacing="0"/>
              <w:rPr>
                <w:rFonts w:eastAsia="Arial Unicode MS"/>
                <w:sz w:val="18"/>
                <w:szCs w:val="18"/>
                <w:lang w:val="sq-AL" w:eastAsia="sq-AL" w:bidi="sq-AL"/>
              </w:rPr>
            </w:pPr>
            <w:r w:rsidRPr="00C52992">
              <w:rPr>
                <w:rFonts w:eastAsia="Arial Unicode MS"/>
                <w:sz w:val="18"/>
                <w:szCs w:val="18"/>
                <w:lang w:val="sq-AL" w:eastAsia="sq-AL" w:bidi="sq-AL"/>
              </w:rPr>
              <w:t>1. Autoritetet mbikëqyrëse dhe, kur është e zbatueshme, autoriteti publik që mbikëqyr organet vetërregulluese në ushtrimin e funksioneve të tyre mbikëqyrëse, njoftojnë Autoritetin Evropian për Luftën kundër Pastrimit të Parave (AMLA) për të gjitha gjobat e vendosura dhe masat administrative të aplikuara në përputhje me këtë Kre, si dhe për çdo ankim të paraqitur lidhur me to dhe rezultatin përfundimtar të tij.</w:t>
            </w:r>
          </w:p>
          <w:p w:rsidR="006E5B5B" w:rsidRPr="00C52992" w:rsidRDefault="00C52992" w:rsidP="00A87413">
            <w:pPr>
              <w:pStyle w:val="NormalWeb"/>
              <w:spacing w:before="0" w:beforeAutospacing="0" w:after="0" w:afterAutospacing="0"/>
              <w:rPr>
                <w:rFonts w:eastAsia="Arial Unicode MS"/>
                <w:sz w:val="18"/>
                <w:szCs w:val="18"/>
                <w:lang w:val="sq-AL" w:eastAsia="sq-AL" w:bidi="sq-AL"/>
              </w:rPr>
            </w:pPr>
            <w:r w:rsidRPr="00C52992">
              <w:rPr>
                <w:rFonts w:eastAsia="Arial Unicode MS"/>
                <w:sz w:val="18"/>
                <w:szCs w:val="18"/>
                <w:lang w:val="sq-AL" w:eastAsia="sq-AL" w:bidi="sq-AL"/>
              </w:rPr>
              <w:t>2. Informacioni i parashikuar në pikën 1 vihet gjithashtu në dispozicion të autoriteteve mbikëqyrëse përkatëse të shteteve anëtare, në kuadër të mekanizmave të bashkëpunimit ndërkufitar, kur gjoba ose masa administrative ka të bëjë me një subjekt që ushtron veprimtari në dy ose më shumë shtete anëtare.</w:t>
            </w:r>
          </w:p>
        </w:tc>
        <w:tc>
          <w:tcPr>
            <w:tcW w:w="1356" w:type="dxa"/>
            <w:shd w:val="clear" w:color="auto" w:fill="auto"/>
            <w:vAlign w:val="center"/>
          </w:tcPr>
          <w:p w:rsidR="006E5B5B" w:rsidRPr="00F727DA" w:rsidRDefault="00C52992" w:rsidP="00A87413">
            <w:pPr>
              <w:widowControl w:val="0"/>
              <w:snapToGrid w:val="0"/>
              <w:spacing w:after="0" w:line="240" w:lineRule="auto"/>
              <w:rPr>
                <w:rFonts w:ascii="Times New Roman" w:hAnsi="Times New Roman"/>
                <w:sz w:val="18"/>
                <w:szCs w:val="18"/>
                <w:lang w:eastAsia="sq-AL" w:bidi="sq-AL"/>
              </w:rPr>
            </w:pPr>
            <w:r w:rsidRPr="00C52992">
              <w:rPr>
                <w:rFonts w:ascii="Times New Roman" w:hAnsi="Times New Roman"/>
                <w:sz w:val="18"/>
                <w:szCs w:val="18"/>
                <w:lang w:eastAsia="sq-AL" w:bidi="sq-AL"/>
              </w:rPr>
              <w:t>Operacional në të ardhmen (dispozitë institucionale)</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plotësisht nenin 59 të Direktivës duke: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-parashikuar detyrimin e autoriteteve mbikëqyrëse për njoftimin e AMLA-s mbi gjobat dhe masat administrative;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-garantuar shkëmbimin e informacionit në rastet ndërkufitare;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-reflektuar rolin e AMLA-s për publikimin e lidhjeve dhe periudhave të publikimit.</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Duke qenë se Republika e Shqipërisë është vend kandidat, dispozita është formuluar në mënyrë future-operational dhe do të prodhojë efekt të plotë pas anëtarësimit në Bashkimin Evropian, në përputhje me angazhimet që rrjedhin nga procesi i integrimit evropian.</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Formulimi është future-proof dhe nuk krijon detyrime të pazbatueshme në fazën para-anëtarësimit, duke ruajtur njëkohësisht përputhshmërinë e plotë me acquis të BE-së.</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59(2)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mban në faqen e saj të internetit linket për publikimet e realizuara nga çdo mbikëqyrës lidhur me sanksionet në formë gjobe të vendosura dhe masat administrative të zbatuara në përputhje me nenin 58, si dhe tregon periudhën gjatë së cilës çdo shtet anëtar publikon sanksionet në formë gjobe dhe masat administrative.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77BA2" w:rsidRPr="00477BA2" w:rsidRDefault="00477BA2" w:rsidP="00A87413">
            <w:pPr>
              <w:pStyle w:val="NormalWeb"/>
              <w:spacing w:before="0" w:beforeAutospacing="0" w:after="0" w:afterAutospacing="0"/>
              <w:rPr>
                <w:rFonts w:eastAsia="Arial Unicode MS"/>
                <w:sz w:val="18"/>
                <w:szCs w:val="18"/>
                <w:lang w:val="sq-AL" w:eastAsia="sq-AL" w:bidi="sq-AL"/>
              </w:rPr>
            </w:pPr>
            <w:r w:rsidRPr="00477BA2">
              <w:rPr>
                <w:rFonts w:eastAsia="Arial Unicode MS"/>
                <w:sz w:val="18"/>
                <w:szCs w:val="18"/>
                <w:lang w:val="sq-AL" w:eastAsia="sq-AL" w:bidi="sq-AL"/>
              </w:rPr>
              <w:t>3. Autoriteti Evropian për Luftën kundër Pastrimit të Parave (AMLA) mban në faqen e saj zyrtare të internetit linket për publikimeve të  autoriteteve mbikëqyrëse për gjobat e vendosura dhe masat administrative të aplikuara në përputhje me nenin 66, si dhe pasqyron periudhën gjatë së cilës çdo shtet anëtar publikon gjobat dhe masat administrative.</w:t>
            </w:r>
          </w:p>
          <w:p w:rsidR="006E5B5B" w:rsidRPr="00621E44" w:rsidRDefault="00477BA2" w:rsidP="00A87413">
            <w:pPr>
              <w:pStyle w:val="NormalWeb"/>
              <w:spacing w:before="0" w:beforeAutospacing="0" w:after="0" w:afterAutospacing="0"/>
              <w:rPr>
                <w:rFonts w:eastAsia="Arial Unicode MS"/>
                <w:sz w:val="18"/>
                <w:szCs w:val="18"/>
                <w:lang w:val="sq-AL" w:eastAsia="sq-AL" w:bidi="sq-AL"/>
              </w:rPr>
            </w:pPr>
            <w:r w:rsidRPr="00477BA2">
              <w:rPr>
                <w:rFonts w:eastAsia="Arial Unicode MS"/>
                <w:sz w:val="18"/>
                <w:szCs w:val="18"/>
                <w:lang w:val="sq-AL" w:eastAsia="sq-AL" w:bidi="sq-AL"/>
              </w:rPr>
              <w:t>4. Detyrimet e parashikuara në këtë nen zbatohen në përputhje me marrëveshjet ndërkombëtare dhe angazhimet që rrjedhin nga procesi i integrimit evropian dhe prodhojnë efekt të plotë pas anëtarësimit të Republikës së Shqipërisë në Bashkimin Evropian.</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Seksioni 5</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Raportimi i shkeljeve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60</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Raportimi i shkeljeve dhe mbrojtja e personave që raportojnë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2019/1937 zbatohet për raportimin e shkeljeve të Rregullores (BE) 2024/1624, Rregullores (BE) 2023/1113 dhe të kësaj direktive, si dhe për mbrojtjen e personave që raportojnë shkelje të tilla dhe të personave të përfshirë në këto raportime.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Seksioni 5</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Raportimi i shkeljeve</w:t>
            </w:r>
          </w:p>
          <w:p w:rsidR="006E5B5B" w:rsidRPr="00F727DA" w:rsidRDefault="006E5B5B" w:rsidP="00A87413">
            <w:pPr>
              <w:pStyle w:val="NormalWeb"/>
              <w:spacing w:before="0" w:beforeAutospacing="0" w:after="0" w:afterAutospacing="0"/>
              <w:rPr>
                <w:rFonts w:eastAsia="Calibri"/>
                <w:sz w:val="18"/>
                <w:szCs w:val="18"/>
                <w:lang w:val="en-GB" w:eastAsia="sq-AL" w:bidi="sq-AL"/>
              </w:rPr>
            </w:pP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Neni 71</w:t>
            </w: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Mekanizmat për raportimin e shkeljeve dhe mbrojtja e personave raportues</w:t>
            </w:r>
          </w:p>
          <w:p w:rsidR="00334A81" w:rsidRPr="00334A81" w:rsidRDefault="00334A81" w:rsidP="00A87413">
            <w:pPr>
              <w:pStyle w:val="NormalWeb"/>
              <w:spacing w:before="0" w:beforeAutospacing="0" w:after="0" w:afterAutospacing="0"/>
              <w:rPr>
                <w:rFonts w:eastAsia="Arial Unicode MS"/>
                <w:b/>
                <w:sz w:val="18"/>
                <w:szCs w:val="18"/>
                <w:lang w:val="sq-AL" w:eastAsia="sq-AL" w:bidi="sq-AL"/>
              </w:rPr>
            </w:pPr>
          </w:p>
          <w:p w:rsidR="006E5B5B" w:rsidRPr="00F727DA" w:rsidRDefault="006E5B5B" w:rsidP="00A87413">
            <w:pPr>
              <w:pStyle w:val="NormalWeb"/>
              <w:spacing w:before="0" w:beforeAutospacing="0" w:after="0" w:afterAutospacing="0"/>
              <w:rPr>
                <w:rFonts w:eastAsia="Calibri"/>
                <w:sz w:val="18"/>
                <w:szCs w:val="18"/>
                <w:lang w:val="en-GB" w:eastAsia="sq-AL" w:bidi="sq-AL"/>
              </w:rPr>
            </w:pPr>
          </w:p>
        </w:tc>
        <w:tc>
          <w:tcPr>
            <w:tcW w:w="2064" w:type="dxa"/>
            <w:shd w:val="clear" w:color="auto" w:fill="auto"/>
            <w:vAlign w:val="center"/>
          </w:tcPr>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përhapjes të armëve të dëmtimit në masë.</w:t>
            </w: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2. Mbrojtja sipas ligjit për mbrojtjen e sinjalizuesve zbatohet ndaj:</w:t>
            </w: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a) personave që raportojnë shkelje sipas pikës 1 të këtij neni;</w:t>
            </w:r>
          </w:p>
          <w:p w:rsidR="00334A81"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b) personave të përfshirë në raportim, në përputhje me parimet e konfidencialitetit, proporcionalitetit dhe prezumimit të pafajësisë.</w:t>
            </w:r>
          </w:p>
          <w:p w:rsidR="006E5B5B" w:rsidRPr="00334A81" w:rsidRDefault="00334A81" w:rsidP="00A8741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3. Për qëllime të këtij neni, “raportim i shkeljeve” nënkupton çdo veprim ose mosveprim që përbën mos përmbushje të detyrimeve të parashikuara në këtë ligj dhe në aktet nënligjore të nxjerra në zbatim të tij.</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Dispozitat e nenit 60 nuk lidhen me raportimin e aktivitetit të dyshimtë apo të transaksioneve cash nga subjektet raportuese pranë AIF.</w:t>
            </w:r>
            <w:r w:rsidRPr="00F727DA">
              <w:rPr>
                <w:rFonts w:ascii="Times New Roman" w:hAnsi="Times New Roman"/>
                <w:sz w:val="18"/>
                <w:szCs w:val="18"/>
                <w:lang w:eastAsia="sq-AL" w:bidi="sq-AL"/>
              </w:rPr>
              <w:br/>
              <w:t>Ato rregullojnë mekanizmin e raportimit të shkeljeve të legjislacionit në fushën e parandalimit të pastrimit të parave dhe financimit të terrorizmit, si dhe mbrojtjen e personave që raportojnë këto shkelje, në përputhje me legjislacionin për mbrojtjen e sinjalizuesve.</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raportim për shkelje të ligjit AML trajtohet si sinjalizim sipas ligjit për mbrojtjen e sinjalizuesve.</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Personi raportues përfiton:</w:t>
            </w:r>
          </w:p>
          <w:p w:rsidR="006E5B5B" w:rsidRPr="00F727DA" w:rsidRDefault="006E5B5B" w:rsidP="00A8741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mbrojtje nga hakmarrja,</w:t>
            </w:r>
          </w:p>
          <w:p w:rsidR="006E5B5B" w:rsidRPr="00F727DA" w:rsidRDefault="006E5B5B" w:rsidP="00A8741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konfidencialitet të identitetit,</w:t>
            </w:r>
          </w:p>
          <w:p w:rsidR="006E5B5B" w:rsidRPr="00F727DA" w:rsidRDefault="006E5B5B" w:rsidP="00A8741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mbrojtje procedurale.</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duhet të zbatojnë procedurat dhe afatet e ligjit për sinjalizuesit.</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e përfshirë në raport gëzojnë mbrojtje të të drejtave procedurale dhe të dhënave personale.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përmes referencës horizontale në legjislacionin kombëtar për mbrojtjen e sinjalizuesve, i cili zbatohet për raportimin e shkeljeve të ligjit për parandalimin e pastrimit të parave dhe financimit të terrorizmit, si dhe të akteve nënligjore të nxjerra në zbatim të tij.</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Mbrojtja shtrihet si ndaj personave që raportojnë shkelje të kuadrit PPP/FT, ashtu edhe ndaj personave të përfshirë në raport, në përputhje me parimet e konfidencialitetit, proporcionalitetit dhe prezumimit të pafajësisë.</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Referencat ndaj rregulloreve të BE-së janë përshtatur me statusin e Shqipërisë si vend kandidat, duke iu referuar legjislacionit kombëtar përkatës në fushën e PPP/FT.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mbikëqyrëse janë autoritetet kompetente për ngritjen e kanaleve të jashtme të raportimit dhe për ndjekjen e raportimeve për sa kohë që u referohen kërkesave të zbatueshme për subjektet e detyruara, në përputhje me Direktivën (BE) 2019/1937.</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color w:val="C00000"/>
                <w:sz w:val="18"/>
                <w:szCs w:val="18"/>
                <w:lang w:eastAsia="sq-AL" w:bidi="sq-AL"/>
              </w:rPr>
              <w:t xml:space="preserve"> </w:t>
            </w:r>
          </w:p>
        </w:tc>
        <w:tc>
          <w:tcPr>
            <w:tcW w:w="2064" w:type="dxa"/>
            <w:shd w:val="clear" w:color="auto" w:fill="auto"/>
            <w:vAlign w:val="center"/>
          </w:tcPr>
          <w:p w:rsidR="00B65F7A" w:rsidRPr="00B65F7A" w:rsidRDefault="00B65F7A" w:rsidP="00A87413">
            <w:pPr>
              <w:widowControl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4.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rsidR="006E5B5B" w:rsidRPr="00B65F7A" w:rsidRDefault="00B65F7A" w:rsidP="00A87413">
            <w:pPr>
              <w:widowControl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Autoritetet mbikëqyrëse kryejnë shqyrtimin dhe ndjekjen administrative të raportimeve të paraqitura, në përputhje me legjislacionin në fuqi për mbrojtjen e sinjalizuesve.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përcaktuar autoritetet mbikëqyrëse si autoritete kompetente për krijimin e kanaleve të jashtme të raportimit dhe për ndjekjen administrative të raportimeve që lidhen me shkeljet e kërkesave ndaj subjekteve raportuese.</w:t>
            </w:r>
          </w:p>
          <w:p w:rsidR="006E5B5B" w:rsidRPr="00B65F7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Zbatimi bëhet në përputhje me legjislacionin kombëtar për mbrojtjen e sinjalizuesve dhe kuadrin kombëtar të mbikëqyrjes në fushën e PPP/FT dhe do te plotesohet me akte nënligjore të autoriteteve përgjegjëse.</w:t>
            </w:r>
          </w:p>
          <w:p w:rsidR="006E5B5B" w:rsidRPr="00B65F7A" w:rsidRDefault="006E5B5B" w:rsidP="00A87413">
            <w:pPr>
              <w:pStyle w:val="NormalWeb"/>
              <w:spacing w:before="0" w:beforeAutospacing="0" w:after="0" w:afterAutospacing="0"/>
              <w:rPr>
                <w:rFonts w:eastAsia="Calibri"/>
                <w:sz w:val="18"/>
                <w:szCs w:val="18"/>
                <w:lang w:val="en-GB" w:eastAsia="sq-AL" w:bidi="sq-AL"/>
              </w:rPr>
            </w:pPr>
            <w:r w:rsidRPr="00B65F7A">
              <w:rPr>
                <w:rFonts w:eastAsia="Calibri"/>
                <w:sz w:val="18"/>
                <w:szCs w:val="18"/>
                <w:lang w:val="en-GB" w:eastAsia="sq-AL" w:bidi="sq-AL"/>
              </w:rPr>
              <w:t>Dispozita është transpozuar duke përcaktuar autoritetet mbikëqyrëse si autoritete kompetente për krijimin e kanaleve të jashtme të raportimit dhe për ndjekjen administrative të raportimeve që lidhen me subjektet raportuese që ato mbikëqyrin. Zbatimi realizohet në përputhje me legjislacionin për mbrojtjen e sinjalizuesve dhe me kuadrin kombëtar të mbikëqyrjes në fushën e PPP/FT.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që mbikëqyrin organet vetërregulluese të përmendura në nenin 52 janë autoritetet kompetente për ngritjen e kanaleve të jashtme të raportimit dhe për ndjekjen e raportimeve nga organet vetërregulluese, për sa kohë që u referohen kërkesave të zbatueshme për organet vetërregulluese në ushtrimin e funksioneve mbikëqyrëse.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B65F7A" w:rsidRPr="00B65F7A" w:rsidRDefault="00B65F7A" w:rsidP="00A8741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5. Autoritetet publike që mbikëqyrin organet vetërregulluese, sipas këtij ligji, janë autoritetet kompetente për krijimin dhe administrimin e kanaleve të jashtme të raportimit të shkeljeve që lidhen me detyrimet e organeve vetërregulluese në ushtrimin e funksioneve të tyre mbikëqyrëse në fushën e parandalimit të pastrimit të parave dhe financimit të terrorizmit.</w:t>
            </w:r>
          </w:p>
          <w:p w:rsidR="00B65F7A" w:rsidRPr="00B65F7A" w:rsidRDefault="00B65F7A" w:rsidP="00A8741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Këto autoritete kryejnë shqyrtimin dhe ndjekjen administrative të raportimeve të paraqitura, në përputhje me legjislacionin në fuqi për mbrojtjen e sinjalizuesve.</w:t>
            </w:r>
          </w:p>
          <w:p w:rsidR="006E5B5B" w:rsidRPr="00B65F7A" w:rsidRDefault="00B65F7A" w:rsidP="00A8741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6. Autoritetet kompetente mbikëqyrëse sipas përcaktimeve të pikave të mësipërme të këtij neni miratojnë akte të brendshme për organizimin dhe funksionimin e kanaleve të raportimit, procedurat e pranimit, regjistrimit dhe shqyrtimit të raportimeve, si dhe për garantimin e konfidencialitetit, mbrojtjes së personave raportues dhe shmangies së konfliktit të interesit në trajtimin e tyre, në përputhje me legjislacionin në fuqi për mbrojtjen e sinjalizuesve.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përcaktuar autoritetet publike që mbikëqyrin organet vetërregulluese si autoritete kompetente për krijimin e kanaleve të jashtme të raportimit dhe për ndjekjen administrative të raportimeve që lidhen me ushtrimin e funksioneve mbikëqyrëse AML/CFT nga këto organe. Zbatimi realizohet në përputhje me legjislacionin për mbrojtjen e sinjalizuesve dhe kuadrin kombëtar të mbikëqyrjes.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autoritetet mbikëqyrëse në sektorin jofinanciar të raportojnë çdo vit elementet në vijim, pranë AMLA-s: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B65F7A" w:rsidRDefault="00B65F7A" w:rsidP="00A87413">
            <w:pPr>
              <w:suppressAutoHyphens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7. Autoritetet mbikëqyrëse në sektorin jo financiar përgatisin dhe i përcjellin, Autoritetit Evropian për Luftën kundër Pastrimit të Parave (AMLA), mbi bazë vjetore, informacion i cili përfshin:</w:t>
            </w:r>
          </w:p>
        </w:tc>
        <w:tc>
          <w:tcPr>
            <w:tcW w:w="1356" w:type="dxa"/>
            <w:shd w:val="clear" w:color="auto" w:fill="auto"/>
            <w:vAlign w:val="center"/>
          </w:tcPr>
          <w:p w:rsidR="006E5B5B" w:rsidRPr="00F727DA" w:rsidRDefault="00B65F7A" w:rsidP="00A87413">
            <w:pPr>
              <w:widowControl w:val="0"/>
              <w:snapToGrid w:val="0"/>
              <w:spacing w:after="0" w:line="240" w:lineRule="auto"/>
              <w:jc w:val="center"/>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006E5B5B" w:rsidRPr="00F727DA">
              <w:rPr>
                <w:rFonts w:ascii="Times New Roman" w:hAnsi="Times New Roman"/>
                <w:sz w:val="18"/>
                <w:szCs w:val="18"/>
                <w:lang w:eastAsia="sq-AL" w:bidi="sq-AL"/>
              </w:rPr>
              <w:t>(për raportimin ndaj AMLA).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mbikëqyrëse në sektorin jofinanciar për raportim vjetor pranë AMLA mbi numrin e raportimeve të marra dhe statusin e ndjekjes së tyre. Elementi i raportimit ndaj AMLA është parashikuar me formulim future-operational,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raportimeve të marra në përputhje me paragrafin 1 dhe informacionin rreth përqindjes së raportimeve që janë ndjekur ose janë duke u ndjekur, duke përfshirë rreth faktit nëse janë mbyllur apo janë ende në proces, si dhe të raportimeve që janë refuzuar;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numrin e raportimeve të marra, si dhe informacion mbi pjesën e raportimeve që janë ndjekur ose janë në proces ndjekjeje, përfshirë rastet e mbyllura, rastet e hapura dhe raportimet e që janë refuzuar;</w:t>
            </w:r>
          </w:p>
        </w:tc>
        <w:tc>
          <w:tcPr>
            <w:tcW w:w="1356" w:type="dxa"/>
            <w:shd w:val="clear" w:color="auto" w:fill="auto"/>
          </w:tcPr>
          <w:p w:rsidR="006E5B5B" w:rsidRPr="00F727DA" w:rsidRDefault="00B65F7A" w:rsidP="00A87413">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006E5B5B" w:rsidRPr="00F727DA">
              <w:rPr>
                <w:rFonts w:ascii="Times New Roman" w:hAnsi="Times New Roman"/>
                <w:sz w:val="18"/>
                <w:szCs w:val="18"/>
                <w:lang w:eastAsia="sq-AL" w:bidi="sq-AL"/>
              </w:rPr>
              <w:t>(për raportimin ndaj AMLA).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llojet e parregullsive të raportuara;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llojet e parregullsive apo shkeljeve të raportuara;</w:t>
            </w:r>
          </w:p>
        </w:tc>
        <w:tc>
          <w:tcPr>
            <w:tcW w:w="1356" w:type="dxa"/>
            <w:shd w:val="clear" w:color="auto" w:fill="auto"/>
          </w:tcPr>
          <w:p w:rsidR="006E5B5B" w:rsidRPr="00F727DA" w:rsidRDefault="00B65F7A" w:rsidP="00A87413">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006E5B5B" w:rsidRPr="00F727DA">
              <w:rPr>
                <w:rFonts w:ascii="Times New Roman" w:hAnsi="Times New Roman"/>
                <w:sz w:val="18"/>
                <w:szCs w:val="18"/>
                <w:lang w:eastAsia="sq-AL" w:bidi="sq-AL"/>
              </w:rPr>
              <w:t>(për raportimin ndaj AMLA).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raportimin vjetor mbi kategoritë e parregullsive të raportuara në lidhje me zbatimin e kuadrit AML/CFT. Detyrimi për raportim ndaj AMLA është parashikuar me efekt pas anëtarësimit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raportimet janë ndjekur, një përshkrim të masave të marra nga mbikëqyrësi dhe, për raportimet që janë ende në proces, masat që synon të marrë mbikëqyrësi;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për raportimet që janë ndjekur, një përshkrim të veprimeve të ndërmarra nga autoriteti mbikëqyrës, si dhe, për raportimet që janë ende të hapura, veprimet që autoriteti mbikëqyrës synon të ndërmarrë.</w:t>
            </w:r>
          </w:p>
        </w:tc>
        <w:tc>
          <w:tcPr>
            <w:tcW w:w="1356" w:type="dxa"/>
            <w:shd w:val="clear" w:color="auto" w:fill="auto"/>
          </w:tcPr>
          <w:p w:rsidR="006E5B5B" w:rsidRPr="00F727DA" w:rsidRDefault="00B65F7A" w:rsidP="00A87413">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006E5B5B" w:rsidRPr="00F727DA">
              <w:rPr>
                <w:rFonts w:ascii="Times New Roman" w:hAnsi="Times New Roman"/>
                <w:sz w:val="18"/>
                <w:szCs w:val="18"/>
                <w:lang w:eastAsia="sq-AL" w:bidi="sq-AL"/>
              </w:rPr>
              <w:t>(për raportimin ndaj AMLA).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raportimin vjetor mbi veprimet e ndërmarra nga autoritetet mbikëqyrëse në ndjekje të raportimeve, si dhe mbi masat e planifikuara për rastet ende të hapura. Detyrimi për raportim ndaj AMLA është parashikuar me efekt pas anëtarësimit të Republikës së Shqipërisë në Bashkimin Evropian.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raportimet janë refuzuar, arsyet për refuzimin e tyre.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Raportimet vjetore të përmendura në nënparagrafin e parë nuk përmbajnë asnjë informacion rreth identitetit apo profesionit të personave raportues, apo ndonjë informacion tjetër që mund të çojë në identifikimin e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 për raportimet për të cilat është vendosur rrëzimi ose pushimi i shqyrtimit, arsyet përkatëse të këtij vendimi.</w:t>
            </w:r>
          </w:p>
          <w:p w:rsidR="006E5B5B" w:rsidRPr="00F727DA" w:rsidRDefault="006E5B5B" w:rsidP="00A8741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Raporti vjetor sipas kësaj pike nuk përmban të dhëna mbi identitetin, profesionin ose çdo informacion tjetër që mund të çojë në identifikimin e personave raportues.</w:t>
            </w:r>
          </w:p>
          <w:p w:rsidR="006E5B5B" w:rsidRPr="00F727DA" w:rsidRDefault="006E5B5B" w:rsidP="00A8741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8. Detyrimet e parashikuara në këtë nen zbatohen në përputhje me marrëveshjet ndërkombëtare dhe angazhimet që rrjedhin nga procesi i integrimit evropian dhe prodhojnë efekt të plotë pas anëtarësimit të Republikës së Shqipërisë në Bashkimin Evropian.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B65F7A" w:rsidP="00A87413">
            <w:pPr>
              <w:widowControl w:val="0"/>
              <w:snapToGrid w:val="0"/>
              <w:spacing w:after="0" w:line="240" w:lineRule="auto"/>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006E5B5B" w:rsidRPr="00F727DA">
              <w:rPr>
                <w:rFonts w:ascii="Times New Roman" w:hAnsi="Times New Roman"/>
                <w:sz w:val="18"/>
                <w:szCs w:val="18"/>
                <w:lang w:eastAsia="sq-AL" w:bidi="sq-AL"/>
              </w:rPr>
              <w:t>(për raportimin ndaj AMLA).</w:t>
            </w:r>
          </w:p>
        </w:tc>
        <w:tc>
          <w:tcPr>
            <w:tcW w:w="332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raportimin vjetor të arsyeve të rrëzimit të raportimeve dhe duke garantuar që raportet e dërguara pranë AMLA nuk përmbajnë të dhëna identifikuese të personave raportues. Detyrimi për raportim ndaj AMLA është parashikuar me efekt pas anëtarësimit të Republikës së Shqipërisë në Bashkimin Evropian.</w:t>
            </w:r>
          </w:p>
        </w:tc>
      </w:tr>
      <w:tr w:rsidR="006E5B5B" w:rsidRPr="00F727DA" w:rsidTr="00B65F7A">
        <w:trPr>
          <w:trHeight w:val="690"/>
        </w:trPr>
        <w:tc>
          <w:tcPr>
            <w:tcW w:w="14397" w:type="dxa"/>
            <w:gridSpan w:val="8"/>
            <w:shd w:val="clear" w:color="auto" w:fill="D9D9D9" w:themeFill="background1" w:themeFillShade="D9"/>
            <w:vAlign w:val="center"/>
          </w:tcPr>
          <w:p w:rsidR="006E5B5B" w:rsidRPr="00F727DA" w:rsidRDefault="006E5B5B" w:rsidP="00A87413">
            <w:pPr>
              <w:pStyle w:val="NormalWeb"/>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t>Kapitulli V</w:t>
            </w:r>
          </w:p>
          <w:p w:rsidR="006E5B5B" w:rsidRPr="00B65F7A" w:rsidRDefault="006E5B5B" w:rsidP="00A87413">
            <w:pPr>
              <w:pStyle w:val="NormalWeb"/>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t xml:space="preserve">Bashkëpunimi kundër pastrimit të parave/financimit të terrorizmit </w:t>
            </w:r>
          </w:p>
        </w:tc>
      </w:tr>
      <w:tr w:rsidR="00B65F7A" w:rsidRPr="00F727DA" w:rsidTr="00B65F7A">
        <w:trPr>
          <w:trHeight w:val="578"/>
        </w:trPr>
        <w:tc>
          <w:tcPr>
            <w:tcW w:w="14397" w:type="dxa"/>
            <w:gridSpan w:val="8"/>
            <w:shd w:val="clear" w:color="auto" w:fill="D0CECE" w:themeFill="background2" w:themeFillShade="E6"/>
            <w:vAlign w:val="center"/>
          </w:tcPr>
          <w:p w:rsidR="00B65F7A" w:rsidRPr="00F727DA" w:rsidRDefault="00B65F7A" w:rsidP="00A87413">
            <w:pPr>
              <w:pStyle w:val="NormalWeb"/>
              <w:shd w:val="clear" w:color="auto" w:fill="D0CECE" w:themeFill="background2" w:themeFillShade="E6"/>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t>Seksioni 1</w:t>
            </w:r>
          </w:p>
          <w:p w:rsidR="00B65F7A" w:rsidRPr="00F727DA" w:rsidRDefault="00B65F7A" w:rsidP="00A87413">
            <w:pPr>
              <w:pStyle w:val="NormalWeb"/>
              <w:spacing w:before="0" w:beforeAutospacing="0" w:after="0" w:afterAutospacing="0" w:line="276" w:lineRule="auto"/>
              <w:rPr>
                <w:rFonts w:eastAsia="Calibri"/>
                <w:sz w:val="18"/>
                <w:szCs w:val="18"/>
                <w:lang w:val="en-GB" w:eastAsia="sq-AL" w:bidi="sq-AL"/>
              </w:rPr>
            </w:pPr>
            <w:r w:rsidRPr="00F727DA">
              <w:rPr>
                <w:rFonts w:eastAsia="Calibri"/>
                <w:b/>
                <w:sz w:val="18"/>
                <w:szCs w:val="18"/>
                <w:lang w:val="en-GB" w:eastAsia="sq-AL" w:bidi="sq-AL"/>
              </w:rPr>
              <w:t>Dispozita të Përgjithshme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politikëbërësit, NjIF-të, mbikëqyrësit, duke përfshirë AMLA-n, dhe autoritetet e tjera kompetente, si dhe autoritetet tatimore, të kenë mekanizma efektivë për t'iu mundësuar që të bashkëpunojnë dhe të koordinohen në nivel kombëtar në lidhje me zhvillimin dhe zbatimin e politikave dhe aktiviteteve në luftën kundër pastrimit të parave dhe financimit të terrorizmit, si dhe të parandalojnë rreziqet e moszbatimit dhe të shmangies së sanksioneve financiare të targetuara, duke përfshirë me qëllimin për të përmbushur detyrimet e tyre sipas nenit 8.</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Kreu V: </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SEKSIONI 1</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Bashkëpunimi në fushën e parandalimit të pastrimit të parave dhe financimit të terrorizmit</w:t>
            </w:r>
          </w:p>
          <w:p w:rsidR="006E5B5B" w:rsidRPr="00F727DA" w:rsidRDefault="006E5B5B" w:rsidP="00A87413">
            <w:pPr>
              <w:pStyle w:val="NormalWeb"/>
              <w:spacing w:before="0" w:beforeAutospacing="0" w:after="0" w:afterAutospacing="0"/>
              <w:rPr>
                <w:rFonts w:eastAsia="Calibri"/>
                <w:sz w:val="18"/>
                <w:szCs w:val="18"/>
                <w:lang w:val="en-GB"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0A720C" w:rsidRPr="000A720C" w:rsidRDefault="000A720C" w:rsidP="00A87413">
            <w:pPr>
              <w:pStyle w:val="Heading1"/>
              <w:spacing w:before="0" w:line="240" w:lineRule="auto"/>
              <w:rPr>
                <w:rFonts w:ascii="Times New Roman" w:hAnsi="Times New Roman"/>
                <w:color w:val="auto"/>
                <w:sz w:val="18"/>
                <w:szCs w:val="18"/>
                <w:lang w:val="sq-AL" w:eastAsia="sq-AL" w:bidi="sq-AL"/>
              </w:rPr>
            </w:pPr>
            <w:r w:rsidRPr="000A720C">
              <w:rPr>
                <w:rFonts w:ascii="Times New Roman" w:hAnsi="Times New Roman"/>
                <w:color w:val="auto"/>
                <w:sz w:val="18"/>
                <w:szCs w:val="18"/>
                <w:lang w:val="sq-AL" w:eastAsia="sq-AL" w:bidi="sq-AL"/>
              </w:rPr>
              <w:t>Neni 72</w:t>
            </w:r>
          </w:p>
          <w:p w:rsidR="000A720C" w:rsidRPr="000A720C" w:rsidRDefault="000A720C" w:rsidP="00A87413">
            <w:pPr>
              <w:pStyle w:val="Heading1"/>
              <w:spacing w:before="0" w:line="240" w:lineRule="auto"/>
              <w:rPr>
                <w:rFonts w:ascii="Times New Roman" w:hAnsi="Times New Roman"/>
                <w:color w:val="auto"/>
                <w:sz w:val="18"/>
                <w:szCs w:val="18"/>
                <w:lang w:val="sq-AL" w:eastAsia="sq-AL" w:bidi="sq-AL"/>
              </w:rPr>
            </w:pPr>
            <w:r w:rsidRPr="000A720C">
              <w:rPr>
                <w:rFonts w:ascii="Times New Roman" w:hAnsi="Times New Roman"/>
                <w:color w:val="auto"/>
                <w:sz w:val="18"/>
                <w:szCs w:val="18"/>
                <w:lang w:val="sq-AL" w:eastAsia="sq-AL" w:bidi="sq-AL"/>
              </w:rPr>
              <w:t>Komiteti i Bashkërendimit të Luftës Kundër Pastrimit të Parave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1. Komiteti i Bashkërendimit të Luftës Kundër Pastrimit të Parave është përgjegjës për përcaktimin e drejtimeve të politikës së përgjithshme shtetërore në fushën e parandalimit dhe luftës kundër pastrimit të parave, financimit të terrorizmit dhe financimit të përhapjes së armëve të dëmtimit në masë, si dhe për sigurimin e mekanizmave efektivë të bashkëpunimit dhe koordinimit ndërinstitucional për zhvillimin dhe zbatimin e politikave dhe masave në këto fusha.</w:t>
            </w:r>
          </w:p>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 xml:space="preserve">3. Komiteti mblidhet të paktën 1 herë në vit për të shqyrtuar dhe analizuar raportet për veprimtaritë e kryera nga autoriteti përgjegjës, si dhe raportet për dokumentet e përgatitura nga institucionet dhe organizmat ndërkombëtarë, të cilat ushtrojnë veprimtaritë e tyre në fushën e luftës kundër pastrimit të parave, financimit të terrorizmit dhe financimit të përhapjes së armëve të dëmtimit në masë. Drejtori i përgjithshëm i autoritetit përgjegjës i ofron komitetit, sipas kërkesës së tij dhe vepron si këshilltar në mbledhjet e këtij komiteti. </w:t>
            </w:r>
          </w:p>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4. Në mbledhjet e komitetit mund të ftohen për të marrë pjesë ministra, deputetë, drejtues ose përfaqësues të institucioneve dhe ekspertë në fushën e parandalimit dhe luftës kundër pastrimit të parave, financimit të terrorizmit dhe financimit të përhapjes së armëve të dëmtimit në masë.</w:t>
            </w:r>
          </w:p>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5. Komiteti mund të krijojë grupe pune teknike dhe/ose operacionale për të ndihmuar në kryerjen e funksioneve që ka, si dhe për studimin e tipologjive e të teknikave të pastrimit të parave, financimit të terrorizmit dhe financimit të përhapjes së armëve të dëmtimit në masë, si dhe për të siguruar shkëmbimin e informacionit dhe koordinimin ndërmjet autoriteteve kompetente në zbatim të këtij ligji.</w:t>
            </w:r>
          </w:p>
          <w:p w:rsidR="002F6307"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6. Rregullat e funksionimit të komitetit përcaktohen në rregulloren e brendshme, të miratuar nga ky komitet.</w:t>
            </w:r>
          </w:p>
          <w:p w:rsidR="006E5B5B" w:rsidRPr="002F6307" w:rsidRDefault="002F6307" w:rsidP="00A8741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7. Bashkëpunimi me Autoritetin Evropian për Luftën kundër Pastrimit të Parave (AMLA) realizohet në përputhje me legjislacionin e Bashkimit Evropian dhe angazhimet që rrjedhin nga procesi i integrimit evropian dhe prodhon efekt të plotë pas anëtarësimit të Republikës së Shqipërisë në Bashkimin Evropian.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përmes forcimit të rolit të Komitetit të Bashkërendimit të Luftës Kundër Pastrimit të Parave si mekanizëm kombëtar për bashkëpunimin dhe koordinimin ndërinstitucional në fushën e PPP/FT.</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Komiteti siguron koordinimin ndërmjet politikëbërësve, autoriteteve mbikëqyrëse, autoriteteve tatimore dhe autoriteteve të tjera kompetente për zhvillimin dhe zbatimin e politikave dhe masave në fushën e PPP/FT. Dispozita mbulon gjithashtu koordinimin për parandalimin e moszbatimit dhe shmangies së sanksioneve financiare të synuara, si dhe mbështet përmbushjen e detyrimeve për vlerësimin dhe menaxhimin e rrezikut.</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Mekanizmi është i formalizuar në nivel ligjor dhe përfshin strukturë institucionale të nivelit të lartë, si dhe mundësinë e krijimit të grupeve teknike dhe operacionale për të garantuar zbatim efektiv.</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përfshin edhe parashikimin për bashkëpunimin me AMLA, me efekt pas anëtarësimit, në përputhje me statusin e Shqipërisë si vend kandidat.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i përket informacionit mbi pronësinë përfituese të marrë nga autoritetet kompetente në përputhje me kreun IV të Rregullores (BE) 2024/1624 dhe seksionit 1 të kreut II të kësaj direktive, shtetet anëtare sigurohen që autoritetet kompetente të jenë në gjendje t'jua sigurojnë këtë informacion autoriteteve kompetente homologe të shteteve të tjera anëtare apo vendeve të treta, në kohën e duhur dhe pa pagesë.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56219E" w:rsidRPr="0056219E" w:rsidRDefault="0056219E" w:rsidP="00A87413">
            <w:pPr>
              <w:widowControl w:val="0"/>
              <w:suppressAutoHyphens w:val="0"/>
              <w:spacing w:after="0" w:line="276" w:lineRule="auto"/>
              <w:rPr>
                <w:rFonts w:ascii="Times New Roman" w:eastAsia="Arial Unicode MS" w:hAnsi="Times New Roman"/>
                <w:color w:val="000000"/>
                <w:sz w:val="18"/>
                <w:szCs w:val="18"/>
                <w:lang w:val="sq-AL" w:eastAsia="en-US" w:bidi="en-US"/>
              </w:rPr>
            </w:pPr>
            <w:r w:rsidRPr="0056219E">
              <w:rPr>
                <w:rFonts w:ascii="Times New Roman" w:eastAsia="Arial Unicode MS" w:hAnsi="Times New Roman"/>
                <w:color w:val="000000"/>
                <w:sz w:val="18"/>
                <w:szCs w:val="18"/>
                <w:lang w:val="sq-AL" w:eastAsia="en-US" w:bidi="en-US"/>
              </w:rPr>
              <w:t>Neni 73</w:t>
            </w:r>
          </w:p>
          <w:p w:rsidR="0056219E" w:rsidRPr="0056219E" w:rsidRDefault="0056219E" w:rsidP="00A87413">
            <w:pPr>
              <w:widowControl w:val="0"/>
              <w:suppressAutoHyphens w:val="0"/>
              <w:spacing w:after="0" w:line="276" w:lineRule="auto"/>
              <w:rPr>
                <w:rFonts w:ascii="Times New Roman" w:eastAsia="Arial Unicode MS" w:hAnsi="Times New Roman"/>
                <w:sz w:val="18"/>
                <w:szCs w:val="18"/>
                <w:lang w:val="sq-AL" w:eastAsia="en-US" w:bidi="en-US"/>
              </w:rPr>
            </w:pPr>
            <w:r w:rsidRPr="0056219E">
              <w:rPr>
                <w:rFonts w:ascii="Times New Roman" w:eastAsia="Arial Unicode MS" w:hAnsi="Times New Roman"/>
                <w:color w:val="000000"/>
                <w:sz w:val="18"/>
                <w:szCs w:val="18"/>
                <w:lang w:val="sq-AL" w:eastAsia="en-US" w:bidi="en-US"/>
              </w:rPr>
              <w:t xml:space="preserve">Shkëmbimi </w:t>
            </w:r>
            <w:r w:rsidRPr="0056219E">
              <w:rPr>
                <w:rFonts w:ascii="Times New Roman" w:eastAsia="Arial Unicode MS" w:hAnsi="Times New Roman"/>
                <w:sz w:val="18"/>
                <w:szCs w:val="18"/>
                <w:lang w:val="sq-AL" w:eastAsia="en-US" w:bidi="en-US"/>
              </w:rPr>
              <w:t>ndërkombëtar i informacionit mbi pronësinë përfituese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A045B6" w:rsidRPr="00A045B6" w:rsidRDefault="00A045B6" w:rsidP="00A87413">
            <w:pPr>
              <w:pStyle w:val="NormalWeb"/>
              <w:spacing w:before="0" w:beforeAutospacing="0" w:after="0" w:afterAutospacing="0"/>
              <w:rPr>
                <w:rFonts w:eastAsia="Arial Unicode MS"/>
                <w:sz w:val="18"/>
                <w:szCs w:val="18"/>
                <w:lang w:val="sq-AL" w:eastAsia="sq-AL" w:bidi="sq-AL"/>
              </w:rPr>
            </w:pPr>
            <w:r w:rsidRPr="00A045B6">
              <w:rPr>
                <w:rFonts w:eastAsia="Arial Unicode MS"/>
                <w:sz w:val="18"/>
                <w:szCs w:val="18"/>
                <w:lang w:val="sq-AL" w:eastAsia="sq-AL" w:bidi="sq-AL"/>
              </w:rPr>
              <w:t>1. Autoritetet kompetente që disponojnë informacion mbi pronësinë përfituese, të marrë në përputhje me këtë ligj dhe Kapitullin IV të rregullores (BE) 2024/1624 dhe Seksioni 1 të kapitullit II të këtij ligji, sigurojnë vënien në dispozicion të këtij informacioni, në kohë të arsyeshme dhe pa pagesë, për autoritetet homologe të shteteve të tjera dhe të vendeve të treta, në përputhje me marrëveshjet ndërkombëtare dhe parimin e reciprocitetit.</w:t>
            </w:r>
          </w:p>
          <w:p w:rsidR="006E5B5B" w:rsidRPr="00A045B6" w:rsidRDefault="00A045B6" w:rsidP="00A87413">
            <w:pPr>
              <w:pStyle w:val="NormalWeb"/>
              <w:spacing w:before="0" w:beforeAutospacing="0" w:after="0" w:afterAutospacing="0"/>
              <w:rPr>
                <w:rFonts w:eastAsia="Arial Unicode MS"/>
                <w:sz w:val="18"/>
                <w:szCs w:val="18"/>
                <w:lang w:val="sq-AL" w:eastAsia="sq-AL" w:bidi="sq-AL"/>
              </w:rPr>
            </w:pPr>
            <w:r w:rsidRPr="00A045B6">
              <w:rPr>
                <w:rFonts w:eastAsia="Arial Unicode MS"/>
                <w:sz w:val="18"/>
                <w:szCs w:val="18"/>
                <w:lang w:val="sq-AL" w:eastAsia="sq-AL" w:bidi="sq-AL"/>
              </w:rPr>
              <w:t>2. Shkëmbimi i informacionit sipas pikës 1 kryhet në përputhje me legjislacionin për mbrojtjen e të dhënave personale dhe me detyrimet për ruajtjen e konfidencialitetit.</w:t>
            </w:r>
          </w:p>
        </w:tc>
        <w:tc>
          <w:tcPr>
            <w:tcW w:w="1356" w:type="dxa"/>
            <w:shd w:val="clear" w:color="auto" w:fill="auto"/>
            <w:vAlign w:val="center"/>
          </w:tcPr>
          <w:p w:rsidR="006E5B5B" w:rsidRPr="00F727DA" w:rsidRDefault="00A045B6"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kompetente për të vënë në dispozicion informacionin mbi përfituesit fundorë për autoritetet homologe të shteteve të tjera dhe të vendeve të treta, në kohë të arsyeshme dhe pa pagesë. Shkëmbimi realizohet në përputhje me legjislacionin për mbrojtjen e të dhënave personale dhe me marrëveshjet ndërkombëtare në fuqi. Dispozita konsiderohet fully transposed.</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nuk ndalojnë apo nuk vendosin kufizime të padrejta ose të paarsyeshme për shkëmbimin e informacionit ose asistencën midis autoriteteve kompetente dhe homologëve të tyre për qëllime të kësaj direktive. Shtetet anëtare garantojnë që autoritetet kompetente të mos e refuzojnë një kërkesë për asistencë për shkaqet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A045B6" w:rsidRPr="00A045B6" w:rsidRDefault="00A045B6" w:rsidP="00A87413">
            <w:pPr>
              <w:widowControl w:val="0"/>
              <w:snapToGrid w:val="0"/>
              <w:spacing w:after="0" w:line="240" w:lineRule="auto"/>
              <w:rPr>
                <w:rFonts w:ascii="Times New Roman" w:hAnsi="Times New Roman"/>
                <w:sz w:val="18"/>
                <w:szCs w:val="18"/>
                <w:lang w:val="sq-AL" w:eastAsia="sq-AL" w:bidi="sq-AL"/>
              </w:rPr>
            </w:pPr>
            <w:r w:rsidRPr="00A045B6">
              <w:rPr>
                <w:rFonts w:ascii="Times New Roman" w:hAnsi="Times New Roman"/>
                <w:sz w:val="18"/>
                <w:szCs w:val="18"/>
                <w:lang w:val="sq-AL" w:eastAsia="sq-AL" w:bidi="sq-AL"/>
              </w:rPr>
              <w:t>Neni 74</w:t>
            </w:r>
          </w:p>
          <w:p w:rsidR="00A045B6" w:rsidRPr="00A045B6" w:rsidRDefault="00A045B6" w:rsidP="00A87413">
            <w:pPr>
              <w:widowControl w:val="0"/>
              <w:snapToGrid w:val="0"/>
              <w:spacing w:after="0" w:line="240" w:lineRule="auto"/>
              <w:rPr>
                <w:rFonts w:ascii="Times New Roman" w:hAnsi="Times New Roman"/>
                <w:sz w:val="18"/>
                <w:szCs w:val="18"/>
                <w:lang w:val="sq-AL" w:eastAsia="sq-AL" w:bidi="sq-AL"/>
              </w:rPr>
            </w:pPr>
            <w:r w:rsidRPr="00A045B6">
              <w:rPr>
                <w:rFonts w:ascii="Times New Roman" w:hAnsi="Times New Roman"/>
                <w:sz w:val="18"/>
                <w:szCs w:val="18"/>
                <w:lang w:val="sq-AL" w:eastAsia="sq-AL" w:bidi="sq-AL"/>
              </w:rPr>
              <w:t>Shkëmbimi ndërkufitar i informacionit AIF</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5F6F44" w:rsidRPr="005F6F44" w:rsidRDefault="005F6F44" w:rsidP="00A8741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 xml:space="preserve">1. Agjencia e Inteligjencës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rsidR="005F6F44" w:rsidRPr="005F6F44" w:rsidRDefault="005F6F44" w:rsidP="00A8741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2. Agjencia mund të hyjë në marrëveshje me çdo agjenci homologe të huaj, apo organizma të tjera jashtë vendit, që iu nënshtrohet detyrimeve të ngjashme të konfidencialitetit.</w:t>
            </w:r>
          </w:p>
          <w:p w:rsidR="005F6F44" w:rsidRPr="005F6F44" w:rsidRDefault="005F6F44" w:rsidP="00A8741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3. Agjencia mund të refuzojë shkëmbimin e informacionit me agjencitë homologe të huaja vetëm në rrethana të jashtëzakonshme kur shkëmbimi vlerësohet se është në kundërshtim me parimet themelore të legjislacionit shqiptar.</w:t>
            </w:r>
          </w:p>
          <w:p w:rsidR="006E5B5B" w:rsidRPr="005F6F44" w:rsidRDefault="005F6F44" w:rsidP="00A8741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4. Refuzimi i një kërkese për informacion ose ndihmë nuk mund të bazohet në faktin se:</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431D1E" w:rsidP="00A87413">
            <w:pPr>
              <w:pStyle w:val="Paragrafi"/>
              <w:ind w:firstLine="0"/>
              <w:jc w:val="center"/>
              <w:rPr>
                <w:rFonts w:ascii="Times New Roman" w:eastAsia="Calibri" w:hAnsi="Times New Roman"/>
                <w:sz w:val="18"/>
                <w:szCs w:val="18"/>
                <w:lang w:val="en-GB" w:eastAsia="sq-AL" w:bidi="sq-AL"/>
              </w:rPr>
            </w:pPr>
            <w:r>
              <w:rPr>
                <w:rFonts w:ascii="Times New Roman" w:eastAsia="Calibri" w:hAnsi="Times New Roman"/>
                <w:sz w:val="18"/>
                <w:szCs w:val="18"/>
                <w:lang w:val="en-GB" w:eastAsia="sq-AL" w:bidi="sq-AL"/>
              </w:rPr>
              <w:t>F</w:t>
            </w:r>
          </w:p>
        </w:tc>
        <w:tc>
          <w:tcPr>
            <w:tcW w:w="3324" w:type="dxa"/>
            <w:shd w:val="clear" w:color="auto" w:fill="auto"/>
            <w:vAlign w:val="center"/>
          </w:tcPr>
          <w:p w:rsidR="006E5B5B" w:rsidRPr="00F727DA" w:rsidRDefault="006E5B5B" w:rsidP="00A8741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 xml:space="preserve">Kjo disposite është transpozuar sipas autoriteteve përkatëse të cilat kanë edhe sipozitat referuese ligjore. </w:t>
            </w:r>
          </w:p>
          <w:p w:rsidR="006E5B5B" w:rsidRPr="00F727DA" w:rsidRDefault="006E5B5B" w:rsidP="00A8741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Dispozita transpozon nenin 61(3) duke parashikuar që Agjencia e Inteligjencës Financiare shkëmben informacion dhe ofron ndihmë reciproke me homologët e saj të huaj pa vendosur kufizime të paarsyeshme ose kushte të panevojshme.</w:t>
            </w:r>
          </w:p>
          <w:p w:rsidR="006E5B5B" w:rsidRPr="00F727DA" w:rsidRDefault="006E5B5B" w:rsidP="00A8741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Ligji përcakton shprehimisht se një kërkesë për informacion ose ndihmë nuk mund të refuzohet me arsyetimin se ajo përfshin çështje tatimore, se informacioni i kërkuar i nënshtrohet detyrimeve të përgjithshme të konfidencialitetit të subjekteve raportuese, se është në zhvillim një analizë apo hetim në vend, ose për shkak të dallimeve në natyrën apo statusin e autoritetit homolog kërkues. Përjashtim bëhet vetëm për rastet kur informacioni mbrohet nga privilegji ligjor ose sekreti profesional, sipas legjislacionit në fuqi.</w:t>
            </w:r>
          </w:p>
          <w:p w:rsidR="006E5B5B" w:rsidRPr="00F727DA" w:rsidRDefault="006E5B5B" w:rsidP="00A87413">
            <w:pPr>
              <w:pStyle w:val="Paragrafi"/>
              <w:ind w:firstLine="0"/>
              <w:jc w:val="left"/>
              <w:rPr>
                <w:rFonts w:ascii="Times New Roman" w:eastAsia="Calibri" w:hAnsi="Times New Roman"/>
                <w:sz w:val="18"/>
                <w:szCs w:val="18"/>
                <w:lang w:val="en-GB"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konsiderohet se përfshin edhe çështje tatimore;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kërkesa përfshin edhe çështje tatimore;</w:t>
            </w:r>
          </w:p>
          <w:p w:rsidR="006E5B5B" w:rsidRPr="00F727DA" w:rsidRDefault="006E5B5B" w:rsidP="00A87413">
            <w:pPr>
              <w:suppressAutoHyphens w:val="0"/>
              <w:spacing w:after="0" w:line="240" w:lineRule="auto"/>
              <w:rPr>
                <w:rFonts w:ascii="Times New Roman" w:hAnsi="Times New Roman"/>
                <w:sz w:val="18"/>
                <w:szCs w:val="18"/>
                <w:lang w:eastAsia="sq-AL" w:bidi="sq-AL"/>
              </w:rPr>
            </w:pP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5F6F4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i brendshëm u kërkon subjekteve të detyruara të ruajnë fshehtësinë ose konfidencialitetin, përveç rasteve kur informacioni përkatës i kërkuar është i mbrojtur nga privilegji juridik ose kur gjen zbatim sekreti profesional, siç parashikohet në nenin 70, paragrafi 2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legjislacioni kombëtar kërkon ruajtjen e sekretit ose konfidencialitetit nga subjektet raportuese, përveç rasteve kur informacioni i kërkuar mbrohet nga privilegji ligjor ose nga sekreti profesional i avokatit, sipas legjislacionit në fuqi;</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5F6F4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shtetin anëtar marrës të kërkesës po zhvillohet një hetim, proces gjyqësor, ose analizë e NjIF-së, përveçse në rastet kur asistenca do të përbënte pengesë për atë hetim, proces gjyqësor, ose analizë të NjIF-së;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është në zhvillim një hetim, procedim, proces gjyqësor ose analizë nga Agjencia, përveç rasteve kur ofrimi i ndihmës do të pengonte drejtpërdrejt këtë hetim, procedim, proces ose analizë;</w:t>
            </w:r>
          </w:p>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5F6F4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natyra ose statusi i autoritetit kompetent kërkues homolog ndryshon nga natyra ose statusi i autoritetit kompetent marrës të kërkesës.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lang w:eastAsia="sq-AL" w:bidi="sq-AL"/>
              </w:rPr>
              <w:t>d) natyra ose statusi i autoritetit homolog kërkues është i ndryshëm nga ai i Agjencisë.</w:t>
            </w:r>
          </w:p>
        </w:tc>
        <w:tc>
          <w:tcPr>
            <w:tcW w:w="1356" w:type="dxa"/>
            <w:shd w:val="clear" w:color="auto" w:fill="auto"/>
            <w:vAlign w:val="center"/>
          </w:tcPr>
          <w:p w:rsidR="006E5B5B" w:rsidRPr="00F727DA" w:rsidRDefault="005F6F44"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C30CCB" w:rsidRPr="00C30CCB" w:rsidRDefault="00C30CCB" w:rsidP="00A87413">
            <w:pPr>
              <w:pStyle w:val="Heading1"/>
              <w:spacing w:before="0" w:line="240" w:lineRule="auto"/>
              <w:rPr>
                <w:rFonts w:ascii="Times New Roman" w:hAnsi="Times New Roman"/>
                <w:color w:val="auto"/>
                <w:sz w:val="18"/>
                <w:szCs w:val="18"/>
                <w:lang w:val="sq-AL" w:eastAsia="sq-AL" w:bidi="sq-AL"/>
              </w:rPr>
            </w:pPr>
            <w:r w:rsidRPr="00C30CCB">
              <w:rPr>
                <w:rFonts w:ascii="Times New Roman" w:hAnsi="Times New Roman"/>
                <w:color w:val="auto"/>
                <w:sz w:val="18"/>
                <w:szCs w:val="18"/>
                <w:lang w:val="sq-AL" w:eastAsia="sq-AL" w:bidi="sq-AL"/>
              </w:rPr>
              <w:t>Neni 75</w:t>
            </w:r>
          </w:p>
          <w:p w:rsidR="00C30CCB" w:rsidRPr="00C30CCB" w:rsidRDefault="00C30CCB" w:rsidP="00A87413">
            <w:pPr>
              <w:pStyle w:val="Heading1"/>
              <w:spacing w:before="0" w:line="240" w:lineRule="auto"/>
              <w:rPr>
                <w:rFonts w:ascii="Times New Roman" w:hAnsi="Times New Roman"/>
                <w:color w:val="auto"/>
                <w:sz w:val="18"/>
                <w:szCs w:val="18"/>
                <w:lang w:val="sq-AL" w:eastAsia="sq-AL" w:bidi="sq-AL"/>
              </w:rPr>
            </w:pPr>
            <w:r w:rsidRPr="00C30CCB">
              <w:rPr>
                <w:rFonts w:ascii="Times New Roman" w:hAnsi="Times New Roman"/>
                <w:color w:val="auto"/>
                <w:sz w:val="18"/>
                <w:szCs w:val="18"/>
                <w:lang w:val="sq-AL" w:eastAsia="sq-AL" w:bidi="sq-AL"/>
              </w:rPr>
              <w:t>Shkëmbimi ndërkufitar i informacionit nga autoritetet kompetente</w:t>
            </w:r>
          </w:p>
          <w:p w:rsidR="006E5B5B" w:rsidRPr="00C30CCB"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1. 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2. Shkëmbimi i informacionit dhe ndihma reciproke sipas pikës 1 nuk ndalohen dhe nuk i nënshtrohen kushteve të paarsyeshme ose kufizuese.</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3. Autoritetet kompetente nuk refuzojnë një kërkesë për informacion ose ndihmë me arsyetimin se:</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a) kërkesa përfshin edhe çështje tatimore;</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b) legjislacioni kombëtar kërkon ruajtjen e sekretit ose konfidencialitetit nga subjektet raportuese, përveç rasteve kur informacioni i kërkuar mbrohet nga privilegji ligjor ose nga sekreti profesional i avokatit, sipas legjislacionit në fuqi;</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c) në Republikën e Shqipërisë është në zhvillim një hetim, procedim, proces gjyqësor ose analizë, përveç rasteve kur ofrimi i ndihmës do të pengonte drejtpërdrejt këtë hetim, procedim, proces ose analizë;</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d) natyra ose statusi i autoritetit homolog kërkues është i ndryshëm nga ai i autoritetit kompetent shqiptar.</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 xml:space="preserve">4. Shkëmbimi i informacionit kryhet në përputhje me legjislacionin për mbrojtjen e të dhënave personale, detyrimet për ruajtjen e konfidencialitetit dhe marrëveshjet ndërkombëtare në fuqi. </w:t>
            </w:r>
          </w:p>
          <w:p w:rsidR="007E0E38" w:rsidRPr="007E0E38" w:rsidRDefault="007E0E38" w:rsidP="00A87413">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5. Dispozitat e këtij neni zbatohen pa cenuar kompetencat dhe procedurat e parashikuara nga legjislacioni procedural penal dhe nga rregullat për asistencën juridike ndërkombëtare në çështjet penale.</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0E5725"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përmes një norme horizontale që zbatohet për të gjitha autoritetet kompetente sipas ligjit për parandalimin e pastrimit të parave dhe financimit të terrorizmit, përfshirë Agjencinë e Inteligjencës Financiare, autoritetet mbikëqyrëse, autoritetet tatimore dhe autoritetet e ndjekjes penale, në kuadër të kompetencave të tyre.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Ligji parashikon që shkëmbimi ndërkufitar i informacionit dhe ndihma reciproke nuk mund të ndalohen ose t’i nënshtrohen kushteve të paarsyeshme apo kufizuese. Gjithashtu, përcaktohen shprehimisht arsyet që nuk mund të përdoren për refuzimin e një kërkese për informacion ose ndihmë, përfshirë faktin që kërkesa përfshin çështje tatimore, ekzistencën e detyrimeve të konfidencialitetit, zhvillimin e hetimeve në vend, ose dallimin në natyrë apo status ndërmjet autoriteteve.</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zbatohet pa cenuar kompetencat dhe procedurat e parashikuara nga legjislacioni procedural penal dhe rregullat për asistencën juridike ndërkombëtare, duke garantuar përputhshmëri me rendin kushtetues dhe kuadrin procedural kombëtar.</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62</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Komunikimi i listës së autoriteteve kompetente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lehtësuar dhe nxitur bashkëpunimin efektiv dhe në veçanti, shkëmbimin e informacionit, shtetet anëtare i komunikojnë Komisionit dhe AMLA-s: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8B7DA4" w:rsidRPr="008B7DA4" w:rsidRDefault="008B7DA4" w:rsidP="00A87413">
            <w:pPr>
              <w:widowControl w:val="0"/>
              <w:snapToGrid w:val="0"/>
              <w:spacing w:after="0" w:line="240" w:lineRule="auto"/>
              <w:rPr>
                <w:rFonts w:ascii="Times New Roman" w:hAnsi="Times New Roman"/>
                <w:sz w:val="18"/>
                <w:szCs w:val="18"/>
                <w:lang w:val="sq-AL" w:eastAsia="sq-AL" w:bidi="sq-AL"/>
              </w:rPr>
            </w:pPr>
            <w:r w:rsidRPr="008B7DA4">
              <w:rPr>
                <w:rFonts w:ascii="Times New Roman" w:hAnsi="Times New Roman"/>
                <w:sz w:val="18"/>
                <w:szCs w:val="18"/>
                <w:lang w:val="sq-AL" w:eastAsia="sq-AL" w:bidi="sq-AL"/>
              </w:rPr>
              <w:t>Neni 76</w:t>
            </w:r>
          </w:p>
          <w:p w:rsidR="008B7DA4" w:rsidRPr="008B7DA4" w:rsidRDefault="008B7DA4" w:rsidP="00A87413">
            <w:pPr>
              <w:widowControl w:val="0"/>
              <w:snapToGrid w:val="0"/>
              <w:spacing w:after="0" w:line="240" w:lineRule="auto"/>
              <w:rPr>
                <w:rFonts w:ascii="Times New Roman" w:hAnsi="Times New Roman"/>
                <w:sz w:val="18"/>
                <w:szCs w:val="18"/>
                <w:lang w:val="sq-AL" w:eastAsia="sq-AL" w:bidi="sq-AL"/>
              </w:rPr>
            </w:pPr>
            <w:r w:rsidRPr="008B7DA4">
              <w:rPr>
                <w:rFonts w:ascii="Times New Roman" w:hAnsi="Times New Roman"/>
                <w:sz w:val="18"/>
                <w:szCs w:val="18"/>
                <w:lang w:val="sq-AL" w:eastAsia="sq-AL" w:bidi="sq-AL"/>
              </w:rPr>
              <w:t>Komunikimi i listës së autoriteteve kompetente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46B26" w:rsidRDefault="00846B26" w:rsidP="00A87413">
            <w:pPr>
              <w:suppressAutoHyphens w:val="0"/>
              <w:spacing w:after="0" w:line="240" w:lineRule="auto"/>
              <w:rPr>
                <w:rFonts w:ascii="Times New Roman" w:hAnsi="Times New Roman"/>
                <w:sz w:val="18"/>
                <w:szCs w:val="18"/>
                <w:lang w:val="sq-AL" w:eastAsia="sq-AL" w:bidi="sq-AL"/>
              </w:rPr>
            </w:pPr>
            <w:r w:rsidRPr="00846B26">
              <w:rPr>
                <w:rFonts w:ascii="Times New Roman" w:hAnsi="Times New Roman"/>
                <w:sz w:val="18"/>
                <w:szCs w:val="18"/>
                <w:lang w:val="sq-AL" w:eastAsia="sq-AL" w:bidi="sq-AL"/>
              </w:rPr>
              <w:t>1. Për qëllime të lehtësimit dhe promovimit të bashkëpunimit efektiv dhe shkëmbimit të informacionit në, autoriteti përgjegjës komunikon pranë institucioneve përkatëse të Bashkimit Evropian:</w:t>
            </w:r>
          </w:p>
        </w:tc>
        <w:tc>
          <w:tcPr>
            <w:tcW w:w="1356" w:type="dxa"/>
            <w:shd w:val="clear" w:color="auto" w:fill="auto"/>
            <w:vAlign w:val="center"/>
          </w:tcPr>
          <w:p w:rsidR="006E5B5B" w:rsidRPr="00F727DA" w:rsidRDefault="00846B26" w:rsidP="00A87413">
            <w:pPr>
              <w:widowControl w:val="0"/>
              <w:snapToGrid w:val="0"/>
              <w:spacing w:after="0" w:line="240" w:lineRule="auto"/>
              <w:jc w:val="center"/>
              <w:rPr>
                <w:rFonts w:ascii="Times New Roman" w:hAnsi="Times New Roman"/>
                <w:sz w:val="18"/>
                <w:szCs w:val="18"/>
                <w:lang w:eastAsia="sq-AL" w:bidi="sq-AL"/>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listës së autoriteteve mbikëqyrëse dhe, kur është e zbatueshme, të autoritetit publik që mbikëqyr organet vetërregulluese, së bashku me të dhënat e kontaktit përkatës. Detyrimi për komunikim formal ndaj Komisionit dhe AMLA është parashikuar me formulim future-operational,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mbikëqyrësve përgjegjës për mbikëqyrjen e pajtueshmërisë së subjekteve të detyruara me Rregulloren (BE) 2024/1624, dhe sipas rastit, emrin e autoritetit publik që mbikëqyr organet vetërregulluese në ushtrimin e funksioneve të tyre mbikëqyrëse sipas kësaj direktive, si dhe të dhënat e tyre të kontaktit;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me të dhënat përkatëse të kontaktit;</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846B26" w:rsidP="00A87413">
            <w:pPr>
              <w:widowControl w:val="0"/>
              <w:snapToGrid w:val="0"/>
              <w:spacing w:after="0" w:line="240" w:lineRule="auto"/>
              <w:jc w:val="center"/>
              <w:rPr>
                <w:rFonts w:ascii="Times New Roman" w:hAnsi="Times New Roman"/>
                <w:sz w:val="18"/>
                <w:szCs w:val="18"/>
                <w:lang w:eastAsia="sq-AL" w:bidi="sq-AL"/>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kontaktit të NjIF-së së tyre;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dhënat e kontaktit të Agjencisë së Inteligjencës Financiare, në cilësinë e saj si Njësi e Inteligjencës Financiare.</w:t>
            </w:r>
          </w:p>
        </w:tc>
        <w:tc>
          <w:tcPr>
            <w:tcW w:w="1356" w:type="dxa"/>
            <w:shd w:val="clear" w:color="auto" w:fill="auto"/>
          </w:tcPr>
          <w:p w:rsidR="006E5B5B" w:rsidRPr="00F727DA" w:rsidRDefault="00846B26" w:rsidP="00A87413">
            <w:pPr>
              <w:spacing w:after="0"/>
              <w:jc w:val="center"/>
              <w:rPr>
                <w:sz w:val="18"/>
                <w:szCs w:val="18"/>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të dhënave të kontaktit të Agjencisë së Inteligjencës Financiare, si Njësi e Inteligjencës Financiare. Elementi i njoftimit formal ndaj institucioneve të BE-së është parashikuar me formulim future-operational.</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autoriteteve të tjera kompetente kombëtare.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listën e autoriteteve të tjera kompetente kombëtare.</w:t>
            </w:r>
          </w:p>
        </w:tc>
        <w:tc>
          <w:tcPr>
            <w:tcW w:w="1356" w:type="dxa"/>
            <w:shd w:val="clear" w:color="auto" w:fill="auto"/>
          </w:tcPr>
          <w:p w:rsidR="006E5B5B" w:rsidRPr="00F727DA" w:rsidRDefault="00846B26" w:rsidP="00A87413">
            <w:pPr>
              <w:spacing w:after="0"/>
              <w:jc w:val="center"/>
              <w:rPr>
                <w:sz w:val="18"/>
                <w:szCs w:val="18"/>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listës së autoriteteve të tjera kompetente kombëtare përgjegjëse për zbatimin e kuadrit AML/CFT, së bashku me të dhënat e kontaktit përkatëse. Detyrimi për komunikim formal ndaj institucioneve të BE-së është parashikuar me formulim future-operational,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sigurohen të dhënat e kontaktit në vijim: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Për qëllime të pikës 1 të këtij neni, të dhënat e kontaktit përfshijnë, të paktën:</w:t>
            </w:r>
          </w:p>
        </w:tc>
        <w:tc>
          <w:tcPr>
            <w:tcW w:w="1356" w:type="dxa"/>
            <w:shd w:val="clear" w:color="auto" w:fill="auto"/>
          </w:tcPr>
          <w:p w:rsidR="006E5B5B" w:rsidRPr="00F727DA" w:rsidRDefault="004F6F93" w:rsidP="00A87413">
            <w:pPr>
              <w:spacing w:after="0"/>
              <w:jc w:val="center"/>
              <w:rPr>
                <w:sz w:val="18"/>
                <w:szCs w:val="18"/>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pikë kontakti, ose, në mungesë të saj, emrin dhe rolin e personit të kontaktit;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pikën e kontaktit përgjegjëse për bashkëpunimin ndërkombëtar në fushën e PPP/FT ose, në mungesë të saj, emrin dhe funksionin e personit përgjegjës për këtë bashkëpunim;</w:t>
            </w:r>
          </w:p>
        </w:tc>
        <w:tc>
          <w:tcPr>
            <w:tcW w:w="1356" w:type="dxa"/>
            <w:shd w:val="clear" w:color="auto" w:fill="auto"/>
          </w:tcPr>
          <w:p w:rsidR="006E5B5B" w:rsidRPr="00F727DA" w:rsidRDefault="004F6F93" w:rsidP="00A87413">
            <w:pPr>
              <w:spacing w:after="0"/>
              <w:jc w:val="center"/>
              <w:rPr>
                <w:sz w:val="18"/>
                <w:szCs w:val="18"/>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emaili dhe numri i telefonit i pikës së kontaktit, ose, në mungesë të saj, adresa e emailit dhe numri i telefonit të punës i personit të kontaktit.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adresën elektronike dhe numrin e telefonit të pikës së kontaktit ose, në mungesë të saj, adresën elektronike profesionale dhe numrin e telefonit të personit përgjegjës për bashkëpunimin ndërkombëtar.</w:t>
            </w:r>
          </w:p>
        </w:tc>
        <w:tc>
          <w:tcPr>
            <w:tcW w:w="1356" w:type="dxa"/>
            <w:shd w:val="clear" w:color="auto" w:fill="auto"/>
            <w:vAlign w:val="center"/>
          </w:tcPr>
          <w:p w:rsidR="006E5B5B" w:rsidRPr="00F727DA" w:rsidRDefault="004F6F93" w:rsidP="00A87413">
            <w:pPr>
              <w:widowControl w:val="0"/>
              <w:snapToGrid w:val="0"/>
              <w:spacing w:after="0" w:line="240" w:lineRule="auto"/>
              <w:jc w:val="center"/>
              <w:rPr>
                <w:rFonts w:ascii="Times New Roman" w:hAnsi="Times New Roman"/>
                <w:sz w:val="18"/>
                <w:szCs w:val="18"/>
                <w:lang w:eastAsia="sq-AL" w:bidi="sq-AL"/>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informacioni që i dërgohet Komisionit dhe AMLA-s në përputhje me paragrafin 1, të përditësohet në momentin e ndodhjes së një ndryshimi.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Autoriteti përgjegjës siguron që informacioni i komunikuar sipas këtij neni të përditësohet pa vonesë sa herë që ndodh një ndryshim në të dhënat përkatëse.</w:t>
            </w:r>
          </w:p>
        </w:tc>
        <w:tc>
          <w:tcPr>
            <w:tcW w:w="1356" w:type="dxa"/>
            <w:shd w:val="clear" w:color="auto" w:fill="auto"/>
            <w:vAlign w:val="center"/>
          </w:tcPr>
          <w:p w:rsidR="006E5B5B" w:rsidRPr="00F727DA" w:rsidRDefault="004F6F93" w:rsidP="00A87413">
            <w:pPr>
              <w:widowControl w:val="0"/>
              <w:snapToGrid w:val="0"/>
              <w:spacing w:after="0" w:line="240" w:lineRule="auto"/>
              <w:rPr>
                <w:rFonts w:ascii="Times New Roman" w:hAnsi="Times New Roman"/>
                <w:sz w:val="18"/>
                <w:szCs w:val="18"/>
                <w:lang w:eastAsia="sq-AL" w:bidi="sq-AL"/>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publikon në faqen e saj të internetit një regjistër të autoriteteve të përmendura në paragrafin 1 dhe lehtëson shkëmbimin e informacionit të përmendur në paragrafin 2 ndërmjet autoriteteve kompetente. Autoritetet në regjistër, brenda objektit të kompetencave të tyre, shërbejnë si pikë kontakti për autoritetet kompetente homologe. NjIF-të dhe autoritetet mbikëqyrëse shërbejnë gjithashtu si pikë kontakti për AMLA-n.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rsidR="004F6F93" w:rsidRPr="004F6F93" w:rsidRDefault="004F6F93" w:rsidP="00A87413">
            <w:pPr>
              <w:pStyle w:val="NormalWeb"/>
              <w:spacing w:before="0" w:beforeAutospacing="0" w:after="0" w:afterAutospacing="0"/>
              <w:rPr>
                <w:rFonts w:eastAsia="Calibri"/>
                <w:sz w:val="18"/>
                <w:szCs w:val="18"/>
                <w:lang w:val="en-GB" w:eastAsia="sq-AL" w:bidi="sq-AL"/>
              </w:rPr>
            </w:pPr>
            <w:r w:rsidRPr="004F6F93">
              <w:rPr>
                <w:rFonts w:eastAsia="Calibri"/>
                <w:sz w:val="18"/>
                <w:szCs w:val="18"/>
                <w:lang w:val="en-GB" w:eastAsia="sq-AL" w:bidi="sq-AL"/>
              </w:rPr>
              <w:t>5. Agjencia e Inteligjencës Financiare dhe autoritetet mbikëqyrëse, Brenda kompetencave të tyre, shërbejnë si pikë kontakti për Autoritetin Evropian për Luftën kundër Pastrimit të Parave (AMLA).</w:t>
            </w:r>
          </w:p>
          <w:p w:rsidR="006E5B5B" w:rsidRPr="004B0B45" w:rsidRDefault="004F6F93" w:rsidP="00A87413">
            <w:pPr>
              <w:pStyle w:val="NormalWeb"/>
              <w:spacing w:before="0" w:beforeAutospacing="0" w:after="0" w:afterAutospacing="0"/>
              <w:rPr>
                <w:rFonts w:eastAsia="Calibri"/>
                <w:sz w:val="18"/>
                <w:szCs w:val="18"/>
                <w:lang w:val="en-GB" w:eastAsia="sq-AL" w:bidi="sq-AL"/>
              </w:rPr>
            </w:pPr>
            <w:r w:rsidRPr="004F6F93">
              <w:rPr>
                <w:rFonts w:eastAsia="Calibri"/>
                <w:sz w:val="18"/>
                <w:szCs w:val="18"/>
                <w:lang w:val="en-GB" w:eastAsia="sq-AL" w:bidi="sq-AL"/>
              </w:rPr>
              <w:t>6. Bashkëpunimi me Komisionin dhe Autoritetin Evropian për Luftën kundër Pastrimit të Parave (AMLA) për zbatimin e këtij neni realizohet në përputhje me marrëveshjet ndërkombëtare, legjislacionin e Bashkimit Evropian dhe angazhimet që rrjedhin nga procesi i integrimit evropian dhe prodhon efekt të plotë pas anëtarësimit të Republikës së Shqipërisë në Bashkimin Evropian.</w:t>
            </w:r>
          </w:p>
        </w:tc>
        <w:tc>
          <w:tcPr>
            <w:tcW w:w="1356" w:type="dxa"/>
            <w:shd w:val="clear" w:color="auto" w:fill="auto"/>
            <w:vAlign w:val="center"/>
          </w:tcPr>
          <w:p w:rsidR="006E5B5B" w:rsidRPr="00F727DA" w:rsidRDefault="004F6F93" w:rsidP="00A87413">
            <w:pPr>
              <w:widowControl w:val="0"/>
              <w:snapToGrid w:val="0"/>
              <w:spacing w:after="0" w:line="240" w:lineRule="auto"/>
              <w:jc w:val="center"/>
              <w:rPr>
                <w:rFonts w:ascii="Times New Roman" w:hAnsi="Times New Roman"/>
                <w:sz w:val="18"/>
                <w:szCs w:val="18"/>
                <w:lang w:eastAsia="sq-AL" w:bidi="sq-AL"/>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parashikuar që autoritetet kompetente të shërbejnë si pika kontakti për homologët e tyre ndërkombëtarë, ndërsa Agjencia e Inteligjencës Financiare dhe autoritetet mbikëqyrëse shërbejnë si pika kontakti për AMLA. Elementi që lidhet me publikimin e regjistrit nga AMLA është trajtuar si kompetencë e autoritetit evropian dhe zbatohet pas anëtarësimit të Republikës së Shqipërisë në Bashkimin Evropian.</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63</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Bashkëpunimi me AMLA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dhe autoritetet mbikëqyrëse bashkëpunojnë me AMLA-n dhe i vënë në dispozicion të gjithë informacionin e nevojshëm për t’i mundësuar realizimin e detyrave në kuadër të kësaj Direktive dhe Rregulloreve (BE) 2024/1624 dhe (BE) 2024/1620.</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AF327C" w:rsidRPr="00AF327C" w:rsidRDefault="00AF327C" w:rsidP="00A87413">
            <w:pPr>
              <w:widowControl w:val="0"/>
              <w:snapToGrid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Neni 77</w:t>
            </w:r>
          </w:p>
          <w:p w:rsidR="00AF327C" w:rsidRPr="00AF327C" w:rsidRDefault="00AF327C" w:rsidP="00A87413">
            <w:pPr>
              <w:widowControl w:val="0"/>
              <w:snapToGrid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Bashkëpunimi me AMLA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AF327C" w:rsidRPr="00AF327C" w:rsidRDefault="00AF327C" w:rsidP="00A87413">
            <w:pPr>
              <w:widowControl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1. 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rsidR="006E5B5B" w:rsidRPr="00AF327C" w:rsidRDefault="00AF327C" w:rsidP="00A87413">
            <w:pPr>
              <w:widowControl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2. Bashkëpunimi me Autoritetin Evropian për Luftën kundër Pastrimit të Parave (AMLA) për zbatimin e pikës 1 realizohet në përputhje me legjislacionin e Bashkimit Evropian dhe angazhimet që rrjedhin nga procesi i integrimit evropian, marrëveshjet ndërkombëtare  dhe prodhon efekt të plotë pas anëtarësimit të Republikës së Shqipërisë në Bashkimin Evropian.</w:t>
            </w:r>
          </w:p>
        </w:tc>
        <w:tc>
          <w:tcPr>
            <w:tcW w:w="1356" w:type="dxa"/>
            <w:shd w:val="clear" w:color="auto" w:fill="auto"/>
            <w:vAlign w:val="center"/>
          </w:tcPr>
          <w:p w:rsidR="006E5B5B" w:rsidRPr="00F727DA" w:rsidRDefault="00AF327C" w:rsidP="00A87413">
            <w:pPr>
              <w:widowControl w:val="0"/>
              <w:snapToGrid w:val="0"/>
              <w:spacing w:after="0" w:line="240" w:lineRule="auto"/>
              <w:rPr>
                <w:rFonts w:ascii="Times New Roman" w:hAnsi="Times New Roman"/>
                <w:sz w:val="18"/>
                <w:szCs w:val="18"/>
                <w:lang w:eastAsia="sq-AL" w:bidi="sq-AL"/>
              </w:rPr>
            </w:pPr>
            <w:r w:rsidRPr="00AF327C">
              <w:rPr>
                <w:rFonts w:ascii="Times New Roman" w:hAnsi="Times New Roman"/>
                <w:sz w:val="18"/>
                <w:szCs w:val="18"/>
                <w:lang w:eastAsia="sq-AL" w:bidi="sq-AL"/>
              </w:rPr>
              <w:t>Operacional në të ardhmen</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Agjencisë së Inteligjencës Financiare dhe të autoriteteve mbikëqyrëse për të bashkëpunuar me AMLA dhe për t’i vënë në dispozicion informacionin e nevojshëm për ushtrimin e kompetencave të saj. Detyrimi prodhon efekt të plotë pas anëtarësimit të Republikës së Shqipërisë në Bashkimin Evropian dhe është në përputhje me legjislacionin e BE-së. Transpozimi konsiderohet future-operational.</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Heading2"/>
              <w:spacing w:before="0" w:beforeAutospacing="0" w:after="0" w:afterAutospacing="0" w:line="276" w:lineRule="auto"/>
              <w:rPr>
                <w:rFonts w:eastAsia="Calibri"/>
                <w:bCs w:val="0"/>
                <w:sz w:val="18"/>
                <w:szCs w:val="18"/>
                <w:lang w:val="en-GB" w:eastAsia="sq-AL" w:bidi="sq-AL"/>
              </w:rPr>
            </w:pPr>
            <w:r w:rsidRPr="00F727DA">
              <w:rPr>
                <w:rFonts w:eastAsia="Calibri"/>
                <w:bCs w:val="0"/>
                <w:sz w:val="18"/>
                <w:szCs w:val="18"/>
                <w:lang w:val="en-GB" w:eastAsia="sq-AL" w:bidi="sq-AL"/>
              </w:rPr>
              <w:t>Seksioni 2</w:t>
            </w:r>
          </w:p>
          <w:p w:rsidR="006E5B5B" w:rsidRPr="00F727DA" w:rsidRDefault="006E5B5B" w:rsidP="00A87413">
            <w:pPr>
              <w:pStyle w:val="Heading2"/>
              <w:spacing w:before="0" w:beforeAutospacing="0" w:after="0" w:afterAutospacing="0" w:line="276" w:lineRule="auto"/>
              <w:rPr>
                <w:rFonts w:eastAsia="Calibri"/>
                <w:b w:val="0"/>
                <w:bCs w:val="0"/>
                <w:sz w:val="18"/>
                <w:szCs w:val="18"/>
                <w:lang w:val="en-GB" w:eastAsia="sq-AL" w:bidi="sq-AL"/>
              </w:rPr>
            </w:pPr>
            <w:r w:rsidRPr="00F727DA">
              <w:rPr>
                <w:sz w:val="18"/>
                <w:szCs w:val="18"/>
              </w:rPr>
              <w:t>Bashkëpunimi me autoritetet e tjera dhe shkëmbimi i informacionit konfidencial</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pStyle w:val="Heading2"/>
              <w:spacing w:before="0" w:beforeAutospacing="0" w:after="0" w:afterAutospacing="0"/>
              <w:rPr>
                <w:rFonts w:eastAsia="Calibri"/>
                <w:bCs w:val="0"/>
                <w:sz w:val="18"/>
                <w:szCs w:val="18"/>
                <w:lang w:val="en-GB" w:eastAsia="sq-AL" w:bidi="sq-AL"/>
              </w:rPr>
            </w:pPr>
            <w:r w:rsidRPr="00F727DA">
              <w:rPr>
                <w:rFonts w:eastAsia="Calibri"/>
                <w:bCs w:val="0"/>
                <w:sz w:val="18"/>
                <w:szCs w:val="18"/>
                <w:lang w:val="en-GB" w:eastAsia="sq-AL" w:bidi="sq-AL"/>
              </w:rPr>
              <w:t>Neni 64</w:t>
            </w:r>
          </w:p>
          <w:p w:rsidR="006E5B5B" w:rsidRPr="002E3B26" w:rsidRDefault="006E5B5B" w:rsidP="00A87413">
            <w:pPr>
              <w:pStyle w:val="Heading2"/>
              <w:spacing w:before="0" w:beforeAutospacing="0" w:after="0" w:afterAutospacing="0"/>
              <w:rPr>
                <w:rFonts w:eastAsia="Calibri"/>
                <w:bCs w:val="0"/>
                <w:sz w:val="18"/>
                <w:szCs w:val="18"/>
                <w:lang w:val="en-GB" w:eastAsia="sq-AL" w:bidi="sq-AL"/>
              </w:rPr>
            </w:pPr>
            <w:r w:rsidRPr="00F727DA">
              <w:rPr>
                <w:sz w:val="18"/>
                <w:szCs w:val="18"/>
              </w:rPr>
              <w:t>Bashkëpunimi në lidhje me institucionet e kredisë ose institucionet financiare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financiarë, NjIF-të dhe autoritetet kompetente për mbikëqyrjen e institucioneve të kreditit apo institucioneve financiare sipas akteve të tjera ligjore të BE-së, të bashkëpunojnë ngushtësisht mes tyre, brenda kompetencave të tyre përkatëse, si dhe të pajisin njëri-tjetrin me informacione të rëndësishme për realizimin e detyrave të tyre përkatëse. Ky lloj bashkëpunimi dhe shkëmbimi i informacionit nuk duhet të cenojë asnjë hetim, analizë të NjIF-së apo procedurë gjyqësore në proces, në përputhje me të drejtën penale apo administrative të shtetit anëtar ku ndodhet mbikëqyrësi financiar apo autoriteti të cilit i janë ngarkuar kompetencat për mbikëqyrjen e institucioneve të kreditit apo institucioneve financiare sipas akteve të tjera ligjore dhe nuk duhet të cenojë kërkesat për sekretin profesional të parashikuara në nenin 67, paragrafi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SEKSIONI 2</w:t>
            </w:r>
          </w:p>
          <w:p w:rsidR="006E5B5B" w:rsidRPr="00F727DA" w:rsidRDefault="006E5B5B" w:rsidP="00A8741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Bashkëpunimi me autoritete të tjera dhe shkëmbimi i informacionit konfidencial</w:t>
            </w:r>
          </w:p>
          <w:p w:rsidR="002E3B26" w:rsidRDefault="002E3B26" w:rsidP="00A87413">
            <w:pPr>
              <w:pStyle w:val="Heading2"/>
              <w:spacing w:before="0" w:beforeAutospacing="0" w:after="0" w:afterAutospacing="0"/>
              <w:rPr>
                <w:rFonts w:eastAsia="Arial Unicode MS"/>
                <w:b w:val="0"/>
                <w:sz w:val="18"/>
                <w:szCs w:val="18"/>
                <w:lang w:val="sq-AL" w:eastAsia="sq-AL" w:bidi="sq-AL"/>
              </w:rPr>
            </w:pPr>
          </w:p>
          <w:p w:rsidR="002E3B26" w:rsidRPr="002E3B26" w:rsidRDefault="002E3B26" w:rsidP="00A8741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Neni 78</w:t>
            </w:r>
          </w:p>
          <w:p w:rsidR="002E3B26" w:rsidRPr="002E3B26" w:rsidRDefault="002E3B26" w:rsidP="00A8741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Bashkëpunimi në lidhje me institucionet e kreditit dhe institucionet financiare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2E3B26" w:rsidRPr="002E3B26" w:rsidRDefault="002E3B26" w:rsidP="00A8741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rsidR="006E5B5B" w:rsidRPr="002E3B26" w:rsidRDefault="002E3B26" w:rsidP="00A87413">
            <w:pPr>
              <w:pStyle w:val="Heading2"/>
              <w:spacing w:before="0" w:beforeAutospacing="0" w:after="0" w:afterAutospacing="0"/>
              <w:rPr>
                <w:rFonts w:eastAsia="Arial Unicode MS"/>
                <w:sz w:val="18"/>
                <w:szCs w:val="18"/>
                <w:lang w:val="sq-AL" w:eastAsia="sq-AL" w:bidi="sq-AL"/>
              </w:rPr>
            </w:pPr>
            <w:r w:rsidRPr="002E3B26">
              <w:rPr>
                <w:rFonts w:eastAsia="Arial Unicode MS"/>
                <w:b w:val="0"/>
                <w:sz w:val="18"/>
                <w:szCs w:val="18"/>
                <w:lang w:val="sq-AL" w:eastAsia="sq-AL" w:bidi="sq-AL"/>
              </w:rPr>
              <w:t>2. Bashkëpunimi dhe shkëmbimi i informacionit sipas pikës 1 nuk cenojnë analizat e Agjencisë së Inteligjencës Financiare, ndjekjen penale, procedimet administrative ose penale apo proceset gjyqësore në zhvillim, si dhe realizohen në përputhje me kërkesat për ruajtjen e sekretit profesional dhe konfidencialitetit të parashikuara në këtë ligjin për informacionin e klasifikuar (neni 83).</w:t>
            </w:r>
          </w:p>
        </w:tc>
        <w:tc>
          <w:tcPr>
            <w:tcW w:w="1356" w:type="dxa"/>
            <w:shd w:val="clear" w:color="auto" w:fill="auto"/>
            <w:vAlign w:val="center"/>
          </w:tcPr>
          <w:p w:rsidR="006E5B5B" w:rsidRPr="00F727DA" w:rsidRDefault="002E3B26" w:rsidP="00A87413">
            <w:pPr>
              <w:pStyle w:val="Heading2"/>
              <w:spacing w:before="0" w:beforeAutospacing="0" w:after="0" w:afterAutospacing="0"/>
              <w:jc w:val="center"/>
              <w:rPr>
                <w:rFonts w:eastAsia="Calibri"/>
                <w:b w:val="0"/>
                <w:bCs w:val="0"/>
                <w:sz w:val="18"/>
                <w:szCs w:val="18"/>
                <w:lang w:val="en-GB" w:eastAsia="sq-AL" w:bidi="sq-AL"/>
              </w:rPr>
            </w:pPr>
            <w:r>
              <w:rPr>
                <w:rFonts w:eastAsia="Calibri"/>
                <w:b w:val="0"/>
                <w:bCs w:val="0"/>
                <w:sz w:val="18"/>
                <w:szCs w:val="18"/>
                <w:lang w:val="en-GB" w:eastAsia="sq-AL" w:bidi="sq-AL"/>
              </w:rPr>
              <w:t>F</w:t>
            </w:r>
          </w:p>
        </w:tc>
        <w:tc>
          <w:tcPr>
            <w:tcW w:w="3324"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Dispozita është transpozuar duke parashikuar detyrimin e autoriteteve mbikëqyrëse financiare, të Agjencisë së Inteligjencës Financiare dhe të autoriteteve të tjera kompetente për mbikëqyrjen e institucioneve të kreditit dhe institucioneve financiare që të bashkëpunojnë ngushtë dhe të shkëmbejnë informacion brenda kompetencave të tyre. Parashikohet se shkëmbimi i informacionit nuk cenon hetimet, analizat apo procedimet në zhvillim dhe realizohet në përputhje me kërkesat për sekret profesional. Dispozita konsiderohet fully transposed.</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kur mbikëqyrësit financiare identifikojnë dobësi në sistemin e kontrollit të brendshëm kundër pastrimit të parave dhe financimit të terrorizmit dhe në zbatimin e kërkesave të Rregullores (BE) nr. 2024/1624 nga ana e një institucioni krediti, të cilat rrisin ndjeshëm rreziqet ndaj të cilave ekspozohet apo mund të ekspozohet ky institucion, atëherë mbikëqyrësi financiar njofton menjëherë Autoritetin Bankar Evropian (EBA) dhe autoritetin apo organin që mbikëqyr institucionin e kreditit në përputhje me Direktivën 2013/36/BE, duke përfshirë BQE-në, duke vepruar në përputhje me Rregulloren (BE) nr. 1024/2013.</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rritjes së mundshme të rrezikut, mbikëqyrësit financiare duhet të jenë në gjendje të bashkëpunojnë dhe të ndajnë informacion me autoritetet që mbikëqyrin institucionin në përputhje me Direktivën 2013/36/BE dhe të hartojnë një vlerësim të përbashkët, i cili i përcillet EBA-së nga mbikëqyrësi i parë që dërgoi njoftimin. AMLA informohet për çdo njoftim të tillë.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44429E" w:rsidRPr="0044429E" w:rsidRDefault="0044429E" w:rsidP="00A8741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Neni 79</w:t>
            </w:r>
          </w:p>
          <w:p w:rsidR="0044429E" w:rsidRPr="0044429E" w:rsidRDefault="0044429E" w:rsidP="00A8741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Bashkëpunimi në rast të dobësive në sistemin e kontrollit të brendshëm AML/CFT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4429E" w:rsidRPr="0044429E" w:rsidRDefault="0044429E" w:rsidP="00A8741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1. Kur një autoritet mbikëqyrës financiar konstaton dobësi në sistemin e kontrollit të brendshëm për parandalimin e pastrimit të parave dhe financimit të terrorizmit ose në zbatimin e kërkesave të këtij ligji nga një institucion krediti, të cilat rrisin ndjeshëm rrezikun ndaj të cilit institucioni është ose mund të jetë i ekspozuar, ai njofton pa vonesë autoritetin kompetent për mbikëqyrjen prudenciale të institucionit përkatës dhe ndërmerr masat e nevojshme brenda kompetencave të tij.</w:t>
            </w:r>
          </w:p>
          <w:p w:rsidR="0044429E" w:rsidRPr="0044429E" w:rsidRDefault="0044429E" w:rsidP="00A8741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2. Në rastet kur konstatohet rrezik i shtuar, autoritetet përkatëse bashkëpunojnë dhe shkëmbejnë informacion për të hartuar një vlerësim të përbashkët mbi situatën e rrezikut.</w:t>
            </w:r>
          </w:p>
          <w:p w:rsidR="006E5B5B" w:rsidRPr="0044429E" w:rsidRDefault="0044429E" w:rsidP="00A8741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Future-operational për pjesën që lidhet me EBA, ECB dhe AMLA.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mbikëqyrëse financiare për të njoftuar autoritetin prudencial përkatës në rast konstatimi të dobësive serioze në sistemet e kontrollit të brendshëm AML/CFT dhe për të bashkëpunuar në hartimin e një vlerësimi të përbashkët të rrezikut. Elementet që lidhen me njoftimin e EBA, ECB dhe AMLA janë parashikuar me formulim future-operational, në përputhje me statusin e Shqipërisë si vend kandidat.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kur mbikëqyrësit financiarë konstatojnë se një institucion krediti ka refuzuar të krijojë marrëdhënie biznesi, ose ka vendosur të ndërpresë një marrëdhënie biznesi, por procesi i dokumentuar i vigjilencës së duhur ndaj klientëve, në përputhje me nenin 21, paragrafi 3 të Rregullores (BE) 2024/1624 nuk e justifikon një refuzim të tillë, ata të informojnë autoritetin që është përgjegjës për të garantuar pajtueshmërinë e institucionit të kreditit në fjalë me Direktivën 2014/92/BE ose Direktivën (BE) 2015/2366.</w:t>
            </w:r>
          </w:p>
        </w:tc>
        <w:tc>
          <w:tcPr>
            <w:tcW w:w="1266" w:type="dxa"/>
            <w:gridSpan w:val="2"/>
            <w:shd w:val="clear" w:color="auto" w:fill="auto"/>
            <w:vAlign w:val="center"/>
          </w:tcPr>
          <w:p w:rsidR="006E5B5B" w:rsidRPr="00F727DA" w:rsidRDefault="006E5B5B" w:rsidP="00A87413">
            <w:pPr>
              <w:pStyle w:val="NormalWeb"/>
              <w:spacing w:before="0" w:beforeAutospacing="0" w:after="0" w:afterAutospacing="0"/>
              <w:rPr>
                <w:sz w:val="18"/>
                <w:szCs w:val="18"/>
                <w:lang w:eastAsia="sq-AL" w:bidi="sq-AL"/>
              </w:rPr>
            </w:pPr>
          </w:p>
        </w:tc>
        <w:tc>
          <w:tcPr>
            <w:tcW w:w="1980" w:type="dxa"/>
            <w:shd w:val="clear" w:color="auto" w:fill="auto"/>
            <w:vAlign w:val="center"/>
          </w:tcPr>
          <w:p w:rsidR="0044429E" w:rsidRPr="0044429E" w:rsidRDefault="0044429E" w:rsidP="00A8741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Neni 80</w:t>
            </w:r>
          </w:p>
          <w:p w:rsidR="0044429E" w:rsidRPr="0044429E" w:rsidRDefault="0044429E" w:rsidP="00A8741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Njoftimi në rast të refuzimit ose ndërprerjes së pajustifikuar të marrëdhënies bankare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44429E" w:rsidRPr="0044429E" w:rsidRDefault="0044429E" w:rsidP="00A8741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1. Kur autoriteti mbikëqyrës financiar konstaton se një institucion krediti ka refuzuar të krijojë ose ka vendosur të ndërpresë një marrëdhënie biznesi, dhe dokumentimi i masave të 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rsidR="006E5B5B" w:rsidRPr="0044429E" w:rsidRDefault="0044429E" w:rsidP="00A8741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2. Bashkëpunimi me autoritetet përkatëse të Bashkimit Evropian në këtë fushë realizohet në përputhje me legjislacionin e Bashkimit Evropian dhe prodhon efekt të plotë pas anëtarësimit të Republikës së Shqipërisë në Bashkimin Evropian.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autoritetit mbikëqyrës financiar për të njoftuar autoritetin përgjegjës për mbikëqyrjen e përputhshmërisë me legjislacionin në fushën e shërbimeve të pagesave dhe aksesit në llogaritë e pagesës, në rastet kur konstatohet refuzim ose ndërprerje e pajustifikuar e marrëdhënies bankare. Dispozita synon të parandalojë praktikat e pajustifikuara të “de-risking” dhe konsiderohet fully transposed, me element future-operational për bashkëpunimin me autoritetet e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financiarë të bashkëpunojnë me autoritetet e zgjidhjes të parashikuara në nenin 2, paragrafi 1, pika 18 të Direktivës 2014/59/BE, ose me autoritetet e caktuara të parashikuara në nenin 2, paragrafi 1, pika 18 të Direktivës 2014/49/BE.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informojnë autoritetet e përmendura në nënparagrafin e parë kur, gjatë ushtrimit të veprimtarive të tyre mbikëqyrëse, ata identifikojnë, në kuadër të luftës kundër pastrimit të parave dhe financimit të terrorizmit, një nga situatat në vijim: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BSH-AMF</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64(4)(a)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rritje të mundshme të probabilitetit që depozitat të bëhen të padisponueshme;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64(4)(b)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rrezik që një institucion krediti apo një institucion financiar të konsiderohet në mospërmbushje apo në rrezik mospërmbushjeje, në përputhje me nenin 32, paragrafi 4 të Direktivës 2014/59/BE.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kërkesë të autoriteteve të përmendura në nënparagrafin e parë të këtij paragrafi, kur ekziston një rritje e probabilitetit që depozitat të bëhen të padisponueshme, ose një rrezik që një institucion krediti apo një institucion financiar të konsiderohet në mospërmbushje apo në rrezik mospërmbushjeje, në përputhje me nenin 32, paragrafi 4 të Direktivës 2014/59/BE, mbikëqyrësit financiarë informojnë ato autoritete rreth çdo transaksioni, llogarie apo marrëdhënie biznesi nën administrimin e institucionit të kreditit apo institucionit financiar në fjalë që është pezulluar nga NjIF-ja në përputhje me nenin 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r w:rsidRPr="00F727DA">
              <w:rPr>
                <w:rFonts w:ascii="Times New Roman" w:hAnsi="Times New Roman"/>
                <w:sz w:val="18"/>
                <w:szCs w:val="18"/>
              </w:rPr>
              <w:t>BSH- AMF</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i raportojnë çdo vit AMLA-s lidhur me bashkëpunimin e tyre me autoritete të tjera në përputhje me këtë nen, si dhe lidhur me përfshirjen e NjIF-ve në këtë bashkëpunim.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në bashkëpunim me EBA-në, nxjerr udhëzime për bashkëpunimin ndërmjet mbikëqyrësve financiarë dhe autoriteteve të përmendura në paragrafët 2, 3 dhe 4, duke përfshirë për nivelin e përfshirjes së NjIF-ve në këtë bashkëpunim.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65</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në lidhje me audituesit</w:t>
            </w:r>
            <w:r w:rsidRPr="00F727DA">
              <w:rPr>
                <w:sz w:val="18"/>
                <w:szCs w:val="18"/>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65(1)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përgjegjës për audituesit dhe sipas rastit, autoritetet publike që mbikëqyrin organet vetërregulluese sipas kreut IV të kësaj direktive, NjIF-të e tyre dhe autoritetet publike kompetente për mbikëqyrjen e audituesve ligjorë dhe shoqërive të auditit në përputhje me nenin 32 të Direktivës 2006/43/KE të Parlamentit Evropian dhe të Këshillit (45</w:t>
            </w:r>
            <w:r w:rsidRPr="00F727DA">
              <w:rPr>
                <w:rStyle w:val="FootnoteReference"/>
                <w:rFonts w:ascii="Times New Roman" w:hAnsi="Times New Roman"/>
                <w:sz w:val="18"/>
                <w:szCs w:val="18"/>
                <w:lang w:eastAsia="sq-AL" w:bidi="sq-AL"/>
              </w:rPr>
              <w:footnoteReference w:id="12"/>
            </w:r>
            <w:r w:rsidRPr="00F727DA">
              <w:rPr>
                <w:rFonts w:ascii="Times New Roman" w:hAnsi="Times New Roman"/>
                <w:sz w:val="18"/>
                <w:szCs w:val="18"/>
                <w:lang w:eastAsia="sq-AL" w:bidi="sq-AL"/>
              </w:rPr>
              <w:t>) dhe nenin 20 të Rregullores (BE) nr. 537/2014 të Parlamentit Evropian dhe të Këshillit (46</w:t>
            </w:r>
            <w:r w:rsidRPr="00F727DA">
              <w:rPr>
                <w:rStyle w:val="FootnoteReference"/>
                <w:rFonts w:ascii="Times New Roman" w:hAnsi="Times New Roman"/>
                <w:sz w:val="18"/>
                <w:szCs w:val="18"/>
                <w:lang w:eastAsia="sq-AL" w:bidi="sq-AL"/>
              </w:rPr>
              <w:footnoteReference w:id="13"/>
            </w:r>
            <w:r w:rsidRPr="00F727DA">
              <w:rPr>
                <w:rFonts w:ascii="Times New Roman" w:hAnsi="Times New Roman"/>
                <w:sz w:val="18"/>
                <w:szCs w:val="18"/>
                <w:lang w:eastAsia="sq-AL" w:bidi="sq-AL"/>
              </w:rPr>
              <w:t xml:space="preserve"> ) të bashkëpunojnë ngushtësisht mes tyre, brenda kompetencave të tyre përkatëse, si dhe të pajisin njëri-tjetrin me informacione të rëndësishme për realizimin e detyrave të tyre përkatëse.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sipas këtij neni përdoret nga autoritetet e përmendura në nënparagrafin e parë vetëm për ushtrimin e funksioneve të tyre brenda objektit të kësaj direktive apo të akteve të tjera ligjore të BE-së të përmendura në nënparagrafin e parë dhe në kontekstin e procedurave administrative apo gjyqësore të lidhura specifikisht me ushtrimin e atyre funksioneve.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C4BC3" w:rsidRPr="006C4BC3" w:rsidRDefault="006C4BC3" w:rsidP="00A87413">
            <w:pPr>
              <w:pStyle w:val="Heading2"/>
              <w:spacing w:before="0" w:beforeAutospacing="0" w:after="0" w:afterAutospacing="0"/>
              <w:rPr>
                <w:rFonts w:eastAsia="Arial Unicode MS"/>
                <w:b w:val="0"/>
                <w:sz w:val="18"/>
                <w:szCs w:val="18"/>
                <w:lang w:val="sq-AL" w:eastAsia="sq-AL" w:bidi="sq-AL"/>
              </w:rPr>
            </w:pPr>
            <w:r w:rsidRPr="006C4BC3">
              <w:rPr>
                <w:rFonts w:eastAsia="Arial Unicode MS"/>
                <w:b w:val="0"/>
                <w:sz w:val="18"/>
                <w:szCs w:val="18"/>
                <w:lang w:val="sq-AL" w:eastAsia="sq-AL" w:bidi="sq-AL"/>
              </w:rPr>
              <w:t>Neni 81</w:t>
            </w:r>
          </w:p>
          <w:p w:rsidR="006C4BC3" w:rsidRPr="006C4BC3" w:rsidRDefault="006C4BC3" w:rsidP="00A87413">
            <w:pPr>
              <w:pStyle w:val="Heading2"/>
              <w:spacing w:before="0" w:beforeAutospacing="0" w:after="0" w:afterAutospacing="0"/>
              <w:rPr>
                <w:rFonts w:eastAsia="Arial Unicode MS"/>
                <w:b w:val="0"/>
                <w:sz w:val="18"/>
                <w:szCs w:val="18"/>
                <w:lang w:val="sq-AL" w:eastAsia="sq-AL" w:bidi="sq-AL"/>
              </w:rPr>
            </w:pPr>
            <w:r w:rsidRPr="006C4BC3">
              <w:rPr>
                <w:rFonts w:eastAsia="Arial Unicode MS"/>
                <w:b w:val="0"/>
                <w:sz w:val="18"/>
                <w:szCs w:val="18"/>
                <w:lang w:val="sq-AL" w:eastAsia="sq-AL" w:bidi="sq-AL"/>
              </w:rPr>
              <w:t>Bashkëpunimi në lidhje me audituesit ligjorë dhe shoqëritë e auditimit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186CE3" w:rsidRPr="00186CE3" w:rsidRDefault="00186CE3" w:rsidP="00A87413">
            <w:pPr>
              <w:pStyle w:val="NormalWeb"/>
              <w:spacing w:before="0" w:beforeAutospacing="0" w:after="0" w:afterAutospacing="0"/>
              <w:rPr>
                <w:rFonts w:eastAsia="Arial Unicode MS"/>
                <w:bCs/>
                <w:sz w:val="18"/>
                <w:szCs w:val="18"/>
                <w:lang w:val="sq-AL" w:eastAsia="sq-AL" w:bidi="sq-AL"/>
              </w:rPr>
            </w:pPr>
            <w:r w:rsidRPr="00186CE3">
              <w:rPr>
                <w:rFonts w:eastAsia="Arial Unicode MS"/>
                <w:bCs/>
                <w:sz w:val="18"/>
                <w:szCs w:val="18"/>
                <w:lang w:val="sq-AL" w:eastAsia="sq-AL" w:bidi="sq-AL"/>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rsidR="006E5B5B" w:rsidRPr="00820BC4" w:rsidRDefault="00186CE3" w:rsidP="00A87413">
            <w:pPr>
              <w:pStyle w:val="NormalWeb"/>
              <w:spacing w:before="0" w:beforeAutospacing="0" w:after="0" w:afterAutospacing="0"/>
              <w:rPr>
                <w:rFonts w:eastAsia="Arial Unicode MS"/>
                <w:bCs/>
                <w:sz w:val="18"/>
                <w:szCs w:val="18"/>
                <w:lang w:val="sq-AL" w:eastAsia="sq-AL" w:bidi="sq-AL"/>
              </w:rPr>
            </w:pPr>
            <w:r w:rsidRPr="00186CE3">
              <w:rPr>
                <w:rFonts w:eastAsia="Arial Unicode MS"/>
                <w:bCs/>
                <w:sz w:val="18"/>
                <w:szCs w:val="18"/>
                <w:lang w:val="sq-AL" w:eastAsia="sq-AL" w:bidi="sq-AL"/>
              </w:rPr>
              <w:t>2. Informacioni konfidencial i shkëmbyer në përputhje me këtë nen përdoret nga autoritetet e përmendura në pikën 1 vetëm për ushtrimin e 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65(1) është transpozuar plotësisht në ligj. Dispozita parashikon detyrimin për bashkëpunim të ngushtë ndërmjet autoriteteve mbikëqyrëse përgjegjëse për audituesit, autoriteteve që mbikëqyrin organet vetërregulluese, Njësisë së Inteligjencës Financiare dhe autoritetit publik kompetent për mbikëqyrjen e audituesve ligjorë dhe shoqërive të auditimit. Referencat ndaj akteve të së drejtës së Bashkimit Evropian janë përshtatur me kuadrin institucional dhe legjislativ shqiptar, duke ruajtur përmbajtjen materiale të dispozitës. Parimi i përdorimit të kufizuar të informacionit konfidencial është reflektuar plotësisht.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65(2)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ndalojnë bashkëpunimin ndërmjet autoriteteve të përmendura në paragrafin 1, kur ky bashkëpunim, me përjashtim të shkëmbimit të informacionit, do të cenonte një hetim, analizë të NjIF-së apo procedurë gjyqësore në proces, në përputhje me të drejtën penale apo administrative të shtetit anëtar ku ndodhen autoritetet.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20BC4" w:rsidRDefault="00820BC4" w:rsidP="00A87413">
            <w:pPr>
              <w:widowControl w:val="0"/>
              <w:spacing w:after="0" w:line="240" w:lineRule="auto"/>
              <w:rPr>
                <w:rFonts w:ascii="Times New Roman" w:hAnsi="Times New Roman"/>
                <w:b/>
                <w:bCs/>
                <w:sz w:val="18"/>
                <w:szCs w:val="18"/>
                <w:lang w:val="sq-AL" w:eastAsia="sq-AL" w:bidi="sq-AL"/>
              </w:rPr>
            </w:pPr>
            <w:r w:rsidRPr="00820BC4">
              <w:rPr>
                <w:rFonts w:ascii="Times New Roman" w:hAnsi="Times New Roman"/>
                <w:bCs/>
                <w:sz w:val="18"/>
                <w:szCs w:val="18"/>
                <w:lang w:val="sq-AL" w:eastAsia="sq-AL" w:bidi="sq-AL"/>
              </w:rPr>
              <w:t>3. Bashkëpunimi dhe shkëmbimi i informacionit ndërmjet autoriteteve të përmendura në pikën 1 të këtij nenin mund të kufizohet ose të ndalohet në rastet kur një bashkëpunim i tillë do të cenonte një  procedurë verifikimi paraprak në shqyrtim, analizat financiare të kryera nga  Agjencia e Inteligjencës Financiare, procedurat hetimore ose procedimet administrative, në përputhje me legjislacionin penal apo administrativ në fuqi në Republikën</w:t>
            </w:r>
            <w:r w:rsidRPr="00820BC4">
              <w:rPr>
                <w:rFonts w:ascii="Times New Roman" w:hAnsi="Times New Roman"/>
                <w:b/>
                <w:bCs/>
                <w:sz w:val="18"/>
                <w:szCs w:val="18"/>
                <w:lang w:val="sq-AL" w:eastAsia="sq-AL" w:bidi="sq-AL"/>
              </w:rPr>
              <w:t xml:space="preserve"> e </w:t>
            </w:r>
            <w:r w:rsidRPr="00A11326">
              <w:rPr>
                <w:rFonts w:ascii="Times New Roman" w:hAnsi="Times New Roman"/>
                <w:bCs/>
                <w:sz w:val="18"/>
                <w:szCs w:val="18"/>
                <w:lang w:val="sq-AL" w:eastAsia="sq-AL" w:bidi="sq-AL"/>
              </w:rPr>
              <w:t>Shqipërisë.</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65(2) është transpozuar plotësisht. Dispozita parashikon mundësinë e kufizimit ose ndalimit të bashkëpunimit dhe shkëmbimit të informacionit në rastet kur ky bashkëpunim do të cenonte një verifikim ose shqyrtim zyrtar në zhvillim, analizën e NJIF-së, një hetim në zhvillim, ose procedime administrative apo penale sipas legjislacionit kombëtar. Janë reflektuar në mënyrë të dallueshme të gjitha kategoritë juridike të parashikuara në Direktivë.</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bCs/>
                <w:sz w:val="18"/>
                <w:szCs w:val="18"/>
                <w:lang w:eastAsia="sq-AL" w:bidi="sq-AL"/>
              </w:rPr>
            </w:pPr>
            <w:r w:rsidRPr="00F727DA">
              <w:rPr>
                <w:rFonts w:ascii="Times New Roman" w:hAnsi="Times New Roman"/>
                <w:b/>
                <w:bCs/>
                <w:sz w:val="18"/>
                <w:szCs w:val="18"/>
                <w:lang w:eastAsia="sq-AL" w:bidi="sq-AL"/>
              </w:rPr>
              <w:t>Neni 66</w:t>
            </w:r>
          </w:p>
          <w:p w:rsidR="006E5B5B" w:rsidRPr="00F727DA" w:rsidRDefault="006E5B5B" w:rsidP="00A87413">
            <w:pPr>
              <w:snapToGrid w:val="0"/>
              <w:spacing w:after="0" w:line="240" w:lineRule="auto"/>
              <w:rPr>
                <w:rFonts w:ascii="Times New Roman" w:hAnsi="Times New Roman"/>
                <w:b/>
                <w:bCs/>
                <w:sz w:val="18"/>
                <w:szCs w:val="18"/>
                <w:lang w:eastAsia="sq-AL" w:bidi="sq-AL"/>
              </w:rPr>
            </w:pPr>
            <w:r w:rsidRPr="00F727DA">
              <w:rPr>
                <w:rFonts w:ascii="Times New Roman" w:hAnsi="Times New Roman"/>
                <w:b/>
                <w:sz w:val="18"/>
                <w:szCs w:val="18"/>
              </w:rPr>
              <w:t>Bashkëpunimi me autoritetet përgjegjëse për zbatimin e sanksioneve financiare të synuara</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66(1)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NjIF-të e tyre dhe autoritetet përgjegjëse për zbatimin e sanksioneve financiare të targetuara, të bashkëpunojnë ngushtësisht mes tyre, brenda kompetencave të tyre përkatëse, si dhe të pajisin njëri-tjetrin me informacione të rëndësishme për realizimin e detyrave të tyre përkatëse.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sipas këtij neni përdoret nga autoritetet e përmendura në nënparagrafin e parë vetëm për ushtrimin e funksioneve të tyre brenda objektit të kësaj direktive apo të akteve të tjera ligjore të BE-së dhe në kontekstin e procedurave administrative apo gjyqësore të lidhura specifikisht me ushtrimin e atyre funksioneve.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A11326" w:rsidRPr="00A11326" w:rsidRDefault="00A11326" w:rsidP="00A87413">
            <w:pPr>
              <w:pStyle w:val="Heading2"/>
              <w:spacing w:before="0" w:beforeAutospacing="0" w:after="0" w:afterAutospacing="0"/>
              <w:rPr>
                <w:rFonts w:eastAsia="Arial Unicode MS"/>
                <w:b w:val="0"/>
                <w:sz w:val="18"/>
                <w:szCs w:val="18"/>
                <w:lang w:val="sq-AL" w:eastAsia="sq-AL" w:bidi="sq-AL"/>
              </w:rPr>
            </w:pPr>
            <w:r w:rsidRPr="00A11326">
              <w:rPr>
                <w:rFonts w:eastAsia="Arial Unicode MS"/>
                <w:b w:val="0"/>
                <w:sz w:val="18"/>
                <w:szCs w:val="18"/>
                <w:lang w:val="sq-AL" w:eastAsia="sq-AL" w:bidi="sq-AL"/>
              </w:rPr>
              <w:t>Neni 82</w:t>
            </w:r>
          </w:p>
          <w:p w:rsidR="00A11326" w:rsidRPr="00A11326" w:rsidRDefault="00A11326" w:rsidP="00A87413">
            <w:pPr>
              <w:pStyle w:val="Heading2"/>
              <w:spacing w:before="0" w:beforeAutospacing="0" w:after="0" w:afterAutospacing="0"/>
              <w:rPr>
                <w:rFonts w:eastAsia="Arial Unicode MS"/>
                <w:b w:val="0"/>
                <w:sz w:val="18"/>
                <w:szCs w:val="18"/>
                <w:lang w:val="sq-AL" w:eastAsia="sq-AL" w:bidi="sq-AL"/>
              </w:rPr>
            </w:pPr>
            <w:r w:rsidRPr="00A11326">
              <w:rPr>
                <w:rFonts w:eastAsia="Arial Unicode MS"/>
                <w:b w:val="0"/>
                <w:sz w:val="18"/>
                <w:szCs w:val="18"/>
                <w:lang w:val="sq-AL" w:eastAsia="sq-AL" w:bidi="sq-AL"/>
              </w:rPr>
              <w:t>Bashkëpunimi me autoritetet përgjegjëse për zbatimin e masave shtrënguese financiare</w:t>
            </w:r>
          </w:p>
          <w:p w:rsidR="006E5B5B" w:rsidRPr="00A11326"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B5CC1" w:rsidRPr="003B5CC1" w:rsidRDefault="003B5CC1" w:rsidP="00A8741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1. Autoritetet mbikëqyrëse, Agjencia e Inteligjencës Financiare dhe autoritetet përgjegjëse për zbatimin e masave shtrënguese financiare sipas ligjit ne fuqi, bashkëpunojnë ngushtësisht ndërmjet tyre, brenda kompetencave përkatëse, dhe i shkëmbejnë njëra-tjetrës informacionin që është i rëndësishëm për ushtrimin e detyrave të tyre përkatëse.</w:t>
            </w:r>
          </w:p>
          <w:p w:rsidR="006E5B5B" w:rsidRPr="003B5CC1" w:rsidRDefault="003B5CC1" w:rsidP="00A8741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bCs/>
                <w:sz w:val="18"/>
                <w:szCs w:val="18"/>
                <w:lang w:eastAsia="sq-AL" w:bidi="sq-AL"/>
              </w:rPr>
            </w:pPr>
            <w:r w:rsidRPr="00F727DA">
              <w:rPr>
                <w:rFonts w:ascii="Times New Roman" w:hAnsi="Times New Roman"/>
                <w:bCs/>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Neni 66(1) është transpozuar plotësisht. Dispozita garanton bashkëpunimin e detyrueshëm ndërmjet autoriteteve mbikëqyrëse, NJIF-së dhe autoriteteve përgjegjëse për zbatimin e sanksioneve financiare të synuara, si dhe shkëmbimin e informacionit të rëndësishëm për ushtrimin e detyrave përkatëse. Kufizimi i përdorimit të informacionit konfidencial është reflektuar në përputhje me përmbajtjen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66(2)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ndalojnë bashkëpunimin ndërmjet autoriteteve të përmendura në paragrafin 1, kur ky bashkëpunim, me përjashtim të shkëmbimit të informacionit, do të cenonte një hetim apo procedurë gjyqësore në proces, në përputhje me të drejtën penale apo administrative të shtetit anëtar ku ndodhen autoritetet.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3B5CC1" w:rsidRPr="003B5CC1" w:rsidRDefault="003B5CC1" w:rsidP="00A8741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3. Bashkëpunimi, përfshirë shkëmbimin e informacionit, ndërmjet autoriteteve të 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rsidR="006E5B5B" w:rsidRPr="003B5CC1" w:rsidRDefault="003B5CC1" w:rsidP="00A8741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4. Rregullat e detajuara për mënyrën, formatin, afatet, procedurën e shkëmbimit të informacionit, si dhe kriteret për kufizimin ose ndalimin e bashkëpunimit ndërmjet autoriteteve sipas neneve 81 dhe 82 të këtij ligji, miratohen me vendim të Këshillit të Ministrave.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66(2) është transpozuar plotësisht. Dispozita parashikon mundësinë e kufizimit ose ndalimit të bashkëpunimit dhe shkëmbimit të informacionit ndërmjet autoriteteve kompetente në rastet kur ky bashkëpunim do të cenonte një procedurë verifikimi paraprak, një hetim në proces ose procedime penale apo administrative sipas legjislacionit kombëtar. Të gjitha kategoritë juridike të parashikuara në Direktivë janë reflektuar në mënyrë të dallueshme.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67</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Kërkesat për ruajtjen e sekretit professional</w:t>
            </w:r>
            <w:r w:rsidRPr="00F727DA">
              <w:rPr>
                <w:rFonts w:ascii="Times New Roman" w:hAnsi="Times New Roman"/>
                <w:sz w:val="18"/>
                <w:szCs w:val="18"/>
                <w:lang w:eastAsia="sq-AL" w:bidi="sq-AL"/>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kërkojnë që, të gjithë personat që punojnë ose kanë punuar për mbikëqyrësit dhe autoritetet publike të përmendura në nenin 52, si dhe audituesit ose ekspertët që veprojnë në emër të këtyre mbikëqyrësve apo autoriteteve, të kenë detyrimin e ruajtjes së sekretit profesional.</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rastet e mbuluara nga hetimet dhe ndjekjet penale sipas legjislacionit të BE-së dhe atij të brendshëm, si dhe informacionin e siguruar për NjIF-të në përputhje me nenet 42 dhe 43, informacioni konfidencial që marrin personat e përmendur në nënparagrafin e parë, gjatë kryerjes së detyrave të tyre sipas kësaj direktive, mund të zbulohet vetëm në formë të përmbledhur ose të agreguar, në një mënyrë të tillë që subjektet individuale të detyruara të mos mund të identifikohen.</w:t>
            </w:r>
          </w:p>
        </w:tc>
        <w:tc>
          <w:tcPr>
            <w:tcW w:w="1266" w:type="dxa"/>
            <w:gridSpan w:val="2"/>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8C47E6" w:rsidRPr="008C47E6" w:rsidRDefault="008C47E6" w:rsidP="00A87413">
            <w:pPr>
              <w:pStyle w:val="Heading2"/>
              <w:spacing w:before="0" w:beforeAutospacing="0" w:after="0" w:afterAutospacing="0"/>
              <w:rPr>
                <w:rFonts w:eastAsia="Arial Unicode MS"/>
                <w:b w:val="0"/>
                <w:sz w:val="18"/>
                <w:szCs w:val="18"/>
                <w:lang w:val="sq-AL" w:eastAsia="sq-AL" w:bidi="sq-AL"/>
              </w:rPr>
            </w:pPr>
            <w:r w:rsidRPr="008C47E6">
              <w:rPr>
                <w:rFonts w:eastAsia="Arial Unicode MS"/>
                <w:b w:val="0"/>
                <w:sz w:val="18"/>
                <w:szCs w:val="18"/>
                <w:lang w:val="sq-AL" w:eastAsia="sq-AL" w:bidi="sq-AL"/>
              </w:rPr>
              <w:t>Neni 83</w:t>
            </w:r>
          </w:p>
          <w:p w:rsidR="008C47E6" w:rsidRPr="008C47E6" w:rsidRDefault="008C47E6" w:rsidP="00A87413">
            <w:pPr>
              <w:pStyle w:val="Heading2"/>
              <w:spacing w:before="0" w:beforeAutospacing="0" w:after="0" w:afterAutospacing="0"/>
              <w:rPr>
                <w:rFonts w:eastAsia="Arial Unicode MS"/>
                <w:b w:val="0"/>
                <w:sz w:val="18"/>
                <w:szCs w:val="18"/>
                <w:lang w:val="sq-AL" w:eastAsia="sq-AL" w:bidi="sq-AL"/>
              </w:rPr>
            </w:pPr>
            <w:r w:rsidRPr="008C47E6">
              <w:rPr>
                <w:rFonts w:eastAsia="Arial Unicode MS"/>
                <w:b w:val="0"/>
                <w:sz w:val="18"/>
                <w:szCs w:val="18"/>
                <w:lang w:val="sq-AL" w:eastAsia="sq-AL" w:bidi="sq-AL"/>
              </w:rPr>
              <w:t>Detyrimi për ruajtjen e sekretit profesional</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836B92" w:rsidRPr="00836B92" w:rsidRDefault="00836B92" w:rsidP="00A87413">
            <w:pPr>
              <w:suppressAutoHyphens w:val="0"/>
              <w:spacing w:after="0" w:line="240" w:lineRule="auto"/>
              <w:rPr>
                <w:rFonts w:ascii="Times New Roman" w:hAnsi="Times New Roman"/>
                <w:sz w:val="18"/>
                <w:szCs w:val="18"/>
                <w:lang w:val="sq-AL" w:eastAsia="sq-AL" w:bidi="sq-AL"/>
              </w:rPr>
            </w:pPr>
          </w:p>
          <w:p w:rsidR="00836B92"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1. Të gjithë personat që punojnë ose që kanë punuar për autoritetet mbikëqyrëse dhe autoritetet kompetente të përmendura në nenin 57 të këtij ligji, si dhe audituesit apo ekspertët që veprojnë në emër të këtyre autoriteteve mbikëqyrëse apo autoriteteve, janë të detyruar të ruajnë sekretin profesional.</w:t>
            </w:r>
          </w:p>
          <w:p w:rsidR="00836B92"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Pa cenuar rastet që lidhen me ndjekje apo procedime penale sipas ligjit në fuqi dhe legjislacionit të Bashkimit Evropian të aplikueshëm për Shqipërinë, si dhe informacionin e dhënë Agjencisë së Inteligjencës Financiare sipas neneve 44 dhe 45 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rsidR="006E5B5B"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Detyrimi për ruajtjen e sekretit profesional vazhdon edhe pas përfundimit të marrëdhënies së punës ose të angazhimit me autoritetin përkatës.</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67(1) është transpozuar plotësisht. Dispozita vendos detyrimin për ruajtjen e sekretit profesional për personat që punojnë ose kanë punuar për autoritetet kompetente, si dhe për audituesit dhe ekspertët që veprojnë në emër të tyre. Kufizimi i zbulimit të informacionit konfidencial vetëm në formë të përmbledhur ose të agreguar, në mënyrë që subjektet e detyruara të mos identifikohen, është reflektuar në përputhje me Direktivën.</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Paragrafi 1 i këtij neni nuk pengon shkëmbimin e informacionit midis:</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Pika 1 e këtij neni nuk pengon shkëmbimin e informacionit ndërmjet:</w:t>
            </w:r>
          </w:p>
        </w:tc>
        <w:tc>
          <w:tcPr>
            <w:tcW w:w="1356" w:type="dxa"/>
            <w:shd w:val="clear" w:color="auto" w:fill="auto"/>
            <w:vAlign w:val="center"/>
          </w:tcPr>
          <w:p w:rsidR="006E5B5B" w:rsidRPr="00F727DA" w:rsidRDefault="00836B92"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pavarësisht nëse ndodhen në një shtet anëtar apo në shtete anëtare të ndryshme, duke përfshirë AMLA-n kur vepron si një mbikëqyrës, ose autoriteteve publike të përmendura në nenin 52 të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në nenin 57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67(2)(a) është transpozuar plotësisht. Dispozita garanton që detyrimi për ruajtjen e sekretit profesional nuk pengon shkëmbimin e informacionit ndërmjet autoriteteve mbikëqyrëse, përfshirë bashkëpunimin me autoritete homologe të shteteve të tjera dhe me AMLA kur vepron si autoritet mbikëqyrës. Referencat janë përshtatur me kuadrin institucional kombëtar, duke ruajtur përmbajtjen materiale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të përmendura në nenin 52 të kësaj direktive dhe NjIF-ve;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36B92" w:rsidRDefault="00836B92" w:rsidP="00A87413">
            <w:pPr>
              <w:widowControl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b) autoriteteve mbikëqyrëse, autoriteteve publike të përmendura në nenin 57 të këtij ligji dhe Agjencisë së Inteligjencës Financiare;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67(2)(b) është transpozuar plotësisht. Dispozita parashikon se detyrimi për ruajtjen e sekretit profesional nuk pengon shkëmbimin e informacionit ndërmjet autoriteteve mbikëqyrëse, autoriteteve publike të përmendura në nenin 52 dhe Agjencisë së Inteligjencës Financiare. Përmbajtja materiale e Direktivës është reflektuar plotësisht.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të përmendura në nenin 52 të kësaj direktive dhe autoriteteve kompetente të përmendur në nenin 2, paragrafi 1, pika 44, germat “c” dhe “d” të Rregullores (BE) 2024/1624;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c) autoriteteve mbikëqyrëse, autoriteteve publike të përmendura në nenin 57 të këtij ligji dhe autoriteteve kompetente të përcaktuara në nenin 2, paragrafi 1, pikat (44)(c) dhe (d) të Rregullores (BE) 2024/1624, ose autoriteteve homologe që ushtrojnë funksione të njëjta sipas legjislacionit të zbatueshëm;</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67(2)(c) është transpozuar plotësisht. Dispozita parashikon që detyrimi për ruajtjen e sekretit profesional nuk pengon shkëmbimin e informacionit ndërmjet autoriteteve mbikëqyrëse, autoriteteve publike të përmendura në nenin 52 dhe autoriteteve kompetente të përcaktuara në Rregulloren (BE) 2024/1624. Referenca është përshtatur në mënyrë që të ruajë përmbajtjen materiale të Direktivës dhe të jetë e zbatueshme në kuadrin institucional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financiarë dhe autoriteteve përgjegjëse për mbikëqyrjen e institucioneve të kreditit dhe institucioneve financiare në përputhje me aktet e tjera ligjore të BE-së të lidhura me mbikëqyrjen e institucioneve të kreditit dhe institucioneve financiare, duke përfshirë BQE-në kur vepron në përputhje me Rregulloren (BE) nr. 1024/2013, pavarësisht nëse ndodhen në një shtet anëtar ose në shtete anëtare të ndryshme.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germës “d” të nënparagrafit të parë të këtij paragrafi, shkëmbimi i informacionit është subjekt i kërkesave të sekretit profesional të parashikuara në paragrafin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rFonts w:ascii="Times New Roman" w:hAnsi="Times New Roman"/>
                <w:sz w:val="18"/>
                <w:szCs w:val="18"/>
                <w:lang w:eastAsia="sq-AL" w:bidi="sq-AL"/>
              </w:rPr>
            </w:pPr>
          </w:p>
        </w:tc>
        <w:tc>
          <w:tcPr>
            <w:tcW w:w="2064" w:type="dxa"/>
            <w:shd w:val="clear" w:color="auto" w:fill="auto"/>
            <w:vAlign w:val="center"/>
          </w:tcPr>
          <w:p w:rsidR="00836B92"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d) autoriteteve të mbikëqyrjes financiare dhe autoriteteve përgjegjëse për mbikëqyrjen e institucioneve të kreditit dhe institucioneve financiare në përputhje me aktet e Bashkimit Evropian që janë të zbatueshme për Shqipërinë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rsidR="006E5B5B" w:rsidRPr="00836B92" w:rsidRDefault="00836B92" w:rsidP="00A8741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Për qëllimet e kësaj shkronje “d”, shkëmbimi i informacionit i nënshtrohet detyrimit për ruajtjen e sekretit profesional të parashikuar në pikën 1 të këtij neni.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67(2)(d) është transpozuar plotësisht. Dispozita garanton që detyrimi për ruajtjen e sekretit profesional nuk pengon shkëmbimin e informacionit ndërmjet autoriteteve të mbikëqyrjes financiare dhe autoriteteve përgjegjëse për mbikëqyrjen e institucioneve të kreditit dhe institucioneve financiare, përfshirë Bankën Qendrore Evropiane kur vepron sipas Rregullores (BE) Nr. 1024/2013. Është reflektuar gjithashtu kërkesa që ky shkëmbim informacioni t’i nënshtrohet detyrimit të sekretit profesional.</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10" w:name="_Hlk220324064"/>
            <w:r w:rsidRPr="00F727DA">
              <w:rPr>
                <w:rFonts w:ascii="Times New Roman" w:hAnsi="Times New Roman"/>
                <w:sz w:val="18"/>
                <w:szCs w:val="18"/>
              </w:rPr>
              <w:t>67(3)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autoritet apo organ vetërregullues që merr informacion konfidencial në përputhje me paragrafin 2, e përdor atë informacion vetëm: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500B85" w:rsidRDefault="00500B85" w:rsidP="00A87413">
            <w:pPr>
              <w:widowControl w:val="0"/>
              <w:spacing w:after="0" w:line="240" w:lineRule="auto"/>
              <w:rPr>
                <w:rFonts w:ascii="Times New Roman" w:hAnsi="Times New Roman"/>
                <w:bCs/>
                <w:sz w:val="18"/>
                <w:szCs w:val="18"/>
                <w:lang w:val="sq-AL" w:eastAsia="sq-AL" w:bidi="sq-AL"/>
              </w:rPr>
            </w:pPr>
            <w:r w:rsidRPr="00500B85">
              <w:rPr>
                <w:rFonts w:ascii="Times New Roman" w:hAnsi="Times New Roman"/>
                <w:bCs/>
                <w:sz w:val="18"/>
                <w:szCs w:val="18"/>
                <w:lang w:val="sq-AL" w:eastAsia="sq-AL" w:bidi="sq-AL"/>
              </w:rPr>
              <w:t>3. Çdo autoritet ose organ vetërregullues që merr informacion konfidencial në përputhje me pikën 2 të këtij neni e përdor këtë informacion vetëm:</w:t>
            </w:r>
          </w:p>
        </w:tc>
        <w:tc>
          <w:tcPr>
            <w:tcW w:w="1356" w:type="dxa"/>
            <w:shd w:val="clear" w:color="auto" w:fill="auto"/>
            <w:vAlign w:val="center"/>
          </w:tcPr>
          <w:p w:rsidR="006E5B5B" w:rsidRPr="00F727DA" w:rsidRDefault="0094271F" w:rsidP="00A8741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përmbushjen e detyrimeve të tij sipas kësaj direktive ose sipas akteve të tjera ligjore të BE-së në fushën e luftës kundër pastrimit të parave dhe financimit të terrorizmit, për rregullimin e kujdesshëm dhe për mbikëqyrjen e institucioneve të kreditit dhe institucioneve financiare, duke përfshirë për vendosjen e sanksioneve;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për ushtrimin e detyrave të tij sipas këtij ligji, sipas akteve të Bashkimit Evropian të zbatueshme për Shqipërinë në fushën e parandalimit të pastrimit të parave dhe financimit të terrorizmit, të rregullimit dhe mbikëqyrjes prudenciale të institucioneve të kreditit dhe institucioneve financiare, përfshirë vendosjen e gjobave apo masave administrative;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67(3)(a) është transpozuar plotësisht. Dispozita parashikon që informacioni konfidencial i shkëmbyer mund të përdoret vetëm për ushtrimin e detyrave sipas ligjit AML/CFT dhe akteve të tjera të Bashkimit Evropian në fushën e AML/CFT dhe mbikëqyrjes prudenciale, përfshirë funksionin sanksionues. Përmbajtja materiale e Direktivës është reflektuar plotësisht.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një ankimim të bërë kundër një vendimi të autoritetit apo organit vetërregullues, duke përfshirë proceset gjyqësore;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në kuadër të një ankimi të bërë kundër një vendimi të autoritetit ose organit vetërregullues, duke përfshirë procedurat gjyqësore;</w:t>
            </w:r>
          </w:p>
        </w:tc>
        <w:tc>
          <w:tcPr>
            <w:tcW w:w="1356" w:type="dxa"/>
            <w:shd w:val="clear" w:color="auto" w:fill="auto"/>
            <w:vAlign w:val="center"/>
          </w:tcPr>
          <w:p w:rsidR="006E5B5B" w:rsidRPr="00F727DA" w:rsidRDefault="0094271F"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67(3)(b) është transpozuar plotësisht. Dispozita lejon përdorimin e informacionit konfidencial në kuadër të ankimeve kundër vendimeve të autoriteteve ose organeve vetërregulluese, përfshirë procedurat gjyqësore,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proceset gjyqësore të nisura në përputhje me dispozita të veçanta të parashikuara nga legjislacioni i BE-së i miratuar në fushën e kësaj direktive ose në fushën e rregullimit dhe mbikëqyrjes së kujdesshme të institucioneve të kreditit dhe institucioneve financiare.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në kuadër të procedurave gjyqësore të nisura në përputhje me dispozita të veçanta të parashikuara në aktet e Bashkimit Evropian të zbatueshme për Shqipërinë miratuar në fushën e parandalimit të pastrimit të parave dhe financimit të terrorizmit ose në fushën e rregullimit dhe mbikëqyrjes prudenciale të institucioneve të kreditit dhe institucioneve financiare.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67(3)(c) është transpozuar plotësisht. Dispozita parashikon përdorimin e informacionit konfidencial në kuadër të procedurave gjyqësore të nisura në bazë të dispozitave të posaçme të akteve të Bashkimit Evropian në fushën e AML/CFT dhe të mbikëqyrjes prudenciale. Përmbajtja materiale e Direktivës është reflektuar plotësisht.</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Shkelja e detyrimit për ruajtjen e sekretit profesional përbën shkelje disiplinore dhe, sipas rastit, administrative ose penale, në përputhje me legjislacionin në fuqi.</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Shkëmbimi dhe përpunimi i informacionit sipas këtij neni kryhen në përputhje me legjislacionin për mbrojtjen e të dhënave personale dhe informacionit të klasifikuar.</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Rregullat e detajuara për klasifikimin, ruajtjen, përpunimin dhe shkëmbimin e informacionit konfidencial, si dhe masat teknike dhe organizative për garantimin e sekretit profesional, miratohen me vendim të Këshillit të Ministrave.</w:t>
            </w:r>
          </w:p>
        </w:tc>
        <w:tc>
          <w:tcPr>
            <w:tcW w:w="1356" w:type="dxa"/>
            <w:shd w:val="clear" w:color="auto" w:fill="auto"/>
            <w:vAlign w:val="center"/>
          </w:tcPr>
          <w:p w:rsidR="006E5B5B" w:rsidRPr="00F727DA" w:rsidRDefault="0094271F"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Projektligji parashikon dispozita shtesë lidhur me vazhdimësinë e detyrimit për sekret profesional dhe përgjegjësinë në rast shkeljeje, me qëllim garantimin e zbatimit efektiv të nenit 67 të Direktivës.</w:t>
            </w:r>
          </w:p>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Projektligji parashikon miratimin e një akti nënligjor për të rregulluar aspektet teknike dhe organizative të zbatimit të detyrimit për sekret profesional, me qëllim garantimin e zbatimit efektiv të nenit 67 të Direktivës.</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68</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Shkëmbimi i informacionit midis mbikëqyrësve dhe me autoritetet e tjera</w:t>
            </w:r>
          </w:p>
        </w:tc>
      </w:tr>
      <w:bookmarkEnd w:id="10"/>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të mbuluara nga neni 70, paragrafi 2 të Rregullores (BE) 2024/1624, shtetet anëtare autorizojnë shkëmbimin e informacionit ndërmjet: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5B1D63" w:rsidRPr="005B1D63" w:rsidRDefault="005B1D63" w:rsidP="00A87413">
            <w:pPr>
              <w:pStyle w:val="Heading2"/>
              <w:spacing w:before="0" w:beforeAutospacing="0" w:after="0" w:afterAutospacing="0"/>
              <w:rPr>
                <w:rFonts w:eastAsia="Arial Unicode MS"/>
                <w:b w:val="0"/>
                <w:sz w:val="18"/>
                <w:szCs w:val="18"/>
                <w:lang w:val="sq-AL" w:eastAsia="sq-AL" w:bidi="sq-AL"/>
              </w:rPr>
            </w:pPr>
            <w:r w:rsidRPr="005B1D63">
              <w:rPr>
                <w:rFonts w:eastAsia="Arial Unicode MS"/>
                <w:b w:val="0"/>
                <w:sz w:val="18"/>
                <w:szCs w:val="18"/>
                <w:lang w:val="sq-AL" w:eastAsia="sq-AL" w:bidi="sq-AL"/>
              </w:rPr>
              <w:t>Neni 84</w:t>
            </w:r>
          </w:p>
          <w:p w:rsidR="005B1D63" w:rsidRPr="005B1D63" w:rsidRDefault="005B1D63" w:rsidP="00A87413">
            <w:pPr>
              <w:pStyle w:val="Heading2"/>
              <w:spacing w:before="0" w:beforeAutospacing="0" w:after="0" w:afterAutospacing="0"/>
              <w:rPr>
                <w:rFonts w:eastAsia="Arial Unicode MS"/>
                <w:b w:val="0"/>
                <w:sz w:val="18"/>
                <w:szCs w:val="18"/>
                <w:lang w:val="sq-AL" w:eastAsia="sq-AL" w:bidi="sq-AL"/>
              </w:rPr>
            </w:pPr>
            <w:r w:rsidRPr="005B1D63">
              <w:rPr>
                <w:rFonts w:eastAsia="Arial Unicode MS"/>
                <w:b w:val="0"/>
                <w:sz w:val="18"/>
                <w:szCs w:val="18"/>
                <w:lang w:val="sq-AL" w:eastAsia="sq-AL" w:bidi="sq-AL"/>
              </w:rPr>
              <w:t>Shkëmbimi i informacionit ndërmjet autoriteteve mbikëqyrëse dhe me autoritete të tjera</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00A67" w:rsidRDefault="00600A67" w:rsidP="00A87413">
            <w:pPr>
              <w:suppressAutoHyphens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1. Me përjashtim të rasteve të parashikuara në nenin 70, paragrafi 2, të Rregullores (BE) 2024/1624, autoritetet kompetente autorizohen të shkëmbejnë informacion ndërmjet:</w:t>
            </w:r>
          </w:p>
        </w:tc>
        <w:tc>
          <w:tcPr>
            <w:tcW w:w="1356" w:type="dxa"/>
            <w:shd w:val="clear" w:color="auto" w:fill="auto"/>
            <w:vAlign w:val="center"/>
          </w:tcPr>
          <w:p w:rsidR="006E5B5B" w:rsidRPr="00F727DA" w:rsidRDefault="005B1D63" w:rsidP="00A8741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Pjesa hyrëse e nenit 68(1) është transpozuar plotësisht. Dispozita parashikon autorizimin ligjor për shkëmbimin e informacionit ndërmjet autoriteteve kompetente, duke ruajtur përjashtimin e parashikuar në nenin 70(2) të Rregullores (BE) 2024/1624. Referenca ndaj aktit të BE-së është reflektuar në mënyrë të drejtpërdrejtë.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që mbikëqyrin organet vetërregulluese në përputhje me kreun IV të kësaj direktive, pavarësisht nëse ndodhen në të njëjtën shtet anëtar apo në shtete anëtare të ndryshme;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600A67" w:rsidRDefault="00600A67" w:rsidP="00A87413">
            <w:pPr>
              <w:widowControl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a) autoriteteve mbikëqyrëse dhe autoriteteve publike që mbikëqyrin organet vetërregulluese sipas Kapitullit IV të këtij ligji, si brenda vendit ashtu edhe me autoritete homologe të shteteve të tjera;</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68(1)(a) është transpozuar plotësisht. Dispozita autorizon shkëmbimin e informacionit ndërmjet autoriteteve mbikëqyrëse dhe autoriteteve publike që mbikëqyrin organet vetërregulluese, si në nivel kombëtar ashtu edhe ndërkombëtar,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përgjegjëse sipas ligjit për mbikëqyrjen e tregjeve financiare në përmbushjen e funksioneve të tyre mbikëqyrëse përkatëse;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autoriteteve mbikëqyrëse dhe autoriteteve që, sipas ligjit, janë përgjegjëse për mbikëqyrjen e tregjeve financiare, në ushtrimin e funksioneve të tyre përkatëse mbikëqyrëse;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68(1)(b) është transpozuar plotësisht. Dispozita autorizon shkëmbimin e informacionit ndërmjet autoriteteve mbikëqyrëse dhe autoriteteve përgjegjëse për mbikëqyrjen e tregjeve financiare, në kuadër të ushtrimit të funksioneve të tyre mbikëqyrëse,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përgjegjës për audituesit dhe sipas rastit, autoriteteve publike që mbikëqyrin organet vetërregulluese sipas kreut IV të kësaj direktive, dhe autoriteteve publike kompetente për mbikëqyrjen e audituesve ligjorë dhe shoqërive të auditit sipas nenit 32 të Direktivës 2006/43/KE dhe nenit 20 të Rregullores (BE) nr. 537/2014, duke përfshirë autoritetet në shtete anëtare të ndryshme.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sekretit profesional të parashikuara në nenin 67, paragrafët 1 dhe 3 nuk pengojnë shkëmbimin e informacionit të përmendur në nënparagrafin e parë të këtij paragrafi.</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në përputhje me këtë paragraf përdoret vetëm për përmbushjen e detyrave të autoriteteve përkatëse, si dhe në kontekstin e procedurave administrative apo gjyqësore të lidhura specifikisht me ushtrimin e atyre funksioneve. Në çdo rast, informacioni i marrë është objekt i kërkesave për ruajtjen e sekretit profesional, të paktën të barasvlershme me ato të përmendura në nenin 67, paragrafi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00A67" w:rsidRPr="00600A67" w:rsidRDefault="00600A67" w:rsidP="00A87413">
            <w:pPr>
              <w:suppressAutoHyphens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rsidR="00600A67" w:rsidRPr="00600A67" w:rsidRDefault="00600A67" w:rsidP="00A87413">
            <w:pPr>
              <w:widowControl w:val="0"/>
              <w:autoSpaceDE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Detyrimet për ruajtjen e sekretit profesional të parashikuara në nenin 83, pikat 1 dhe 3, nuk pengojnë shkëmbimin e informacionit sipas pikës 1, shkronja “c”, të këtij neni.</w:t>
            </w:r>
          </w:p>
          <w:p w:rsidR="006E5B5B" w:rsidRPr="00E87DE8" w:rsidRDefault="00600A67" w:rsidP="00A87413">
            <w:pPr>
              <w:widowControl w:val="0"/>
              <w:autoSpaceDE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Informacioni konfidencial i shkëmbyer sipas kësaj pike përdoret vetëm për ushtrimin e detyrave të autoriteteve përkatëse dhe në kuadër të procedimeve administrative ose gjyqësore që lidhen posaçërisht me ushtrimin e këtyre funksioneve. Informacioni i marrë i nënshtrohet, në çdo rast, detyrimeve për ruajtjen e sekretit profesional të paktën ekuivalente me ato të parashikuara në nenin 83, pika 1,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68(1)(c) është transpozuar plotësisht. Dispozita autorizon shkëmbimin e informacionit ndërmjet autoriteteve mbikëqyrëse përgjegjëse për audituesit dhe autoriteteve kompetente për mbikëqyrjen e auditimit ligjor, përfshirë autoritete homologe të shteteve të tjera. Janë reflektuar gjithashtu kërkesat për përdorimin e kufizuar të informacionit dhe për zbatimin e detyrimeve ekuivalente të sekretit profesional, në përputhje me nenin 67 të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bookmarkStart w:id="11" w:name="_Hlk220324107"/>
            <w:r w:rsidRPr="00F727DA">
              <w:rPr>
                <w:rFonts w:ascii="Times New Roman" w:hAnsi="Times New Roman"/>
                <w:sz w:val="18"/>
                <w:szCs w:val="18"/>
              </w:rPr>
              <w:t>68(2)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zbulimin e informacioneve të caktuara tek autoritete të tjera kombëtare përgjegjëse për mbikëqyrjen e tregjeve financiare, ose me përgjegjësi të caktuara në fushën e luftës kundër apo pastrimit të parave ose hetimit të tij, veprave penale bazë të lidhura me të ose financimit të terrorizmit. Kërkesat e sekretit profesional të përcaktuara në nenin 67, paragrafët 1 dhe 3 nuk e pengojnë një zbulim të tillë.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Sidoqoftë, informacioni konfidencial i shkëmbyer sipas këtij paragrafi përdoret vetëm për qëllime të përmbushjes së detyrimeve ligjore të autoriteteve përkatëse. Personat që kanë akses në këtë informacion janë objekt i kërkesave të sekretit profesional të paktën të barasvlershme me ato të përmendura në nenin 67, paragrafi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E87DE8" w:rsidRPr="00E87DE8" w:rsidRDefault="00E87DE8" w:rsidP="00A87413">
            <w:pPr>
              <w:suppressAutoHyphens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të produkteve që buron vepra penale apo financimit të terrorizmit. Detyrimi për ruajtjen e sekretit profesional, i parashikuar në nenin 83, pikat 1 dhe 3, nuk përbën pengesë për dhënien e këtij informacioni.</w:t>
            </w:r>
          </w:p>
          <w:p w:rsidR="006E5B5B" w:rsidRPr="00E87DE8" w:rsidRDefault="00E87DE8" w:rsidP="00A87413">
            <w:pPr>
              <w:suppressAutoHyphens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Megjithatë, informacioni konfidencial i shkëmbyer sipas këtij neni përdoret vetëm për përmbushjen e detyrave ligjore të autoriteteve përkatëse. Personat që kanë akses në këtë informacion i nënshtrohen detyrimeve për ruajtjen e sekretit profesional të paktën ekuivalente me ato të parashikuara në nenin 83, pika 1, të këtij ligji.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68(2) është transpozuar plotësisht. Dispozita parashikon mundësinë e autorizimit të zbulimit të informacionit tek autoritete të tjera kombëtare me kompetenca në fushën e mbikëqyrjes financiare ose të luftës kundër pastrimit të parave dhe financimit të terrorizmit, duke ruajtur kufizimet për përdorimin e informacionit dhe detyrimet ekuivalente për sekret profesional.</w:t>
            </w:r>
          </w:p>
        </w:tc>
      </w:tr>
      <w:bookmarkEnd w:id="11"/>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zbulimin e informacioneve të caktuara në lidhje me mbikëqyrjen e subjekteve të detyruara për qëllime të respektimit të Rregullores (BE) 2024/1624, te komisionet hetimore parlamentare, gjykatat e audituesve dhe subjektet e tjera përgjegjëse për hetimet, në shtetin e tyre anëtar, sipas kushteve të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E87DE8" w:rsidRDefault="00E87DE8" w:rsidP="00A87413">
            <w:pPr>
              <w:widowControl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3. Autoritetet mbikëqyrëse mund të lejojnë dhënien e informacionit të caktuar që lidhet me mbikëqyrjen e subjekteve të detyruara për përputhshmërinë me Rregulloren (BE) 2024/1624, komisioneve parlamentare hetimore, Kontrollit të Lartë të Shtetit dhe organeve të tjera që, sipas ligjit, kanë kompetenca hetimore në Republikën e Shqipërisë, me kusht që të plotësohen kushtet e përcaktuara në vijim:</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 është transpozuar plotësisht. Dispozita parashikon mundësinë e dhënies së informacionit të caktuar lidhur me mbikëqyrjen e subjekteve të detyruara për përputhshmërinë me Rregulloren (BE) 2024/1624, komisioneve parlamentare hetimore, Kontrollit të Lartë të Shtetit dhe organeve të tjera me kompetenca hetimore, në përputhje me kushtet e përcaktuara në ligj.</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kanë një mandat specifik sipas legjislacionit të tyre të brendshëm për të hetuar ose shqyrtuar imtësisht veprimet e mbikëqyrësve apo autoriteteve përgjegjëse për ligjet në lidhje me këtë mbikëqyrje;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organet përkatëse të kenë një mandat të qartë dhe të përcaktuar në ligj për të hetuar ose për të ushtruar kontroll mbi veprimtarinë e autoriteteve mbikëqyrëse ose të autoriteteve përgjegjëse për zbatimin e legjislacionit në fushën e kësaj mbikëqyrjeje;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68(3)(a) është transpozuar plotësisht. Dispozita parashikon që zbulimi i informacionit lejohet vetëm nëse organi përkatës ka mandat të qartë ligjor për të hetuar ose kontrolluar veprimtarinë e autoriteteve mbikëqyrëse, në përputhje me kërkesat e Direktivës.</w:t>
            </w:r>
          </w:p>
          <w:p w:rsidR="006E5B5B" w:rsidRPr="00F727DA" w:rsidRDefault="006E5B5B" w:rsidP="00A87413">
            <w:pPr>
              <w:snapToGrid w:val="0"/>
              <w:spacing w:after="0" w:line="240" w:lineRule="auto"/>
              <w:rPr>
                <w:rFonts w:ascii="Times New Roman" w:hAnsi="Times New Roman"/>
                <w:sz w:val="18"/>
                <w:szCs w:val="18"/>
                <w:lang w:eastAsia="sq-AL" w:bidi="sq-AL"/>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është tejet i nevojshëm për përmbushjen e mandatit të përmendur në germën “a”;</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informacioni të jetë rreptësisht i domosdoshëm për përmbushjen e mandatit të përmendur në shkronjën “a” të këtij neni;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68(3)(b) është transpozuar plotësisht. Dispozita përcakton se zbulimi i informacionit lejohet vetëm nëse informacioni është rreptësisht i domosdoshëm për përmbushjen e mandatit ligjor të organit përkatës, në përputhje me kërkesën e proporcionalitetit të parashikuar në Direktivë.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kanë akses në informacion janë subjekt i kërkesave për ruajtjen e sekretit profesional sipas legjislacionit të brendshëm, të paktën të barasvlershme me ato të përmendura në paragrafin 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personat që kanë akses në këtë informacion t’i nënshtrohen detyrimeve për ruajtjen e sekretit profesional sipas legjislacionit kombëtar, të paktën në të njëjtin nivel me ato të parashikuara në pikën 1 të këtij neni;</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68(3)(c) është transpozuar plotësisht. Dispozita garanton që personat që kanë akses në informacionin e zbuluar i nënshtrohen detyrimeve për ruajtjen e sekretit profesional sipas legjislacionit kombëtar, në një nivel të paktën ekuivalent me atë të parashikuar në nenin 67,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68(3)(d)</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vjen nga një tjetër shtet anëtar, ai nuk zbulohet pa pëlqimin e shprehur të mbikëqyrësit që e ka zbuluar atë dhe vetëm për qëllimet për të cilat ai mbikëqyrës ka kanë dhënë pëlqimin e tij.</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gjithashtu zbulimin e informacionit në përputhje me nënparagrafin e parë të këtij paragrafi, te komisionet e përkohshme hetimore të ngritura nga Parlamenti Evropian në përputhje me nenin 226 të TFBE-së dhe nenin 2 të Vendimit 95/167/KE, Euratom, KEQÇ, të Parlamentit Evropian, Këshillit dhe Komisionit ( ), në rastet kur ky zbulim është i nevojshëm për realizimin e veprimtarive të atyre komisioneve.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kur informacioni merret nga një autoritet i një shteti tjetër, ky informacion nuk mund të bëhet zbulohet pa pëlqimin e shprehur të autoritetit që e ka dhënë, dhe vetëm për qëllimin për të cilin është dhënë ky pëlqim.</w:t>
            </w:r>
          </w:p>
          <w:p w:rsidR="006E5B5B" w:rsidRPr="00E87DE8" w:rsidRDefault="00E87DE8" w:rsidP="00A87413">
            <w:pPr>
              <w:widowControl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Autoritetet mbikëqyrëse mund të lejojnë gjithashtu dhënien e informacionit sipas këtij neni komiteteve të përkohshme hetimore të ngritura nga Parlamenti Evropian, në përputhje me nenin 226 të Traktatit 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68(3)(d) është transpozuar plotësisht. Dispozita parashikon që informacioni me origjinë nga një shtet tjetër nuk mund të zbulohet pa pëlqimin e shprehur të autoritetit që e ka dhënë dhe vetëm për qëllimet për të cilat është dhënë ky pëlqim. Është reflektuar gjithashtu mundësia e dhënies së informacionit komiteteve të përkohshme hetimore të Parlamentit Evropian, në përputhje me acquis të BE-së.</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7149F8" w:rsidRPr="007149F8" w:rsidRDefault="007149F8" w:rsidP="00A8741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4. Shkëmbimi i informacionit sipas këtij neni kryhet në masën e nevojshme dhe proporcionale me qëllimin për të cilin kërkohet.</w:t>
            </w:r>
          </w:p>
          <w:p w:rsidR="007149F8" w:rsidRPr="007149F8" w:rsidRDefault="007149F8" w:rsidP="00A8741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Kërkesa për shkëmbim informacioni mund të refuzohet me vendim të arsyetuar kur dhënia e informacionit do të cenonte një procedim penal, një hetim në proces ose sigurinë kombëtare.</w:t>
            </w:r>
          </w:p>
          <w:p w:rsidR="006E5B5B" w:rsidRPr="007149F8" w:rsidRDefault="007149F8" w:rsidP="00A8741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5. Shkëmbimi i informacionit kryhet nëpërmjet kanaleve të sigurta dhe në përputhje me masat teknike dhe organizative të përcaktuara me akt nënligjor.</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Shkëmbimi i informacionit sipas këtij neni nuk cenon kompetencat e organeve të ndjekjes penale dhe kryhet në përputhje me legjislacionin procedural penal në fuqi.</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Seksioni 3</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Udhëzime mbi bashkëpunimin</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69</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Udhëzime për bashkëpunimin kundër pastrimit të parave /financimit të terrorizmit</w:t>
            </w:r>
            <w:r w:rsidRPr="00F727DA">
              <w:rPr>
                <w:sz w:val="18"/>
                <w:szCs w:val="18"/>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në bashkëpunim me BQE-në, autoritetet evropiane të mbikëqyrjes, Europol-in, Eurojust-in dhe EPPO-në, nxjerr udhëzime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69 i Direktivës i drejtohet Autoritetit të BE-së për Luftën kundër Pastrimit të Parave dhe Financimit të Terrorizmit (AMLA) dhe parashikon nxjerrjen e udhëzimeve në nivel të Bashkimit Evropian. Dispozita nuk vendos detyrime për shtetet anëtare dhe nuk kërkon transpozim në legjislacionin kombëtar. Për këtë arsye, konsiderohet jo i zbatueshëm për transpozim në ligjin shqiptar AML/CFT.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bashkëpunimin midis autoriteteve kompetente në kuadër të seksionit 1 të këtij kreu, si dhe me autoritetet e përmendura në seksionin 2 të këtij kreu dhe subjektet përgjegjëse për regjistrat qendrorë, për parandalimin e pastrimit të parave dhe financimit të terrorizmit;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jc w:val="center"/>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jc w:val="center"/>
              <w:rPr>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procedurat që autoritetet kompetente për mbikëqyrjen ose monitorimin e subjekteve të detyruara në zbatim të akteve të tjera ligjore të BE-së duhet të përdorin për të marrë në konsideratë shqetësimet lidhur me pastrimin e parave dhe financimin e terrorizmit në kryerjen e detyrave të tyre në kuadër të këtyre akteve ligjore të BE-së.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Kapitulli VI</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Mbrojtja e të Dhënave</w:t>
            </w:r>
          </w:p>
        </w:tc>
      </w:tr>
      <w:tr w:rsidR="006E5B5B" w:rsidRPr="00F727DA" w:rsidTr="00E24C86">
        <w:trPr>
          <w:trHeight w:val="578"/>
        </w:trPr>
        <w:tc>
          <w:tcPr>
            <w:tcW w:w="14397" w:type="dxa"/>
            <w:gridSpan w:val="8"/>
            <w:shd w:val="clear" w:color="auto" w:fill="auto"/>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70</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Përpunimi i kategoriave të caktuara të të dhënave personale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kohë që është e nevojshme për qëllimet e kësaj direktive, autoritetet kompetente mund të përpunojnë kategori të veçanta të të dhënave personale të përmendura në nenin 9, paragrafi 1 të Rregullores (BE) 2016/679 dhe të dhënave personale në lidhje me dënimet penale dhe veprat penale të përmendura në nenin 10 të kësaj rregulloreje, duke iu nënshtruar masave mbrojtëse të përshtatshme për të drejtat dhe liritë e subjekteve të të dhënave, krahas masave mbrojtëse në vijim: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KAPITULLI VI</w:t>
            </w:r>
          </w:p>
          <w:p w:rsidR="006E5B5B" w:rsidRPr="00F727DA" w:rsidRDefault="006E5B5B" w:rsidP="00A87413">
            <w:pPr>
              <w:pStyle w:val="Heading3"/>
              <w:spacing w:before="0"/>
              <w:rPr>
                <w:rFonts w:ascii="Times New Roman" w:eastAsia="Calibri" w:hAnsi="Times New Roman" w:cs="Times New Roman"/>
                <w:color w:val="auto"/>
                <w:sz w:val="18"/>
                <w:szCs w:val="18"/>
                <w:lang w:eastAsia="sq-AL" w:bidi="sq-AL"/>
              </w:rPr>
            </w:pPr>
            <w:r w:rsidRPr="00F727DA">
              <w:rPr>
                <w:rFonts w:ascii="Times New Roman" w:eastAsia="Calibri" w:hAnsi="Times New Roman" w:cs="Times New Roman"/>
                <w:color w:val="auto"/>
                <w:sz w:val="18"/>
                <w:szCs w:val="18"/>
                <w:lang w:eastAsia="sq-AL" w:bidi="sq-AL"/>
              </w:rPr>
              <w:t>MBROJTJA E TË DHËNAVE</w:t>
            </w:r>
          </w:p>
          <w:p w:rsidR="00F306AC" w:rsidRDefault="00F306AC" w:rsidP="00A87413">
            <w:pPr>
              <w:pStyle w:val="Heading2"/>
              <w:spacing w:before="0" w:beforeAutospacing="0" w:after="0" w:afterAutospacing="0"/>
              <w:rPr>
                <w:rFonts w:eastAsia="Arial Unicode MS"/>
                <w:b w:val="0"/>
                <w:sz w:val="18"/>
                <w:szCs w:val="18"/>
                <w:lang w:val="sq-AL" w:eastAsia="sq-AL" w:bidi="sq-AL"/>
              </w:rPr>
            </w:pPr>
          </w:p>
          <w:p w:rsidR="005F3FE2" w:rsidRPr="00F306AC" w:rsidRDefault="005F3FE2" w:rsidP="00A87413">
            <w:pPr>
              <w:pStyle w:val="Heading2"/>
              <w:spacing w:before="0" w:beforeAutospacing="0" w:after="0" w:afterAutospacing="0"/>
              <w:rPr>
                <w:rFonts w:eastAsia="Arial Unicode MS"/>
                <w:b w:val="0"/>
                <w:sz w:val="18"/>
                <w:szCs w:val="18"/>
                <w:lang w:val="sq-AL" w:eastAsia="sq-AL" w:bidi="sq-AL"/>
              </w:rPr>
            </w:pPr>
            <w:r w:rsidRPr="00F306AC">
              <w:rPr>
                <w:rFonts w:eastAsia="Arial Unicode MS"/>
                <w:b w:val="0"/>
                <w:sz w:val="18"/>
                <w:szCs w:val="18"/>
                <w:lang w:val="sq-AL" w:eastAsia="sq-AL" w:bidi="sq-AL"/>
              </w:rPr>
              <w:t>Neni 85</w:t>
            </w:r>
          </w:p>
          <w:p w:rsidR="005F3FE2" w:rsidRPr="00F306AC" w:rsidRDefault="005F3FE2" w:rsidP="00A87413">
            <w:pPr>
              <w:pStyle w:val="Heading2"/>
              <w:spacing w:before="0" w:beforeAutospacing="0" w:after="0" w:afterAutospacing="0"/>
              <w:rPr>
                <w:rFonts w:eastAsia="Arial Unicode MS"/>
                <w:b w:val="0"/>
                <w:sz w:val="18"/>
                <w:szCs w:val="18"/>
                <w:lang w:val="sq-AL" w:eastAsia="sq-AL" w:bidi="sq-AL"/>
              </w:rPr>
            </w:pPr>
            <w:r w:rsidRPr="00F306AC">
              <w:rPr>
                <w:rFonts w:eastAsia="Arial Unicode MS"/>
                <w:b w:val="0"/>
                <w:sz w:val="18"/>
                <w:szCs w:val="18"/>
                <w:lang w:val="sq-AL" w:eastAsia="sq-AL" w:bidi="sq-AL"/>
              </w:rPr>
              <w:t>Përpunimi i disa kategorive të të dhënave personale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306AC" w:rsidRDefault="00F306AC" w:rsidP="00A87413">
            <w:pPr>
              <w:widowControl w:val="0"/>
              <w:spacing w:after="0" w:line="240" w:lineRule="auto"/>
              <w:rPr>
                <w:rFonts w:ascii="Times New Roman" w:hAnsi="Times New Roman"/>
                <w:bCs/>
                <w:sz w:val="18"/>
                <w:szCs w:val="18"/>
                <w:lang w:val="sq-AL" w:eastAsia="sq-AL" w:bidi="sq-AL"/>
              </w:rPr>
            </w:pPr>
            <w:r w:rsidRPr="00F306AC">
              <w:rPr>
                <w:rFonts w:ascii="Times New Roman" w:hAnsi="Times New Roman"/>
                <w:bCs/>
                <w:sz w:val="18"/>
                <w:szCs w:val="18"/>
                <w:lang w:val="sq-AL" w:eastAsia="sq-AL" w:bidi="sq-AL"/>
              </w:rPr>
              <w:t>1. Në masën që është e nevojshme për zbatimin e këtij ligji, autoritetet kompetente mund të përpunojnë kategori të veçanta të të dhënave personale sipas legjislacionit në fuqi për mbrojtjen e të dhënave personale, përfshirë të dhëna që zbulojnë origjinën racore ose etnike, bindjet politike, fetare ose filozofike, anëtarësimin në organizata sindikale, si dhe të dhëna 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përveç masave mbrojtëse të mëposhtme: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 është transpozuar duke përshkruar materialisht kategoritë e veçanta të të dhënave personale dhe të dhënave që lidhen me dënime penale, pa referencë direkte ndaj akteve të BE-së, në përputhje me kuadrin kombëtar për mbrojtjen e të dhënave personale.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përpunimi i këtyre të dhënave kryhet vetëm rast pas rasti nga personeli i secilit autoritet kompetent që është caktuar dhe autorizuar në mënyrë specifike për kryerjen e këtyre detyrave;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përpunimi i këtyre të dhënave kryhet vetëm rast pas rasti dhe vetëm nga personeli i autoritetit kompetent që është caktuar dhe autorizuar në mënyrë të posaçme për kryerjen e këtyre detyrave;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70(1)(a) është transpozuar plotësisht. Dispozita garanton që përpunimi i kategorive të veçanta të të dhënave personale kryhet vetëm rast pas rasti dhe vetëm nga personel i caktuar dhe i autorizuar posaçërisht, në përputhje me kërkesat e Direktivës.</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stafi i autoriteteve kompetente zbaton standarde të larta profesionale lidhur me konfidencialitetin dhe mbrojtjen e të dhënave, ka integritet të lartë dhe kualifikimin e duhur, duke përfshirë në lidhje me trajtimin etik të grupeve të mëdha të të dhënave;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70(1)(b) është transpozuar plotësisht. Dispozita parashikon që personeli i autoriteteve kompetente duhet të përmbushë standarde të larta profesionale në fushën e konfidencialitetit dhe mbrojtjes së të dhënave, të ketë integritet të lartë dhe aftësi të përshtatshme, përfshirë trajtimin etik të vëllimeve të mëdha të të dhënave.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merren masa teknike dhe organizative për të garantuar sigurinë e të dhënave sipas standardeve të larta teknologjike.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autoritetet kompetente vendosin masa teknike dhe organizative për të garantuar sigurinë e të dhënave në përputhje me standarde të larta teknologjike;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kompetente sigurojnë zbatimin e masave teknike dhe organizative të përshtatshme për garantimin e sigurisë së të dhënave, në përputhje me standarde të larta teknologjike dhe praktika të mira profesionale.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çdo akses, përpunim, ndryshim ose komunikim i këtyre të dhënave regjistrohet dhe është i gjurmueshëm;</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të dhënat ruhen vetëm për aq kohë sa është e nevojshme për përmbushjen e qëllimit për të cilin janë përpunuar dhe fshihen ose anonimizohen pas përfundimit të këtij qëllimi.</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Autoritetet kompetente nëpërmjet akteve ligjore apo nënligjore sigurojnë mekanizma të brendshëm kontrolli dhe mbikëqyrjeje për përpunimin e këtyre të dhënave, përfshirë auditime periodike.</w:t>
            </w:r>
          </w:p>
          <w:p w:rsidR="006E5B5B" w:rsidRPr="00F727DA" w:rsidRDefault="006E5B5B" w:rsidP="00A8741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Përpunimi i të dhënave sipas këtij neni kryhet në përputhje me legjislacionin në fuqi për mbrojtjen e të dhënave personale.</w:t>
            </w: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përputhje me nenin 70 të Direktivës. Për të garantuar zbatimin efektiv dhe uniform nga të gjitha autoritetet kompetente, projektligji parashikon masa shtesë mbrojtëse, përfshirë regjistrimin dhe gjurmueshmërinë e aksesit në të dhëna, kufizimin e afatit të ruajtjes së të dhënave, si dhe mekanizma të brendshëm kontrolli dhe auditimi. Këto masa nuk përbëjnë tejkalim të kërkesave të Direktivës, por synojnë forcimin e sigurisë juridike dhe mbrojtjes së të drejtave të subjekteve të të dhënave në përputhje me standardet e legjislacionit kombëtar për mbrojtjen e të dhënave personale.</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mbrojtëse të përmendura në paragrafin 1 të këtij neni zbatohen gjithashtu për përpunimin për qëllime të kësaj direktive të kategorive të veçanta të të dhënave të përmendura në nenin 10, paragrafi 1 të Rregullores (BE) 2018/1725 dhe të të dhënave personale në lidhje me dënimet penale dhe veprat penale të përmendura në nenin 11 të kësaj rregulloreje nga institucionet, organet, zyrat ose agjencitë e BE-së.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70(2) i Direktivës i referohet përpunimit të të dhënave nga institucionet, organet dhe agjencitë e Bashkimit Evropian. Dispozita nuk vendos detyrime për shtetet anëtare dhe nuk kërkon transpozim në legjislacionin kombëtar. Për këtë arsye konsiderohet jo i zbatueshëm për transpozim në ligjin shqiptar AML/CFT.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Kapitulli VII</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Dispozitat Përfundimatre</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71</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Ushtrimi i delegimit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jepet kompetenca për të miratuar akte të deleguara në bazë të kushteve të përcaktuara në këtë nen.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71 i Direktivës rregullon ushtrimin e kompetencës së deleguar nga Komisioni Evropian për miratimin e akteve të deleguara dhe ka karakter thjesht institucional në nivel të Bashkimit Evropian. Dispozita nuk vendos detyrime për shtetet anëtare dhe, për rrjedhojë, nuk kërkon transpozim në legjislacionin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Kompetenca për të miratuar aktet e deleguara të përmendura në nenin 10 i jepet Komisionit për një periudhë kohore të pacaktuar duke nisur nga 9 korriku 2024.</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71(3)</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Delegimi i kompetencave të përmendura në nenin 10 mund të revokohet në çdo kohë nga Parlamenti Evropian ose nga Këshilli. Vendimi për revokim i jep fund delegimit të kompetencave të specifikuara në atë vendim. Ai hyn në fuqi një ditë pas botimit të vendimit në Gazetën Zyrtare të Bashkimit Evropian ose në një datë të mëvonshme që specifikohet në vendim. Ai nuk cenon vlefshmërinë e asnjë akti të deleguar që ka hyrë tashmë në fuqi.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Përpara miratimit të një akti të deleguar, Komisioni konsultohet me ekspertë të zgjedhur nga secili shtet anëtar, në përputhje me parimet e parashikuara në Marrëveshjen Ndërinstitucionale të datës 13 prill 2016 "Për një hartim më të mirë të legjislacionit".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Menjëherë pas miratimit të një akti të deleguar, Komisioni njofton njëkohësisht Parlamentin Evropian dhe Këshillin.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akt i deleguar i miratuar në përputhje me nenin 10 hyn në fuqi vetëm nëse nuk është shprehur asnjë kundërshtim as nga Parlamenti Evropian dhe as nga Këshilli, brenda një periudhe prej 3 muajsh pasi Parlamenti Evropian ose Këshilli është njoftuar për këtë akt, ose nëse, përpara përfundimit të kësaj periudhe, Parlamenti Evropian dhe Këshilli kanë informuar Komisionin se nuk do të shprehin asnjë kundërshtim. Kjo periudhë shtyhet me 3 muaj, me iniciativën e Parlamentit Evropian ose të Këshillit.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72</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Procedura e komitetit</w:t>
            </w:r>
            <w:r w:rsidRPr="00F727DA">
              <w:rPr>
                <w:sz w:val="18"/>
                <w:szCs w:val="18"/>
              </w:rPr>
              <w:t xml:space="preserve"> </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72(1)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asistohet nga Komiteti për Parandalimin e Pastrimit të Parave dhe Financimit të Terrorizmit, i ngritur në bazë të nenit 34 të Rregullores (BE) nr. 2023/1113. Ky Komitet është një komitet sipas kuptimit të Rregullores (BE) nr. 182/2011.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72 i Direktivës rregullon procedurën e komitetit (comitology) për miratimin e akteve zbatuese nga Komisioni Evropian dhe ka karakter ekskluzivisht institucional në nivel të Bashkimit Evropian. Dispozita nuk vendos detyrime për shtetet anëtare dhe nuk kërkon transpozim në legjislacionin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72(2)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Aty ku përmendet ky paragraf, gjen zbatim neni 5 i Rregullores (BE) nr. 182/2011.</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73</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Menaxhimi tranzitor i FIU.net</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73(1)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2027, Komisioni i transferon AMLA-s menaxhimin e FIU.net.</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në përfundimin e këtij transferimi, Komisioni siguron asistencën e nevojshme për funksionimin e FIU.net dhe shkëmbimin e informacionit ndërmjet NjIF-ve të BE-së. Për këtë qëllim, Komisioni thërret rregullisht takime të platformës së NjIF-ve të BE-së të përbërë nga përfaqësues të NjIF-ve të shteteve anëtare, me qëllim mbikëqyrjen e funksionimit të FIU.net.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73 i Direktivës rregullon transferimin e menaxhimit të sistemit FIU.net nga Komisioni Evropian tek AMLA dhe përmban dispozita organizative në nivel të Bashkimit Evropian. Dispozita nuk vendos detyrime për shtetet anëtare dhe nuk kërkon transpozim në legjislacionin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74</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Ndryshimet në Direktivën (BE) 2015/849</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2015/849 ndryshohet si vijon: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nenin 30, paragrafi 5, nënparagrafi i parë dhe i dytë zëvendësohen me tekstin e mëposhtëm: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Shtetet anëtare garantojnë që informacioni mbi pronësinë përfituese të jetë i aksesueshëm në të gjitha rastet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QKB plotesim</w:t>
            </w:r>
          </w:p>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74(1)(a)</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(a)autoritetet kompetente dhe NjIF-të, pa asnjë kufizim;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74(1)(b)</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(b)subjektet e detyruara, në kuadër të vigjilencës së duhur ndaj klientit, në përputhje me kreun II;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74(1)(c)</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person ose organizatë që mund të demonstrojë një interes legjitim.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ose organizatat e përmendura në germën “c” të nënparagrafit të parë lejohen të aksesojnë të paktën emrin, muajin dhe vitin e lindjes, vendin e banimit dhe shtetësinë e pronarit përfitues, si dhe natyrën dhe shtrirjen e interesit përfitues të zotëruar.”;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 (2)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nenin 31, paragrafi 4, nënparagrafi i parë dhe i dytë zëvendësohen me tekstin e mëposhtëm:</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Shtetet anëtare garantojnë që informacioni mbi pronësinë përfituese të një trusti ose organizimi të ngjashëm ligjor të jetë i aksesueshëm në të gjitha rastet për: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QKB plotesim</w:t>
            </w:r>
          </w:p>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(a)autoritetet kompetente dhe NjIF-të, pa asnjë kufizim;</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subjektet e detyruara, në kuadër të vigjilencës së duhur ndaj klientit, në përputhje me kreun II;</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person fizik ose juridik që mund të demonstrojë interes legjitim për të aksesuar informacionin mbi pronësinë përfituese.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aksesueshëm nga personat fizikë ose juridikë të përmendur në germën “c” të nënparagrafit të parë konsiston në emrin, muajin dhe vitin e lindjes dhe vendin e banimit dhe shtetësinë e pronarit përfitues, si dhe në natyrën dhe shtrirjen e interesit përfitues të zotëruar.”;</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tcPr>
          <w:p w:rsidR="006E5B5B" w:rsidRPr="00F727DA" w:rsidRDefault="006E5B5B" w:rsidP="00A87413">
            <w:pPr>
              <w:spacing w:after="0" w:line="240" w:lineRule="auto"/>
              <w:rPr>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tcPr>
          <w:p w:rsidR="006E5B5B" w:rsidRPr="00F727DA" w:rsidRDefault="006E5B5B" w:rsidP="00A87413">
            <w:pPr>
              <w:spacing w:after="0" w:line="240" w:lineRule="auto"/>
              <w:rPr>
                <w:sz w:val="18"/>
                <w:szCs w:val="18"/>
              </w:rPr>
            </w:pPr>
            <w:r w:rsidRPr="00F727DA">
              <w:rPr>
                <w:rFonts w:ascii="Times New Roman" w:hAnsi="Times New Roman"/>
                <w:sz w:val="18"/>
                <w:szCs w:val="18"/>
              </w:rPr>
              <w:t>QKB plotesim</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75</w:t>
            </w:r>
          </w:p>
          <w:p w:rsidR="006E5B5B" w:rsidRPr="00F727DA" w:rsidRDefault="006E5B5B" w:rsidP="00A87413">
            <w:pPr>
              <w:snapToGrid w:val="0"/>
              <w:spacing w:after="0" w:line="240" w:lineRule="auto"/>
              <w:rPr>
                <w:rFonts w:ascii="Times New Roman" w:hAnsi="Times New Roman"/>
                <w:sz w:val="18"/>
                <w:szCs w:val="18"/>
              </w:rPr>
            </w:pPr>
            <w:r w:rsidRPr="00F727DA">
              <w:rPr>
                <w:rFonts w:ascii="Times New Roman" w:hAnsi="Times New Roman"/>
                <w:b/>
                <w:sz w:val="18"/>
                <w:szCs w:val="18"/>
              </w:rPr>
              <w:t>Ndryshimi i Direktivës (BE) 2019/1937</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75</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pjesën II, seksioni A, pika 2 të shtojcës së Direktivës (BE) 2019/1937 shtohet pika e mëposhtme: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Rregullorja (BE) 2024/1624 e Parlamentit Evropian dhe e Këshillit, datë 31 maj 2024 “Për parandalimin e përdorimit të sistemit financiar për qëllime të pastrimit të parave ose financimit të terrorizmit ”(Gazeta Zyrtare L, 2024/1624, 19.6.2024, ELI: </w:t>
            </w:r>
            <w:hyperlink r:id="rId8" w:history="1">
              <w:r w:rsidRPr="00F727DA">
                <w:rPr>
                  <w:rStyle w:val="Hyperlink"/>
                  <w:rFonts w:ascii="Times New Roman" w:hAnsi="Times New Roman"/>
                  <w:sz w:val="18"/>
                  <w:szCs w:val="18"/>
                  <w:lang w:eastAsia="sq-AL" w:bidi="sq-AL"/>
                </w:rPr>
                <w:t>http://data.europa.eu/eli/reg/2024/1624/oj)</w:t>
              </w:r>
            </w:hyperlink>
            <w:r w:rsidRPr="00F727DA">
              <w:rPr>
                <w:rFonts w:ascii="Times New Roman" w:hAnsi="Times New Roman"/>
                <w:sz w:val="18"/>
                <w:szCs w:val="18"/>
                <w:lang w:eastAsia="sq-AL" w:bidi="sq-AL"/>
              </w:rPr>
              <w:t>.”.</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76</w:t>
            </w:r>
          </w:p>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Rishikimi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76</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2032 dhe çdo 3 vjet pas kësaj date, Komisioni dorëzon një raport pranë Parlamentit Evropian dhe Këshillit lidhur me zbatimin e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76 ka karakter institucional dhe i drejtohet Komisionit Evropian për paraqitjen e një raporti mbi zbatimin e Direktivës. Dispozita nuk vendos detyrime për shtetet anëtare dhe nuk kërkon transpozim në legjislacionin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76</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Shfuqizimi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77</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2015/849 shfuqizohet duke filluar nga data 10 korrik 2027.</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Referencat ndaj direktivës së shfuqizuar interpretohen si referenca ndaj kësaj direktive dhe ndaj Rregullores (BE) 2024/1624 dhe lexohen në përputhje me tabelën e përputhshmërisë në shtojcën e kësaj direktive.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77 ka karakter institucional dhe rregullon shfuqizimin e Direktivës (EU) 2015/849 në nivel të Bashkimit Evropian. Dispozita nuk vendos detyrime për shtetet anëtare dhe nuk kërkon transpozim në legjislacionin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78</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Transpozimi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78(1)</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miratojnë ligjet, rregulloret dhe dispozitat administrative të nevojshme për të siguruar pajtueshmërinë me këtë direktivë brenda datës 10 korrik 2027. Ato njoftojnë menjëherë Komisionin për këtë.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parë, shtetet anëtare miratojnë ligjet, rregulloret dhe dispozitat administrative të nevojshme për të siguruar pajtueshmërinë me nenin 74 deri më 10 korrik 2025, me nenet 11, 12, 13 dhe 15 deri më 10 korrik 2026 dhe me nenin 18 deri më 10 korrik 2029. Ato njoftojnë menjëherë Komisionin për këtë.</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e përmendura në këtë paragraf që miratohen nga shtetet anëtare përmbajnë një referencë ndaj kësaj direktive ose shoqërohen me një referencë të tillë në rastin e botimit zyrtar të tyre. Mënyrat për bërjen e një reference të tillë përcaktohen nga shtetet anëtare.</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78(1) përmban dispozita lidhur me afatet e transpozimit dhe detyrimin e njoftimit të Komisionit Evropian nga shtetet anëtare. Dispozita ka karakter procedural në nivel të Bashkimit Evropian dhe nuk kërkon transpozim në legjislacionin kombëtar.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78(2)</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i komunikojnë Komisionit tekstin e masave kryesore të legjislacionit të brendshëm që ato miratojnë në fushën që mbulon kjo direktivë.</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D9581E" w:rsidRPr="00D9581E" w:rsidRDefault="00D9581E" w:rsidP="00A87413">
            <w:pPr>
              <w:pStyle w:val="NormalWeb"/>
              <w:spacing w:before="0" w:beforeAutospacing="0" w:after="0" w:afterAutospacing="0"/>
              <w:rPr>
                <w:rFonts w:eastAsia="Arial Unicode MS"/>
                <w:bCs/>
                <w:sz w:val="18"/>
                <w:szCs w:val="18"/>
                <w:lang w:val="sq-AL" w:eastAsia="sq-AL" w:bidi="sq-AL"/>
              </w:rPr>
            </w:pPr>
            <w:r w:rsidRPr="00D9581E">
              <w:rPr>
                <w:rFonts w:eastAsia="Arial Unicode MS"/>
                <w:bCs/>
                <w:sz w:val="18"/>
                <w:szCs w:val="18"/>
                <w:lang w:val="sq-AL" w:eastAsia="sq-AL" w:bidi="sq-AL"/>
              </w:rPr>
              <w:t>Neni 86</w:t>
            </w:r>
          </w:p>
          <w:p w:rsidR="00D9581E" w:rsidRPr="00D9581E" w:rsidRDefault="00D9581E" w:rsidP="00A87413">
            <w:pPr>
              <w:pStyle w:val="NormalWeb"/>
              <w:spacing w:before="0" w:beforeAutospacing="0" w:after="0" w:afterAutospacing="0"/>
              <w:rPr>
                <w:rFonts w:eastAsia="Arial Unicode MS"/>
                <w:bCs/>
                <w:sz w:val="18"/>
                <w:szCs w:val="18"/>
                <w:lang w:val="sq-AL" w:eastAsia="sq-AL" w:bidi="sq-AL"/>
              </w:rPr>
            </w:pPr>
            <w:r w:rsidRPr="00D9581E">
              <w:rPr>
                <w:rFonts w:eastAsia="Arial Unicode MS"/>
                <w:bCs/>
                <w:sz w:val="18"/>
                <w:szCs w:val="18"/>
                <w:lang w:val="sq-AL" w:eastAsia="sq-AL" w:bidi="sq-AL"/>
              </w:rPr>
              <w:t>Zbatimi i dispozitave që lidhen me strukturat e Bashkimit Evropian</w:t>
            </w:r>
          </w:p>
          <w:p w:rsidR="006E5B5B" w:rsidRPr="00F727DA" w:rsidRDefault="006E5B5B" w:rsidP="00A87413">
            <w:pPr>
              <w:widowControl w:val="0"/>
              <w:snapToGrid w:val="0"/>
              <w:spacing w:after="0" w:line="240" w:lineRule="auto"/>
              <w:rPr>
                <w:rFonts w:ascii="Times New Roman" w:hAnsi="Times New Roman"/>
                <w:sz w:val="18"/>
                <w:szCs w:val="18"/>
              </w:rPr>
            </w:pPr>
          </w:p>
        </w:tc>
        <w:tc>
          <w:tcPr>
            <w:tcW w:w="2064" w:type="dxa"/>
            <w:shd w:val="clear" w:color="auto" w:fill="auto"/>
            <w:vAlign w:val="center"/>
          </w:tcPr>
          <w:p w:rsidR="00BE3B26" w:rsidRPr="00BE3B26" w:rsidRDefault="00BE3B26" w:rsidP="00A8741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1. Dispozitat e këtij ligji që lidhen me strukturat e Bashkimit Evropian në fushën e parandalimit të pastrimit të parave dhe, financimit të terrorizmit zbatohen në përputhje me legjislacionin e Bashkimit Evropian në fuqi, nga data e anëtarësimit të Republikës së Shqipërisë në Bashkimin Evropian.</w:t>
            </w:r>
          </w:p>
          <w:p w:rsidR="00BE3B26" w:rsidRPr="00BE3B26" w:rsidRDefault="00BE3B26" w:rsidP="00A8741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2. Autoritetet kompetente marrin në konsideratë udhëzimet dhe standardet e miratuara nga organet përkatëse të Bashkimit Evropian në fushën e parandalimit të pastrimit të parave dhe financimit të terrorizmit, në masën që ato janë të zbatueshme për Republikën e Shqipërisë.</w:t>
            </w:r>
          </w:p>
          <w:p w:rsidR="006E5B5B" w:rsidRPr="00BE3B26" w:rsidRDefault="00BE3B26" w:rsidP="00A8741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3. Në rast të aderimit të Republikës së Shqipërisë në Bashkimin Evropian, nëse ndonjë dispozitë e këtij ligji bie në kundërshtim me një akt të Bashkimit Evropian që ka efekt të drejtpërdrejtë, zbatohet akti i Bashkimit Evropian.</w:t>
            </w: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Është përfshirë një dispozitë kalimtare që rregullon aktivizimin e plotë të dispozitave të ligjit që lidhen me strukturat dhe mekanizmat e Bashkimit Evropian në fushën e PPP/FT, nga data e anëtarësimit të Republikës së Shqipërisë në BE. Kjo qasje garanton përputhshmëri me Direktivën, duke reflektuar statusin aktual të Shqipërisë si vend kandidat dhe duke siguruar integrim të menjëhershëm të mekanizmave të BE-së pas anëtarësimit.</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79</w:t>
            </w:r>
          </w:p>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Hyrja në fuqi</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79</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hyn në fuqi njëzet ditë pas botimit të saj në Gazetën Zyrtare të Bashkimit Evropian.</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rsidR="006E5B5B" w:rsidRPr="00F727DA" w:rsidRDefault="006E5B5B" w:rsidP="00A87413">
            <w:pPr>
              <w:pStyle w:val="NormalWeb"/>
              <w:spacing w:before="0" w:beforeAutospacing="0" w:after="0" w:afterAutospacing="0"/>
              <w:rPr>
                <w:rFonts w:eastAsia="Calibri"/>
                <w:bCs/>
                <w:sz w:val="18"/>
                <w:szCs w:val="18"/>
                <w:lang w:val="en-GB"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79 rregullon hyrjen në fuqi të Direktivës në nivel të Bashkimit Evropian dhe ka karakter procedural institucional. Dispozita nuk vendos detyrime për shtetet anëtare dhe nuk kërkon transpozim në legjislacionin kombëtar.</w:t>
            </w:r>
          </w:p>
        </w:tc>
      </w:tr>
      <w:tr w:rsidR="006E5B5B" w:rsidRPr="00F727DA" w:rsidTr="00E24C86">
        <w:trPr>
          <w:trHeight w:val="578"/>
        </w:trPr>
        <w:tc>
          <w:tcPr>
            <w:tcW w:w="14397" w:type="dxa"/>
            <w:gridSpan w:val="8"/>
            <w:shd w:val="clear" w:color="auto" w:fill="D9D9D9" w:themeFill="background1" w:themeFillShade="D9"/>
            <w:vAlign w:val="center"/>
          </w:tcPr>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Neni 80</w:t>
            </w:r>
          </w:p>
          <w:p w:rsidR="006E5B5B" w:rsidRPr="00F727DA" w:rsidRDefault="006E5B5B" w:rsidP="00A87413">
            <w:pPr>
              <w:snapToGrid w:val="0"/>
              <w:spacing w:after="0" w:line="240" w:lineRule="auto"/>
              <w:rPr>
                <w:rFonts w:ascii="Times New Roman" w:hAnsi="Times New Roman"/>
                <w:b/>
                <w:sz w:val="18"/>
                <w:szCs w:val="18"/>
              </w:rPr>
            </w:pPr>
            <w:r w:rsidRPr="00F727DA">
              <w:rPr>
                <w:rFonts w:ascii="Times New Roman" w:hAnsi="Times New Roman"/>
                <w:b/>
                <w:sz w:val="18"/>
                <w:szCs w:val="18"/>
              </w:rPr>
              <w:t>Drejtuar</w:t>
            </w:r>
          </w:p>
        </w:tc>
      </w:tr>
      <w:tr w:rsidR="006E5B5B" w:rsidRPr="00F727DA" w:rsidTr="00E24C86">
        <w:trPr>
          <w:trHeight w:val="578"/>
        </w:trPr>
        <w:tc>
          <w:tcPr>
            <w:tcW w:w="900" w:type="dxa"/>
            <w:shd w:val="clear" w:color="auto" w:fill="auto"/>
            <w:vAlign w:val="center"/>
          </w:tcPr>
          <w:p w:rsidR="006E5B5B" w:rsidRPr="00F727DA" w:rsidRDefault="006E5B5B" w:rsidP="00A8741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80</w:t>
            </w:r>
          </w:p>
        </w:tc>
        <w:tc>
          <w:tcPr>
            <w:tcW w:w="3507"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u drejtohet shteteve anëtare.</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Nënshkruar në Bruksel, më 31 maj 2024.</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Parlamentin Evropian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Këshillin</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Presidenti</w:t>
            </w:r>
            <w:r w:rsidRPr="00F727DA">
              <w:rPr>
                <w:rFonts w:ascii="Times New Roman" w:hAnsi="Times New Roman"/>
                <w:sz w:val="18"/>
                <w:szCs w:val="18"/>
                <w:lang w:eastAsia="sq-AL" w:bidi="sq-AL"/>
              </w:rPr>
              <w:tab/>
              <w:t>Presidenti</w:t>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 METSOLA</w:t>
            </w:r>
            <w:r w:rsidRPr="00F727DA">
              <w:rPr>
                <w:rFonts w:ascii="Times New Roman" w:hAnsi="Times New Roman"/>
                <w:sz w:val="18"/>
                <w:szCs w:val="18"/>
                <w:lang w:eastAsia="sq-AL" w:bidi="sq-AL"/>
              </w:rPr>
              <w:tab/>
            </w:r>
          </w:p>
          <w:p w:rsidR="006E5B5B" w:rsidRPr="00F727DA" w:rsidRDefault="006E5B5B" w:rsidP="00A8741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 LAHBIB</w:t>
            </w:r>
          </w:p>
        </w:tc>
        <w:tc>
          <w:tcPr>
            <w:tcW w:w="1266" w:type="dxa"/>
            <w:gridSpan w:val="2"/>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c>
          <w:tcPr>
            <w:tcW w:w="1980"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rsidR="006E5B5B" w:rsidRPr="00F727DA" w:rsidRDefault="006E5B5B" w:rsidP="00A8741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rsidR="006E5B5B" w:rsidRPr="00F727DA" w:rsidRDefault="006E5B5B" w:rsidP="00A87413">
            <w:pPr>
              <w:widowControl w:val="0"/>
              <w:snapToGrid w:val="0"/>
              <w:spacing w:after="0" w:line="240" w:lineRule="auto"/>
              <w:rPr>
                <w:rFonts w:ascii="Times New Roman" w:hAnsi="Times New Roman"/>
                <w:sz w:val="18"/>
                <w:szCs w:val="18"/>
              </w:rPr>
            </w:pPr>
          </w:p>
        </w:tc>
        <w:tc>
          <w:tcPr>
            <w:tcW w:w="3324" w:type="dxa"/>
            <w:shd w:val="clear" w:color="auto" w:fill="auto"/>
            <w:vAlign w:val="center"/>
          </w:tcPr>
          <w:p w:rsidR="006E5B5B" w:rsidRPr="00F727DA" w:rsidRDefault="006E5B5B" w:rsidP="00A87413">
            <w:pPr>
              <w:snapToGrid w:val="0"/>
              <w:spacing w:after="0" w:line="240" w:lineRule="auto"/>
              <w:rPr>
                <w:rFonts w:ascii="Times New Roman" w:hAnsi="Times New Roman"/>
                <w:sz w:val="18"/>
                <w:szCs w:val="18"/>
              </w:rPr>
            </w:pPr>
          </w:p>
        </w:tc>
      </w:tr>
    </w:tbl>
    <w:p w:rsidR="003525D4" w:rsidRPr="00F727DA" w:rsidRDefault="003525D4" w:rsidP="00A87413">
      <w:pPr>
        <w:spacing w:after="0" w:line="240" w:lineRule="auto"/>
        <w:rPr>
          <w:sz w:val="18"/>
          <w:szCs w:val="18"/>
        </w:rPr>
      </w:pPr>
    </w:p>
    <w:sectPr w:rsidR="003525D4" w:rsidRPr="00F727DA" w:rsidSect="003525D4">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383" w:rsidRDefault="00541383" w:rsidP="003525D4">
      <w:pPr>
        <w:spacing w:after="0" w:line="240" w:lineRule="auto"/>
      </w:pPr>
      <w:r>
        <w:separator/>
      </w:r>
    </w:p>
  </w:endnote>
  <w:endnote w:type="continuationSeparator" w:id="0">
    <w:p w:rsidR="00541383" w:rsidRDefault="00541383" w:rsidP="0035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207646"/>
      <w:docPartObj>
        <w:docPartGallery w:val="Page Numbers (Bottom of Page)"/>
        <w:docPartUnique/>
      </w:docPartObj>
    </w:sdtPr>
    <w:sdtEndPr>
      <w:rPr>
        <w:noProof/>
      </w:rPr>
    </w:sdtEndPr>
    <w:sdtContent>
      <w:p w:rsidR="00D33FC1" w:rsidRDefault="00D33FC1">
        <w:pPr>
          <w:pStyle w:val="Footer"/>
          <w:jc w:val="right"/>
        </w:pPr>
        <w:r>
          <w:fldChar w:fldCharType="begin"/>
        </w:r>
        <w:r>
          <w:instrText xml:space="preserve"> PAGE   \* MERGEFORMAT </w:instrText>
        </w:r>
        <w:r>
          <w:fldChar w:fldCharType="separate"/>
        </w:r>
        <w:r w:rsidR="00237303">
          <w:rPr>
            <w:noProof/>
          </w:rPr>
          <w:t>109</w:t>
        </w:r>
        <w:r>
          <w:rPr>
            <w:noProof/>
          </w:rPr>
          <w:fldChar w:fldCharType="end"/>
        </w:r>
      </w:p>
    </w:sdtContent>
  </w:sdt>
  <w:p w:rsidR="00D33FC1" w:rsidRDefault="00D3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383" w:rsidRDefault="00541383" w:rsidP="003525D4">
      <w:pPr>
        <w:spacing w:after="0" w:line="240" w:lineRule="auto"/>
      </w:pPr>
      <w:r>
        <w:separator/>
      </w:r>
    </w:p>
  </w:footnote>
  <w:footnote w:type="continuationSeparator" w:id="0">
    <w:p w:rsidR="00541383" w:rsidRDefault="00541383" w:rsidP="003525D4">
      <w:pPr>
        <w:spacing w:after="0" w:line="240" w:lineRule="auto"/>
      </w:pPr>
      <w:r>
        <w:continuationSeparator/>
      </w:r>
    </w:p>
  </w:footnote>
  <w:footnote w:id="1">
    <w:p w:rsidR="00D33FC1" w:rsidRPr="00AC66DC" w:rsidRDefault="00D33FC1">
      <w:pPr>
        <w:pStyle w:val="FootnoteText"/>
        <w:rPr>
          <w:rFonts w:ascii="Times New Roman" w:hAnsi="Times New Roman"/>
          <w:sz w:val="16"/>
          <w:szCs w:val="16"/>
          <w:lang w:val="en-US"/>
        </w:rPr>
      </w:pPr>
      <w:r w:rsidRPr="00AC66DC">
        <w:rPr>
          <w:rStyle w:val="FootnoteReference"/>
          <w:rFonts w:ascii="Times New Roman" w:hAnsi="Times New Roman"/>
          <w:sz w:val="16"/>
          <w:szCs w:val="16"/>
        </w:rPr>
        <w:footnoteRef/>
      </w:r>
      <w:r w:rsidRPr="00AC66DC">
        <w:rPr>
          <w:rFonts w:ascii="Times New Roman" w:hAnsi="Times New Roman"/>
          <w:sz w:val="16"/>
          <w:szCs w:val="16"/>
        </w:rPr>
        <w:t xml:space="preserve"> Rregullorja (BE) nr. 952/2013 e Parlamentit Evropian dhe e Këshillit, datë 9 tetor 2013, “Për përcaktimin e Kodit Doganor të Bashkimit Evropian” (Gazeta Zyrtare L 269, 10.10.2013, fq. 1).</w:t>
      </w:r>
    </w:p>
  </w:footnote>
  <w:footnote w:id="2">
    <w:p w:rsidR="00D33FC1" w:rsidRPr="00AC66DC" w:rsidRDefault="00D33FC1">
      <w:pPr>
        <w:pStyle w:val="FootnoteText"/>
        <w:rPr>
          <w:rFonts w:ascii="Times New Roman" w:hAnsi="Times New Roman"/>
          <w:sz w:val="16"/>
          <w:szCs w:val="16"/>
          <w:lang w:val="en-US"/>
        </w:rPr>
      </w:pPr>
      <w:r w:rsidRPr="00AC66DC">
        <w:rPr>
          <w:rStyle w:val="FootnoteReference"/>
          <w:rFonts w:ascii="Times New Roman" w:hAnsi="Times New Roman"/>
          <w:sz w:val="16"/>
          <w:szCs w:val="16"/>
        </w:rPr>
        <w:footnoteRef/>
      </w:r>
      <w:r w:rsidRPr="00AC66DC">
        <w:rPr>
          <w:rFonts w:ascii="Times New Roman" w:hAnsi="Times New Roman"/>
          <w:sz w:val="16"/>
          <w:szCs w:val="16"/>
        </w:rPr>
        <w:t xml:space="preserve"> Rregullorja (BE) 2018/1672 e Parlamentit Evropian dhe e Këshillit, datë 23 tetor 2018, "Për kontrollin e parave në dorë që hyjnë në BE ose dalin nga BE-ja dhe për shfuqizimin e Rregullores (KE) nr. 1889/2005" (Gazeta Zyrtare L 284, 12.11.2018, fq. 6).</w:t>
      </w:r>
    </w:p>
  </w:footnote>
  <w:footnote w:id="3">
    <w:p w:rsidR="00D33FC1" w:rsidRPr="00596C68" w:rsidRDefault="00D33FC1">
      <w:pPr>
        <w:pStyle w:val="FootnoteText"/>
        <w:rPr>
          <w:sz w:val="16"/>
          <w:szCs w:val="16"/>
          <w:lang w:val="en-US"/>
        </w:rPr>
      </w:pPr>
      <w:r w:rsidRPr="00596C68">
        <w:rPr>
          <w:rStyle w:val="FootnoteReference"/>
          <w:sz w:val="16"/>
          <w:szCs w:val="16"/>
        </w:rPr>
        <w:footnoteRef/>
      </w:r>
      <w:r w:rsidRPr="00596C68">
        <w:rPr>
          <w:sz w:val="16"/>
          <w:szCs w:val="16"/>
        </w:rPr>
        <w:t>Rregullorja (BE) nr. 909/2014 e Parlamentit Evropian dhe e Këshillit, datë 23 korrik 2014, “Për përmirësimin e shlyerjes së titujve në Bashkimin Evropian dhe për depozitarët qendrorë të titujve, si dhe për ndryshimin e Direktivave 98/26/KE dhe 2014/65/BE dhe të Rregullores (BE) nr. 236/2012” (Gazeta Zyrtare L 257, 28.8.2014, fq.1).</w:t>
      </w:r>
    </w:p>
  </w:footnote>
  <w:footnote w:id="4">
    <w:p w:rsidR="00D33FC1" w:rsidRPr="00596C68" w:rsidRDefault="00D33FC1">
      <w:pPr>
        <w:pStyle w:val="FootnoteText"/>
        <w:rPr>
          <w:sz w:val="16"/>
          <w:szCs w:val="16"/>
          <w:lang w:val="en-US"/>
        </w:rPr>
      </w:pPr>
      <w:r w:rsidRPr="00596C68">
        <w:rPr>
          <w:rStyle w:val="FootnoteReference"/>
          <w:sz w:val="16"/>
          <w:szCs w:val="16"/>
        </w:rPr>
        <w:footnoteRef/>
      </w:r>
      <w:r w:rsidRPr="00596C68">
        <w:rPr>
          <w:sz w:val="16"/>
          <w:szCs w:val="16"/>
        </w:rPr>
        <w:t>Direktiva 2014/65/BE e Parlamentit Evropian dhe e Këshillit, datë 15 maj 2014, "Për tregjet e instrumenteve financiare dhe për ndryshimin e Direktivës 2002/92/KE dhe Direktivës 2011/61/BE" (Gazeta Zyrtare L 173, 12.6.2014, fq. 349).</w:t>
      </w:r>
    </w:p>
  </w:footnote>
  <w:footnote w:id="5">
    <w:p w:rsidR="00D33FC1" w:rsidRPr="008F4623" w:rsidRDefault="00D33FC1">
      <w:pPr>
        <w:pStyle w:val="FootnoteText"/>
        <w:rPr>
          <w:rFonts w:ascii="Times New Roman" w:hAnsi="Times New Roman"/>
          <w:lang w:val="en-US"/>
        </w:rPr>
      </w:pPr>
      <w:r w:rsidRPr="008F4623">
        <w:rPr>
          <w:rStyle w:val="FootnoteReference"/>
          <w:rFonts w:ascii="Times New Roman" w:hAnsi="Times New Roman"/>
        </w:rPr>
        <w:footnoteRef/>
      </w:r>
      <w:r w:rsidRPr="008F4623">
        <w:rPr>
          <w:rFonts w:ascii="Times New Roman" w:hAnsi="Times New Roman"/>
        </w:rPr>
        <w:t xml:space="preserve"> Direktiva (BE) 2018/1673 e Parlamentit Evropian dhe e Këshillit, datë 23 tetor 2018, "Për luftën kundër pastrimit të parave nga legjislacioni penal" (Gazeta Zyrtare L 284, 12.11.2018, f. 22).</w:t>
      </w:r>
    </w:p>
  </w:footnote>
  <w:footnote w:id="6">
    <w:p w:rsidR="00D33FC1" w:rsidRPr="00DD20D0" w:rsidRDefault="00D33FC1">
      <w:pPr>
        <w:pStyle w:val="FootnoteText"/>
        <w:rPr>
          <w:sz w:val="16"/>
          <w:szCs w:val="16"/>
          <w:lang w:val="en-US"/>
        </w:rPr>
      </w:pPr>
      <w:r w:rsidRPr="00DD20D0">
        <w:rPr>
          <w:rStyle w:val="FootnoteReference"/>
          <w:rFonts w:ascii="Times New Roman" w:hAnsi="Times New Roman"/>
          <w:sz w:val="16"/>
          <w:szCs w:val="16"/>
        </w:rPr>
        <w:footnoteRef/>
      </w:r>
      <w:r w:rsidRPr="00DD20D0">
        <w:rPr>
          <w:rFonts w:ascii="Times New Roman" w:hAnsi="Times New Roman"/>
          <w:sz w:val="16"/>
          <w:szCs w:val="16"/>
        </w:rPr>
        <w:t xml:space="preserve"> Rregullorja (BE) nr. 910/2014 e Parlamentit Evropian dhe e Këshillit, datë 23 korrik 2014, “Për identifikimin elektronik dhe shërbimet e besuara për transaksionet elektronike në tregun e brendshëm dhe shfuqizimin e Direktivës 1999/93/KE” (Gazeta Zyrtare L 257, 28.8.2014, f. 73).</w:t>
      </w:r>
    </w:p>
  </w:footnote>
  <w:footnote w:id="7">
    <w:p w:rsidR="00D33FC1" w:rsidRPr="001F312D" w:rsidRDefault="00D33FC1" w:rsidP="001F312D">
      <w:pPr>
        <w:pStyle w:val="FootnoteText"/>
        <w:rPr>
          <w:sz w:val="16"/>
          <w:szCs w:val="16"/>
          <w:lang w:val="en-US"/>
        </w:rPr>
      </w:pPr>
      <w:r w:rsidRPr="001F312D">
        <w:rPr>
          <w:rStyle w:val="FootnoteReference"/>
          <w:rFonts w:ascii="Times New Roman" w:hAnsi="Times New Roman"/>
          <w:sz w:val="16"/>
          <w:szCs w:val="16"/>
        </w:rPr>
        <w:footnoteRef/>
      </w:r>
      <w:r w:rsidRPr="001F312D">
        <w:rPr>
          <w:rFonts w:ascii="Times New Roman" w:hAnsi="Times New Roman"/>
          <w:sz w:val="16"/>
          <w:szCs w:val="16"/>
        </w:rPr>
        <w:t xml:space="preserve"> Direktiva e Këshillit 2011/16/BE, datë 15 shkurt 2011, “Për bashkëpunimin administrativ në fushën e tatimeve dhe për shfuqizimin e Direktivës 77/799/KEE” (Gazeta Zyrtare L 64, 11.3.2011, fq. 1).</w:t>
      </w:r>
    </w:p>
  </w:footnote>
  <w:footnote w:id="8">
    <w:p w:rsidR="00D33FC1" w:rsidRPr="004B51ED" w:rsidRDefault="00D33FC1">
      <w:pPr>
        <w:pStyle w:val="FootnoteText"/>
        <w:rPr>
          <w:sz w:val="16"/>
          <w:szCs w:val="16"/>
          <w:lang w:val="en-US"/>
        </w:rPr>
      </w:pPr>
      <w:r w:rsidRPr="004B51ED">
        <w:rPr>
          <w:rStyle w:val="FootnoteReference"/>
          <w:rFonts w:ascii="Times New Roman" w:hAnsi="Times New Roman"/>
          <w:sz w:val="16"/>
          <w:szCs w:val="16"/>
        </w:rPr>
        <w:footnoteRef/>
      </w:r>
      <w:r w:rsidRPr="004B51ED">
        <w:rPr>
          <w:rFonts w:ascii="Times New Roman" w:hAnsi="Times New Roman"/>
          <w:sz w:val="16"/>
          <w:szCs w:val="16"/>
        </w:rPr>
        <w:t xml:space="preserve"> Rregullorja e Komisionit (BE) nr. 389/2013, datë 2 maj 2013, "Për krijimin e një regjistri të BE-së në përputhje me Direktivën 2003/87/KE të Parlamentit Evropian dhe të Këshillit, Vendimet nr. 280/2004/KE dhe nr. 406/2009/KE të Parlamentit Evropian dhe të Këshillit, dhe për shfuqizimin e Rregulloreve të Komisionit (BE) nr. 920/2010 dhe (BE) nr. 1193/2011" (Gazeta Zyrtare L 122, 3.5.2013, f. 1).</w:t>
      </w:r>
    </w:p>
  </w:footnote>
  <w:footnote w:id="9">
    <w:p w:rsidR="00D33FC1" w:rsidRPr="00596309" w:rsidRDefault="00D33FC1" w:rsidP="004032B3">
      <w:pPr>
        <w:pStyle w:val="FootnoteText"/>
        <w:rPr>
          <w:rFonts w:ascii="Times New Roman" w:hAnsi="Times New Roman"/>
          <w:lang w:val="en-US"/>
        </w:rPr>
      </w:pPr>
      <w:r w:rsidRPr="00596309">
        <w:rPr>
          <w:rStyle w:val="FootnoteReference"/>
          <w:rFonts w:ascii="Times New Roman" w:hAnsi="Times New Roman"/>
        </w:rPr>
        <w:footnoteRef/>
      </w:r>
      <w:r w:rsidRPr="00596309">
        <w:rPr>
          <w:rFonts w:ascii="Times New Roman" w:hAnsi="Times New Roman"/>
        </w:rPr>
        <w:t xml:space="preserve"> Direktiva 2009/110/KE e Parlamentit Evropian dhe e Këshillit, datë 16 shtator 2009, "Për nisjen, ushtrimin dhe mbikëqyrjen e kujdesshme të veprimtarisë së institucioneve të parasë elektronike, për ndryshimin e Direktivave 2005/60/KE dhe 2006/48/KE dhe për shfuqizimin e Direktivës 2000/46/KE" (Gazeta Zyrtare L 267, 10.10.2009, f. 7).</w:t>
      </w:r>
    </w:p>
  </w:footnote>
  <w:footnote w:id="10">
    <w:p w:rsidR="00D33FC1" w:rsidRPr="00A016FF" w:rsidRDefault="00D33FC1">
      <w:pPr>
        <w:pStyle w:val="FootnoteText"/>
        <w:rPr>
          <w:lang w:val="en-US"/>
        </w:rPr>
      </w:pPr>
      <w:r w:rsidRPr="002F5935">
        <w:rPr>
          <w:rStyle w:val="FootnoteReference"/>
          <w:rFonts w:ascii="Times New Roman" w:hAnsi="Times New Roman"/>
        </w:rPr>
        <w:footnoteRef/>
      </w:r>
      <w:r w:rsidRPr="002F5935">
        <w:rPr>
          <w:rFonts w:ascii="Times New Roman" w:hAnsi="Times New Roman"/>
        </w:rPr>
        <w:t xml:space="preserve"> Rregullorja e Këshillit (BE) nr. 1024/2013, datë 15 tetor 2013 “Për caktimin e detyrave specifike për Bankën Qendrore Evropiane në lidhje me politikat që kanë të bëjnë me mbikëqyrjen prudenciale të institucioneve të kreditit” (Gazeta Zyrtare L 287, 29.10.2013, f. 63).</w:t>
      </w:r>
    </w:p>
  </w:footnote>
  <w:footnote w:id="11">
    <w:p w:rsidR="00D33FC1" w:rsidRPr="00BF3BCA" w:rsidRDefault="00D33FC1">
      <w:pPr>
        <w:pStyle w:val="FootnoteText"/>
        <w:rPr>
          <w:sz w:val="16"/>
          <w:szCs w:val="16"/>
          <w:lang w:val="en-US"/>
        </w:rPr>
      </w:pPr>
      <w:r w:rsidRPr="00BF3BCA">
        <w:rPr>
          <w:rStyle w:val="FootnoteReference"/>
          <w:rFonts w:ascii="Times New Roman" w:hAnsi="Times New Roman"/>
          <w:sz w:val="16"/>
          <w:szCs w:val="16"/>
        </w:rPr>
        <w:footnoteRef/>
      </w:r>
      <w:r w:rsidRPr="00BF3BCA">
        <w:rPr>
          <w:rFonts w:ascii="Times New Roman" w:hAnsi="Times New Roman"/>
          <w:sz w:val="16"/>
          <w:szCs w:val="16"/>
        </w:rPr>
        <w:t xml:space="preserve">   Direktiva 2013/34/BE e Parlamentit Evropian dhe e Këshillit, datë 26 qershor 2013, “Për pasqyrat financiare vjetore, pasqyrat financiare të konsoliduara dhe raportet përkatëse të llojeve të caktuara të sipërmarrjeve, që ndryshon Direktivën 2006/43/KE të Parlamentit Evropian dhe të Këshillit dhe për shfuqizimin e Direktivave të Këshillit 78/660/KEE dhe 83/349/KEE” (Gazeta Zyrtare L 182, 29.6.2013, f. 19).</w:t>
      </w:r>
    </w:p>
  </w:footnote>
  <w:footnote w:id="12">
    <w:p w:rsidR="00D33FC1" w:rsidRPr="00680ABE" w:rsidRDefault="00D33FC1">
      <w:pPr>
        <w:pStyle w:val="FootnoteText"/>
        <w:rPr>
          <w:rFonts w:ascii="Times New Roman" w:hAnsi="Times New Roman"/>
          <w:sz w:val="16"/>
          <w:szCs w:val="16"/>
          <w:lang w:val="en-US"/>
        </w:rPr>
      </w:pPr>
      <w:r w:rsidRPr="00680ABE">
        <w:rPr>
          <w:rStyle w:val="FootnoteReference"/>
          <w:rFonts w:ascii="Times New Roman" w:hAnsi="Times New Roman"/>
          <w:sz w:val="16"/>
          <w:szCs w:val="16"/>
        </w:rPr>
        <w:footnoteRef/>
      </w:r>
      <w:r w:rsidRPr="00680ABE">
        <w:rPr>
          <w:rFonts w:ascii="Times New Roman" w:hAnsi="Times New Roman"/>
          <w:sz w:val="16"/>
          <w:szCs w:val="16"/>
        </w:rPr>
        <w:t xml:space="preserve"> Direktiva 2006/43/KE e Parlamentit Evropian dhe e Këshillit, datë 17 maj 2006, “Për auditimet ligjore të llogarive vjetore dhe llogarive të konsoliduara dhe për ndryshimin e Direktivave të Këshillit 78/660/KEE dhe 83/349/KEE dhe për shfuqizimin e Direktivës së Këshillit 84/253/KEE” (Gazeta Zyrtare L 157, 9.6.2006, f. 87).</w:t>
      </w:r>
    </w:p>
  </w:footnote>
  <w:footnote w:id="13">
    <w:p w:rsidR="00D33FC1" w:rsidRPr="00680ABE" w:rsidRDefault="00D33FC1">
      <w:pPr>
        <w:pStyle w:val="FootnoteText"/>
        <w:rPr>
          <w:sz w:val="16"/>
          <w:szCs w:val="16"/>
          <w:lang w:val="en-US"/>
        </w:rPr>
      </w:pPr>
      <w:r w:rsidRPr="00680ABE">
        <w:rPr>
          <w:rStyle w:val="FootnoteReference"/>
          <w:rFonts w:ascii="Times New Roman" w:hAnsi="Times New Roman"/>
          <w:sz w:val="16"/>
          <w:szCs w:val="16"/>
        </w:rPr>
        <w:footnoteRef/>
      </w:r>
      <w:r w:rsidRPr="00680ABE">
        <w:rPr>
          <w:rFonts w:ascii="Times New Roman" w:hAnsi="Times New Roman"/>
          <w:sz w:val="16"/>
          <w:szCs w:val="16"/>
        </w:rPr>
        <w:t xml:space="preserve"> Rregullorja (BE) nr. 537/2014 e Parlamentit Evropian dhe e Këshillit, datë 16 prill 2014, “Për kërkesat specifike lidhur me auditimin ligjor të njësive me interes publik dhe për shfuqizimin e Vendimit të Komisionit 2005/909/KE (Gazeta Zyrtare L 158, 27.5.2014, f.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FC1" w:rsidRDefault="00D33FC1">
    <w:pPr>
      <w:pStyle w:val="Header"/>
    </w:pPr>
    <w:r w:rsidRPr="003525D4">
      <w:rPr>
        <w:rFonts w:ascii="Times New Roman" w:eastAsia="Times New Roman" w:hAnsi="Times New Roman"/>
        <w:color w:val="333333"/>
        <w:sz w:val="20"/>
        <w:szCs w:val="20"/>
        <w:lang w:val="sq-AL" w:eastAsia="sq-AL"/>
      </w:rPr>
      <w:t>19.6.2024</w:t>
    </w:r>
  </w:p>
  <w:tbl>
    <w:tblPr>
      <w:tblW w:w="5000" w:type="pct"/>
      <w:shd w:val="clear" w:color="auto" w:fill="FFFFFF"/>
      <w:tblCellMar>
        <w:left w:w="0" w:type="dxa"/>
        <w:right w:w="0" w:type="dxa"/>
      </w:tblCellMar>
      <w:tblLook w:val="04A0" w:firstRow="1" w:lastRow="0" w:firstColumn="1" w:lastColumn="0" w:noHBand="0" w:noVBand="1"/>
    </w:tblPr>
    <w:tblGrid>
      <w:gridCol w:w="13861"/>
      <w:gridCol w:w="97"/>
    </w:tblGrid>
    <w:tr w:rsidR="00D33FC1" w:rsidRPr="00247289" w:rsidTr="003525D4">
      <w:tc>
        <w:tcPr>
          <w:tcW w:w="0" w:type="auto"/>
          <w:shd w:val="clear" w:color="auto" w:fill="FFFFFF"/>
          <w:vAlign w:val="center"/>
          <w:hideMark/>
        </w:tcPr>
        <w:p w:rsidR="00D33FC1" w:rsidRPr="00247289" w:rsidRDefault="00D33FC1" w:rsidP="003525D4">
          <w:pPr>
            <w:suppressAutoHyphens w:val="0"/>
            <w:spacing w:after="0" w:line="240" w:lineRule="auto"/>
            <w:jc w:val="center"/>
            <w:rPr>
              <w:rFonts w:ascii="Times New Roman" w:eastAsia="Times New Roman" w:hAnsi="Times New Roman"/>
              <w:b/>
              <w:color w:val="333333"/>
              <w:sz w:val="20"/>
              <w:szCs w:val="20"/>
              <w:lang w:val="sq-AL" w:eastAsia="sq-AL"/>
            </w:rPr>
          </w:pPr>
          <w:r w:rsidRPr="00247289">
            <w:rPr>
              <w:rFonts w:ascii="Times New Roman" w:eastAsia="Times New Roman" w:hAnsi="Times New Roman"/>
              <w:b/>
              <w:color w:val="333333"/>
              <w:sz w:val="20"/>
              <w:szCs w:val="20"/>
              <w:lang w:val="sq-AL" w:eastAsia="sq-AL"/>
            </w:rPr>
            <w:t>2024/1640</w:t>
          </w:r>
        </w:p>
      </w:tc>
      <w:tc>
        <w:tcPr>
          <w:tcW w:w="0" w:type="auto"/>
          <w:shd w:val="clear" w:color="auto" w:fill="FFFFFF"/>
          <w:vAlign w:val="center"/>
          <w:hideMark/>
        </w:tcPr>
        <w:p w:rsidR="00D33FC1" w:rsidRPr="00247289" w:rsidRDefault="00D33FC1" w:rsidP="003525D4">
          <w:pPr>
            <w:suppressAutoHyphens w:val="0"/>
            <w:spacing w:after="0" w:line="240" w:lineRule="auto"/>
            <w:jc w:val="center"/>
            <w:rPr>
              <w:rFonts w:ascii="Times New Roman" w:eastAsia="Times New Roman" w:hAnsi="Times New Roman"/>
              <w:b/>
              <w:color w:val="333333"/>
              <w:sz w:val="20"/>
              <w:szCs w:val="20"/>
              <w:lang w:val="sq-AL" w:eastAsia="sq-AL"/>
            </w:rPr>
          </w:pPr>
        </w:p>
      </w:tc>
    </w:tr>
  </w:tbl>
  <w:p w:rsidR="00D33FC1" w:rsidRPr="00247289" w:rsidRDefault="00D33FC1"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DIRECTIVE (EU) 2024/1640 OF THE EUROPEAN PARLIAMENT AND OF THE COUNCIL</w:t>
    </w:r>
  </w:p>
  <w:p w:rsidR="00D33FC1" w:rsidRPr="00247289" w:rsidRDefault="00D33FC1"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of 31 May 2024</w:t>
    </w:r>
  </w:p>
  <w:p w:rsidR="00D33FC1" w:rsidRPr="00247289" w:rsidRDefault="00D33FC1"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on the mechanisms to be put in place by Member States for the prevention of the use of the financial system for the purposes of money laundering or terrorist financing, amending Directive(EU) 2019/1937, and amending and repealing Directive (EU) 2015/849</w:t>
    </w:r>
  </w:p>
  <w:p w:rsidR="00D33FC1" w:rsidRPr="003525D4" w:rsidRDefault="00D33FC1" w:rsidP="003525D4">
    <w:pPr>
      <w:pStyle w:val="Header"/>
      <w:jc w:val="center"/>
      <w:rPr>
        <w:sz w:val="20"/>
        <w:szCs w:val="20"/>
      </w:rPr>
    </w:pPr>
  </w:p>
  <w:p w:rsidR="00D33FC1" w:rsidRDefault="00D3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62A4"/>
    <w:multiLevelType w:val="hybridMultilevel"/>
    <w:tmpl w:val="08FE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C3594"/>
    <w:multiLevelType w:val="multilevel"/>
    <w:tmpl w:val="382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56D65"/>
    <w:multiLevelType w:val="multilevel"/>
    <w:tmpl w:val="F2507642"/>
    <w:lvl w:ilvl="0">
      <w:numFmt w:val="decimal"/>
      <w:lvlText w:val="%1"/>
      <w:lvlJc w:val="left"/>
      <w:pPr>
        <w:ind w:left="444" w:hanging="444"/>
      </w:pPr>
      <w:rPr>
        <w:rFonts w:ascii="Times New Roman Bold" w:hAnsi="Times New Roman Bold" w:hint="default"/>
        <w:color w:val="auto"/>
      </w:rPr>
    </w:lvl>
    <w:lvl w:ilvl="1">
      <w:start w:val="1"/>
      <w:numFmt w:val="decimal"/>
      <w:lvlText w:val="%1.%2"/>
      <w:lvlJc w:val="left"/>
      <w:pPr>
        <w:ind w:left="444" w:hanging="444"/>
      </w:pPr>
      <w:rPr>
        <w:rFonts w:ascii="Times New Roman Bold" w:hAnsi="Times New Roman Bold" w:hint="default"/>
        <w:color w:val="auto"/>
      </w:rPr>
    </w:lvl>
    <w:lvl w:ilvl="2">
      <w:start w:val="1"/>
      <w:numFmt w:val="decimal"/>
      <w:lvlText w:val="%1.%2.%3"/>
      <w:lvlJc w:val="left"/>
      <w:pPr>
        <w:ind w:left="720" w:hanging="720"/>
      </w:pPr>
      <w:rPr>
        <w:rFonts w:ascii="Times New Roman Bold" w:hAnsi="Times New Roman Bold" w:hint="default"/>
        <w:color w:val="auto"/>
      </w:rPr>
    </w:lvl>
    <w:lvl w:ilvl="3">
      <w:start w:val="1"/>
      <w:numFmt w:val="decimal"/>
      <w:lvlText w:val="%1.%2.%3.%4"/>
      <w:lvlJc w:val="left"/>
      <w:pPr>
        <w:ind w:left="720" w:hanging="720"/>
      </w:pPr>
      <w:rPr>
        <w:rFonts w:ascii="Times New Roman Bold" w:hAnsi="Times New Roman Bold" w:hint="default"/>
        <w:color w:val="auto"/>
      </w:rPr>
    </w:lvl>
    <w:lvl w:ilvl="4">
      <w:start w:val="1"/>
      <w:numFmt w:val="decimal"/>
      <w:lvlText w:val="%1.%2.%3.%4.%5"/>
      <w:lvlJc w:val="left"/>
      <w:pPr>
        <w:ind w:left="1080" w:hanging="1080"/>
      </w:pPr>
      <w:rPr>
        <w:rFonts w:ascii="Times New Roman Bold" w:hAnsi="Times New Roman Bold" w:hint="default"/>
        <w:color w:val="auto"/>
      </w:rPr>
    </w:lvl>
    <w:lvl w:ilvl="5">
      <w:start w:val="1"/>
      <w:numFmt w:val="decimal"/>
      <w:lvlText w:val="%1.%2.%3.%4.%5.%6"/>
      <w:lvlJc w:val="left"/>
      <w:pPr>
        <w:ind w:left="1080" w:hanging="1080"/>
      </w:pPr>
      <w:rPr>
        <w:rFonts w:ascii="Times New Roman Bold" w:hAnsi="Times New Roman Bold" w:hint="default"/>
        <w:color w:val="auto"/>
      </w:rPr>
    </w:lvl>
    <w:lvl w:ilvl="6">
      <w:start w:val="1"/>
      <w:numFmt w:val="decimal"/>
      <w:lvlText w:val="%1.%2.%3.%4.%5.%6.%7"/>
      <w:lvlJc w:val="left"/>
      <w:pPr>
        <w:ind w:left="1440" w:hanging="1440"/>
      </w:pPr>
      <w:rPr>
        <w:rFonts w:ascii="Times New Roman Bold" w:hAnsi="Times New Roman Bold" w:hint="default"/>
        <w:color w:val="auto"/>
      </w:rPr>
    </w:lvl>
    <w:lvl w:ilvl="7">
      <w:start w:val="1"/>
      <w:numFmt w:val="decimal"/>
      <w:lvlText w:val="%1.%2.%3.%4.%5.%6.%7.%8"/>
      <w:lvlJc w:val="left"/>
      <w:pPr>
        <w:ind w:left="1440" w:hanging="1440"/>
      </w:pPr>
      <w:rPr>
        <w:rFonts w:ascii="Times New Roman Bold" w:hAnsi="Times New Roman Bold" w:hint="default"/>
        <w:color w:val="auto"/>
      </w:rPr>
    </w:lvl>
    <w:lvl w:ilvl="8">
      <w:start w:val="1"/>
      <w:numFmt w:val="decimal"/>
      <w:lvlText w:val="%1.%2.%3.%4.%5.%6.%7.%8.%9"/>
      <w:lvlJc w:val="left"/>
      <w:pPr>
        <w:ind w:left="1800" w:hanging="1800"/>
      </w:pPr>
      <w:rPr>
        <w:rFonts w:ascii="Times New Roman Bold" w:hAnsi="Times New Roman Bold" w:hint="default"/>
        <w:color w:val="auto"/>
      </w:rPr>
    </w:lvl>
  </w:abstractNum>
  <w:abstractNum w:abstractNumId="3" w15:restartNumberingAfterBreak="0">
    <w:nsid w:val="7E8454C6"/>
    <w:multiLevelType w:val="hybridMultilevel"/>
    <w:tmpl w:val="747AF9CE"/>
    <w:lvl w:ilvl="0" w:tplc="5F6C273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D4"/>
    <w:rsid w:val="00000260"/>
    <w:rsid w:val="0000074C"/>
    <w:rsid w:val="0000099C"/>
    <w:rsid w:val="00000BC2"/>
    <w:rsid w:val="0000223E"/>
    <w:rsid w:val="0000284C"/>
    <w:rsid w:val="00003CB1"/>
    <w:rsid w:val="0000467F"/>
    <w:rsid w:val="000055B3"/>
    <w:rsid w:val="00005F13"/>
    <w:rsid w:val="000070DA"/>
    <w:rsid w:val="0001093D"/>
    <w:rsid w:val="00010F9B"/>
    <w:rsid w:val="00014128"/>
    <w:rsid w:val="000177AB"/>
    <w:rsid w:val="00020152"/>
    <w:rsid w:val="00020176"/>
    <w:rsid w:val="00020C49"/>
    <w:rsid w:val="00021803"/>
    <w:rsid w:val="000228F1"/>
    <w:rsid w:val="00022C68"/>
    <w:rsid w:val="0002338D"/>
    <w:rsid w:val="0002646D"/>
    <w:rsid w:val="00027727"/>
    <w:rsid w:val="00027E65"/>
    <w:rsid w:val="0003128A"/>
    <w:rsid w:val="00032B24"/>
    <w:rsid w:val="00034AB4"/>
    <w:rsid w:val="00035585"/>
    <w:rsid w:val="00035BC0"/>
    <w:rsid w:val="0003612B"/>
    <w:rsid w:val="00041634"/>
    <w:rsid w:val="00041C2E"/>
    <w:rsid w:val="00041C3B"/>
    <w:rsid w:val="000420B0"/>
    <w:rsid w:val="00043FF6"/>
    <w:rsid w:val="00045769"/>
    <w:rsid w:val="00046287"/>
    <w:rsid w:val="00046F14"/>
    <w:rsid w:val="0005090E"/>
    <w:rsid w:val="000524FD"/>
    <w:rsid w:val="000527FE"/>
    <w:rsid w:val="00053289"/>
    <w:rsid w:val="00053E4B"/>
    <w:rsid w:val="000541F9"/>
    <w:rsid w:val="000547F3"/>
    <w:rsid w:val="00056C79"/>
    <w:rsid w:val="000601A0"/>
    <w:rsid w:val="00062222"/>
    <w:rsid w:val="00062B0E"/>
    <w:rsid w:val="000645EA"/>
    <w:rsid w:val="00064D4E"/>
    <w:rsid w:val="00065467"/>
    <w:rsid w:val="000663CC"/>
    <w:rsid w:val="0007131C"/>
    <w:rsid w:val="00071A4B"/>
    <w:rsid w:val="000724EB"/>
    <w:rsid w:val="000737AD"/>
    <w:rsid w:val="00074850"/>
    <w:rsid w:val="00074E51"/>
    <w:rsid w:val="00074FFA"/>
    <w:rsid w:val="000752C3"/>
    <w:rsid w:val="00075AAF"/>
    <w:rsid w:val="000767A2"/>
    <w:rsid w:val="00077034"/>
    <w:rsid w:val="000773C1"/>
    <w:rsid w:val="00081053"/>
    <w:rsid w:val="0008183E"/>
    <w:rsid w:val="00083329"/>
    <w:rsid w:val="00083EDE"/>
    <w:rsid w:val="00086947"/>
    <w:rsid w:val="00086E29"/>
    <w:rsid w:val="00087771"/>
    <w:rsid w:val="0009090E"/>
    <w:rsid w:val="000928E0"/>
    <w:rsid w:val="000934A1"/>
    <w:rsid w:val="00093D9E"/>
    <w:rsid w:val="0009493A"/>
    <w:rsid w:val="00094CC0"/>
    <w:rsid w:val="00095680"/>
    <w:rsid w:val="000973BE"/>
    <w:rsid w:val="00097CA0"/>
    <w:rsid w:val="00097E1C"/>
    <w:rsid w:val="000A09D2"/>
    <w:rsid w:val="000A0DB1"/>
    <w:rsid w:val="000A1093"/>
    <w:rsid w:val="000A11DD"/>
    <w:rsid w:val="000A2F68"/>
    <w:rsid w:val="000A33A9"/>
    <w:rsid w:val="000A376B"/>
    <w:rsid w:val="000A57DB"/>
    <w:rsid w:val="000A720C"/>
    <w:rsid w:val="000A75FC"/>
    <w:rsid w:val="000B189B"/>
    <w:rsid w:val="000B1BD2"/>
    <w:rsid w:val="000B3CD6"/>
    <w:rsid w:val="000B4EF2"/>
    <w:rsid w:val="000B55FA"/>
    <w:rsid w:val="000B6142"/>
    <w:rsid w:val="000B61A2"/>
    <w:rsid w:val="000C2EB6"/>
    <w:rsid w:val="000C3D6A"/>
    <w:rsid w:val="000C4485"/>
    <w:rsid w:val="000C45B2"/>
    <w:rsid w:val="000C5AB0"/>
    <w:rsid w:val="000D3FE9"/>
    <w:rsid w:val="000D6A5A"/>
    <w:rsid w:val="000D796A"/>
    <w:rsid w:val="000D7A09"/>
    <w:rsid w:val="000E11D3"/>
    <w:rsid w:val="000E2D5E"/>
    <w:rsid w:val="000E3482"/>
    <w:rsid w:val="000E5263"/>
    <w:rsid w:val="000E5725"/>
    <w:rsid w:val="000E57C4"/>
    <w:rsid w:val="000E654F"/>
    <w:rsid w:val="000E6AC0"/>
    <w:rsid w:val="000E7CE8"/>
    <w:rsid w:val="000F13EC"/>
    <w:rsid w:val="000F1A16"/>
    <w:rsid w:val="000F25C6"/>
    <w:rsid w:val="000F2D94"/>
    <w:rsid w:val="000F3BB7"/>
    <w:rsid w:val="000F4599"/>
    <w:rsid w:val="000F4843"/>
    <w:rsid w:val="000F4954"/>
    <w:rsid w:val="0010004E"/>
    <w:rsid w:val="00100D67"/>
    <w:rsid w:val="001036AE"/>
    <w:rsid w:val="001044BB"/>
    <w:rsid w:val="00104F93"/>
    <w:rsid w:val="00105B09"/>
    <w:rsid w:val="00106D89"/>
    <w:rsid w:val="00113399"/>
    <w:rsid w:val="001149A8"/>
    <w:rsid w:val="00114C58"/>
    <w:rsid w:val="00114E19"/>
    <w:rsid w:val="0011515C"/>
    <w:rsid w:val="00115437"/>
    <w:rsid w:val="001157DF"/>
    <w:rsid w:val="00115CAC"/>
    <w:rsid w:val="001230AB"/>
    <w:rsid w:val="0012659E"/>
    <w:rsid w:val="00127CFB"/>
    <w:rsid w:val="0013038E"/>
    <w:rsid w:val="001307C6"/>
    <w:rsid w:val="00130D0C"/>
    <w:rsid w:val="00133DA6"/>
    <w:rsid w:val="00133E36"/>
    <w:rsid w:val="00134FD2"/>
    <w:rsid w:val="00136553"/>
    <w:rsid w:val="00136D9D"/>
    <w:rsid w:val="00136F80"/>
    <w:rsid w:val="001373A4"/>
    <w:rsid w:val="00143434"/>
    <w:rsid w:val="00143DFF"/>
    <w:rsid w:val="001442C6"/>
    <w:rsid w:val="00145BB5"/>
    <w:rsid w:val="001471BA"/>
    <w:rsid w:val="0014791C"/>
    <w:rsid w:val="00150A36"/>
    <w:rsid w:val="00152A64"/>
    <w:rsid w:val="00154BFB"/>
    <w:rsid w:val="00155C6A"/>
    <w:rsid w:val="00155CC5"/>
    <w:rsid w:val="0015645C"/>
    <w:rsid w:val="00157DE6"/>
    <w:rsid w:val="001621EA"/>
    <w:rsid w:val="00162353"/>
    <w:rsid w:val="00162AB6"/>
    <w:rsid w:val="00163DF4"/>
    <w:rsid w:val="00163F84"/>
    <w:rsid w:val="001667F3"/>
    <w:rsid w:val="001715C8"/>
    <w:rsid w:val="00173AED"/>
    <w:rsid w:val="00176965"/>
    <w:rsid w:val="00177794"/>
    <w:rsid w:val="00180AAF"/>
    <w:rsid w:val="00181934"/>
    <w:rsid w:val="0018531A"/>
    <w:rsid w:val="00185AD2"/>
    <w:rsid w:val="00185B90"/>
    <w:rsid w:val="0018608B"/>
    <w:rsid w:val="00186188"/>
    <w:rsid w:val="00186866"/>
    <w:rsid w:val="00186CE3"/>
    <w:rsid w:val="001874D3"/>
    <w:rsid w:val="0019043B"/>
    <w:rsid w:val="00192934"/>
    <w:rsid w:val="00194B51"/>
    <w:rsid w:val="001955D4"/>
    <w:rsid w:val="00197C51"/>
    <w:rsid w:val="001A0665"/>
    <w:rsid w:val="001A0F55"/>
    <w:rsid w:val="001A165E"/>
    <w:rsid w:val="001A180C"/>
    <w:rsid w:val="001A25C0"/>
    <w:rsid w:val="001A2E5E"/>
    <w:rsid w:val="001A3800"/>
    <w:rsid w:val="001A3C10"/>
    <w:rsid w:val="001A6249"/>
    <w:rsid w:val="001A6521"/>
    <w:rsid w:val="001A6ADB"/>
    <w:rsid w:val="001A7F27"/>
    <w:rsid w:val="001B02D4"/>
    <w:rsid w:val="001B04AE"/>
    <w:rsid w:val="001B1821"/>
    <w:rsid w:val="001B2186"/>
    <w:rsid w:val="001B2546"/>
    <w:rsid w:val="001B26D6"/>
    <w:rsid w:val="001B34B1"/>
    <w:rsid w:val="001B4885"/>
    <w:rsid w:val="001B5CDD"/>
    <w:rsid w:val="001B5E68"/>
    <w:rsid w:val="001B7EC5"/>
    <w:rsid w:val="001C18EA"/>
    <w:rsid w:val="001C1FD3"/>
    <w:rsid w:val="001C2664"/>
    <w:rsid w:val="001C39F2"/>
    <w:rsid w:val="001C539D"/>
    <w:rsid w:val="001C56F8"/>
    <w:rsid w:val="001C5899"/>
    <w:rsid w:val="001C5C20"/>
    <w:rsid w:val="001C685D"/>
    <w:rsid w:val="001C6F5E"/>
    <w:rsid w:val="001D0631"/>
    <w:rsid w:val="001D1752"/>
    <w:rsid w:val="001D1753"/>
    <w:rsid w:val="001D3049"/>
    <w:rsid w:val="001D4CE8"/>
    <w:rsid w:val="001D4EC3"/>
    <w:rsid w:val="001D514D"/>
    <w:rsid w:val="001D66F9"/>
    <w:rsid w:val="001E0D44"/>
    <w:rsid w:val="001E1316"/>
    <w:rsid w:val="001E15AD"/>
    <w:rsid w:val="001E192B"/>
    <w:rsid w:val="001E2AE4"/>
    <w:rsid w:val="001E4977"/>
    <w:rsid w:val="001E4E4E"/>
    <w:rsid w:val="001E53B7"/>
    <w:rsid w:val="001E5749"/>
    <w:rsid w:val="001E6742"/>
    <w:rsid w:val="001F3094"/>
    <w:rsid w:val="001F312D"/>
    <w:rsid w:val="001F3EC2"/>
    <w:rsid w:val="001F4D9F"/>
    <w:rsid w:val="001F5DC6"/>
    <w:rsid w:val="001F6A9F"/>
    <w:rsid w:val="001F7C21"/>
    <w:rsid w:val="001F7FA8"/>
    <w:rsid w:val="00200BB8"/>
    <w:rsid w:val="00200C4C"/>
    <w:rsid w:val="00202AD1"/>
    <w:rsid w:val="0020319E"/>
    <w:rsid w:val="002032EE"/>
    <w:rsid w:val="00203B0C"/>
    <w:rsid w:val="00204EEC"/>
    <w:rsid w:val="00206493"/>
    <w:rsid w:val="0021028F"/>
    <w:rsid w:val="00212776"/>
    <w:rsid w:val="002162EA"/>
    <w:rsid w:val="00220B38"/>
    <w:rsid w:val="002219F1"/>
    <w:rsid w:val="002227D3"/>
    <w:rsid w:val="00223708"/>
    <w:rsid w:val="00223965"/>
    <w:rsid w:val="00225C06"/>
    <w:rsid w:val="00230789"/>
    <w:rsid w:val="00230BF1"/>
    <w:rsid w:val="00230F68"/>
    <w:rsid w:val="0023157B"/>
    <w:rsid w:val="00231777"/>
    <w:rsid w:val="00231BF1"/>
    <w:rsid w:val="002335E9"/>
    <w:rsid w:val="002353DB"/>
    <w:rsid w:val="00236B37"/>
    <w:rsid w:val="00237303"/>
    <w:rsid w:val="0023739A"/>
    <w:rsid w:val="002409E5"/>
    <w:rsid w:val="00242850"/>
    <w:rsid w:val="002444F2"/>
    <w:rsid w:val="00245511"/>
    <w:rsid w:val="0024673E"/>
    <w:rsid w:val="00247289"/>
    <w:rsid w:val="00247415"/>
    <w:rsid w:val="00250D27"/>
    <w:rsid w:val="00254DC8"/>
    <w:rsid w:val="00255C06"/>
    <w:rsid w:val="00256846"/>
    <w:rsid w:val="002573D9"/>
    <w:rsid w:val="002575B1"/>
    <w:rsid w:val="00257DA7"/>
    <w:rsid w:val="0026036C"/>
    <w:rsid w:val="002621B7"/>
    <w:rsid w:val="00265775"/>
    <w:rsid w:val="00265B72"/>
    <w:rsid w:val="00271CE2"/>
    <w:rsid w:val="00272141"/>
    <w:rsid w:val="00272D33"/>
    <w:rsid w:val="002740E6"/>
    <w:rsid w:val="0027455C"/>
    <w:rsid w:val="002761B9"/>
    <w:rsid w:val="002777C6"/>
    <w:rsid w:val="00277E2E"/>
    <w:rsid w:val="0028003D"/>
    <w:rsid w:val="00280373"/>
    <w:rsid w:val="0028149C"/>
    <w:rsid w:val="002825C5"/>
    <w:rsid w:val="00282AD1"/>
    <w:rsid w:val="00283775"/>
    <w:rsid w:val="00285B4E"/>
    <w:rsid w:val="00285FAF"/>
    <w:rsid w:val="00287330"/>
    <w:rsid w:val="0029073B"/>
    <w:rsid w:val="002933AF"/>
    <w:rsid w:val="002950A5"/>
    <w:rsid w:val="00297799"/>
    <w:rsid w:val="002A0A36"/>
    <w:rsid w:val="002A196C"/>
    <w:rsid w:val="002A1CEC"/>
    <w:rsid w:val="002A2738"/>
    <w:rsid w:val="002A33D2"/>
    <w:rsid w:val="002A34A0"/>
    <w:rsid w:val="002A4610"/>
    <w:rsid w:val="002A7C1F"/>
    <w:rsid w:val="002B0184"/>
    <w:rsid w:val="002B03DA"/>
    <w:rsid w:val="002B1192"/>
    <w:rsid w:val="002B3184"/>
    <w:rsid w:val="002B369B"/>
    <w:rsid w:val="002B510C"/>
    <w:rsid w:val="002C0141"/>
    <w:rsid w:val="002C021A"/>
    <w:rsid w:val="002C0943"/>
    <w:rsid w:val="002C0CB8"/>
    <w:rsid w:val="002C219F"/>
    <w:rsid w:val="002C2329"/>
    <w:rsid w:val="002C2E60"/>
    <w:rsid w:val="002C51E9"/>
    <w:rsid w:val="002C5A65"/>
    <w:rsid w:val="002C6D2A"/>
    <w:rsid w:val="002C6F81"/>
    <w:rsid w:val="002C7516"/>
    <w:rsid w:val="002C760A"/>
    <w:rsid w:val="002D04F6"/>
    <w:rsid w:val="002D05EE"/>
    <w:rsid w:val="002D1CF1"/>
    <w:rsid w:val="002D4F8D"/>
    <w:rsid w:val="002D5F3D"/>
    <w:rsid w:val="002D69AC"/>
    <w:rsid w:val="002E031B"/>
    <w:rsid w:val="002E06C3"/>
    <w:rsid w:val="002E09EF"/>
    <w:rsid w:val="002E1698"/>
    <w:rsid w:val="002E35F0"/>
    <w:rsid w:val="002E361A"/>
    <w:rsid w:val="002E3B26"/>
    <w:rsid w:val="002E43BA"/>
    <w:rsid w:val="002E57D2"/>
    <w:rsid w:val="002E5BC0"/>
    <w:rsid w:val="002E5E06"/>
    <w:rsid w:val="002E657D"/>
    <w:rsid w:val="002F083D"/>
    <w:rsid w:val="002F1548"/>
    <w:rsid w:val="002F1742"/>
    <w:rsid w:val="002F1D00"/>
    <w:rsid w:val="002F271E"/>
    <w:rsid w:val="002F4BBE"/>
    <w:rsid w:val="002F4CC5"/>
    <w:rsid w:val="002F5150"/>
    <w:rsid w:val="002F5935"/>
    <w:rsid w:val="002F6307"/>
    <w:rsid w:val="002F6F85"/>
    <w:rsid w:val="00300130"/>
    <w:rsid w:val="0030021F"/>
    <w:rsid w:val="003008AF"/>
    <w:rsid w:val="003014D7"/>
    <w:rsid w:val="003018E2"/>
    <w:rsid w:val="00301AF0"/>
    <w:rsid w:val="00301CD6"/>
    <w:rsid w:val="00302A9A"/>
    <w:rsid w:val="00302D83"/>
    <w:rsid w:val="003049C2"/>
    <w:rsid w:val="00304ECF"/>
    <w:rsid w:val="00306A2D"/>
    <w:rsid w:val="0030745D"/>
    <w:rsid w:val="00307A13"/>
    <w:rsid w:val="0031195C"/>
    <w:rsid w:val="00311D8C"/>
    <w:rsid w:val="00313B74"/>
    <w:rsid w:val="0031542C"/>
    <w:rsid w:val="003154BF"/>
    <w:rsid w:val="0031575D"/>
    <w:rsid w:val="00320276"/>
    <w:rsid w:val="003245E8"/>
    <w:rsid w:val="00324DD7"/>
    <w:rsid w:val="00324EE7"/>
    <w:rsid w:val="0032571D"/>
    <w:rsid w:val="003321C4"/>
    <w:rsid w:val="0033238F"/>
    <w:rsid w:val="00332881"/>
    <w:rsid w:val="00332B6D"/>
    <w:rsid w:val="00333A14"/>
    <w:rsid w:val="00334088"/>
    <w:rsid w:val="00334A81"/>
    <w:rsid w:val="0033613A"/>
    <w:rsid w:val="003378D0"/>
    <w:rsid w:val="003406DD"/>
    <w:rsid w:val="00340A78"/>
    <w:rsid w:val="00340EBB"/>
    <w:rsid w:val="003428C7"/>
    <w:rsid w:val="0034312D"/>
    <w:rsid w:val="00343E78"/>
    <w:rsid w:val="00344B6B"/>
    <w:rsid w:val="003460EF"/>
    <w:rsid w:val="0034788A"/>
    <w:rsid w:val="003511C8"/>
    <w:rsid w:val="0035179A"/>
    <w:rsid w:val="003517D8"/>
    <w:rsid w:val="0035193E"/>
    <w:rsid w:val="003525D4"/>
    <w:rsid w:val="00352732"/>
    <w:rsid w:val="00354595"/>
    <w:rsid w:val="00354F8A"/>
    <w:rsid w:val="00355E28"/>
    <w:rsid w:val="00357543"/>
    <w:rsid w:val="00360947"/>
    <w:rsid w:val="00361AEE"/>
    <w:rsid w:val="00363A8D"/>
    <w:rsid w:val="0036535E"/>
    <w:rsid w:val="00366BF9"/>
    <w:rsid w:val="0036799A"/>
    <w:rsid w:val="00367B82"/>
    <w:rsid w:val="003709D6"/>
    <w:rsid w:val="00372410"/>
    <w:rsid w:val="003747CF"/>
    <w:rsid w:val="003749E0"/>
    <w:rsid w:val="00380A23"/>
    <w:rsid w:val="00380B0E"/>
    <w:rsid w:val="0038174E"/>
    <w:rsid w:val="00381DE4"/>
    <w:rsid w:val="00382691"/>
    <w:rsid w:val="003827EA"/>
    <w:rsid w:val="00382BFF"/>
    <w:rsid w:val="0038329E"/>
    <w:rsid w:val="003848DA"/>
    <w:rsid w:val="003873BE"/>
    <w:rsid w:val="0039136F"/>
    <w:rsid w:val="00391EF7"/>
    <w:rsid w:val="0039205D"/>
    <w:rsid w:val="00394F3A"/>
    <w:rsid w:val="003A0AF2"/>
    <w:rsid w:val="003A143A"/>
    <w:rsid w:val="003A210C"/>
    <w:rsid w:val="003A316B"/>
    <w:rsid w:val="003A42AA"/>
    <w:rsid w:val="003A4777"/>
    <w:rsid w:val="003A4807"/>
    <w:rsid w:val="003A6B9A"/>
    <w:rsid w:val="003B033B"/>
    <w:rsid w:val="003B30A9"/>
    <w:rsid w:val="003B35F4"/>
    <w:rsid w:val="003B4438"/>
    <w:rsid w:val="003B5210"/>
    <w:rsid w:val="003B54BD"/>
    <w:rsid w:val="003B5CC1"/>
    <w:rsid w:val="003B5CCB"/>
    <w:rsid w:val="003B7969"/>
    <w:rsid w:val="003C0CEC"/>
    <w:rsid w:val="003C2AAA"/>
    <w:rsid w:val="003C2E75"/>
    <w:rsid w:val="003C618A"/>
    <w:rsid w:val="003C6CFA"/>
    <w:rsid w:val="003D07C3"/>
    <w:rsid w:val="003D0BFB"/>
    <w:rsid w:val="003D4F70"/>
    <w:rsid w:val="003D5717"/>
    <w:rsid w:val="003D5D98"/>
    <w:rsid w:val="003D630D"/>
    <w:rsid w:val="003D6763"/>
    <w:rsid w:val="003D6896"/>
    <w:rsid w:val="003D70C4"/>
    <w:rsid w:val="003D725B"/>
    <w:rsid w:val="003D7BF5"/>
    <w:rsid w:val="003E0CEA"/>
    <w:rsid w:val="003E1720"/>
    <w:rsid w:val="003E2AD5"/>
    <w:rsid w:val="003E32D0"/>
    <w:rsid w:val="003E3999"/>
    <w:rsid w:val="003E464C"/>
    <w:rsid w:val="003E4A73"/>
    <w:rsid w:val="003E4E06"/>
    <w:rsid w:val="003E7331"/>
    <w:rsid w:val="003F06B6"/>
    <w:rsid w:val="003F06E3"/>
    <w:rsid w:val="003F0F0B"/>
    <w:rsid w:val="003F1740"/>
    <w:rsid w:val="003F2E9C"/>
    <w:rsid w:val="003F3256"/>
    <w:rsid w:val="003F37B6"/>
    <w:rsid w:val="003F4571"/>
    <w:rsid w:val="003F4AEB"/>
    <w:rsid w:val="00401C59"/>
    <w:rsid w:val="00401CB4"/>
    <w:rsid w:val="004025EC"/>
    <w:rsid w:val="004032B3"/>
    <w:rsid w:val="00403EFA"/>
    <w:rsid w:val="00405970"/>
    <w:rsid w:val="00406D9E"/>
    <w:rsid w:val="00406DD9"/>
    <w:rsid w:val="00407C91"/>
    <w:rsid w:val="00412DB0"/>
    <w:rsid w:val="0041601C"/>
    <w:rsid w:val="00416BFE"/>
    <w:rsid w:val="0041769C"/>
    <w:rsid w:val="00420346"/>
    <w:rsid w:val="0042072E"/>
    <w:rsid w:val="00421632"/>
    <w:rsid w:val="00423431"/>
    <w:rsid w:val="00423920"/>
    <w:rsid w:val="00423A96"/>
    <w:rsid w:val="00425E3A"/>
    <w:rsid w:val="004271E0"/>
    <w:rsid w:val="00427724"/>
    <w:rsid w:val="00430927"/>
    <w:rsid w:val="00431392"/>
    <w:rsid w:val="00431D1E"/>
    <w:rsid w:val="00431D28"/>
    <w:rsid w:val="00433F0D"/>
    <w:rsid w:val="00434CAA"/>
    <w:rsid w:val="00437BC0"/>
    <w:rsid w:val="00442E7C"/>
    <w:rsid w:val="0044328D"/>
    <w:rsid w:val="0044429E"/>
    <w:rsid w:val="004454F4"/>
    <w:rsid w:val="004506C2"/>
    <w:rsid w:val="004544CD"/>
    <w:rsid w:val="00455855"/>
    <w:rsid w:val="00460EC0"/>
    <w:rsid w:val="00460F25"/>
    <w:rsid w:val="004617F5"/>
    <w:rsid w:val="0046225A"/>
    <w:rsid w:val="00462FBE"/>
    <w:rsid w:val="00463096"/>
    <w:rsid w:val="004664F9"/>
    <w:rsid w:val="004668F7"/>
    <w:rsid w:val="00467596"/>
    <w:rsid w:val="0046773F"/>
    <w:rsid w:val="00470DE8"/>
    <w:rsid w:val="00474538"/>
    <w:rsid w:val="004745E2"/>
    <w:rsid w:val="0047474E"/>
    <w:rsid w:val="00474EC9"/>
    <w:rsid w:val="00476120"/>
    <w:rsid w:val="00476635"/>
    <w:rsid w:val="00476761"/>
    <w:rsid w:val="00477BA2"/>
    <w:rsid w:val="004838F6"/>
    <w:rsid w:val="0048420A"/>
    <w:rsid w:val="00486A02"/>
    <w:rsid w:val="0048714F"/>
    <w:rsid w:val="0048774A"/>
    <w:rsid w:val="00491AAE"/>
    <w:rsid w:val="004923DA"/>
    <w:rsid w:val="00492892"/>
    <w:rsid w:val="004928E4"/>
    <w:rsid w:val="004958FF"/>
    <w:rsid w:val="00495DD8"/>
    <w:rsid w:val="00496AAB"/>
    <w:rsid w:val="00497325"/>
    <w:rsid w:val="004976FC"/>
    <w:rsid w:val="004A2710"/>
    <w:rsid w:val="004A34D1"/>
    <w:rsid w:val="004A365C"/>
    <w:rsid w:val="004A39B9"/>
    <w:rsid w:val="004A492C"/>
    <w:rsid w:val="004A4FA2"/>
    <w:rsid w:val="004A57E5"/>
    <w:rsid w:val="004A6355"/>
    <w:rsid w:val="004A734C"/>
    <w:rsid w:val="004A73B8"/>
    <w:rsid w:val="004B048A"/>
    <w:rsid w:val="004B0535"/>
    <w:rsid w:val="004B0B45"/>
    <w:rsid w:val="004B0DBC"/>
    <w:rsid w:val="004B10C9"/>
    <w:rsid w:val="004B41EE"/>
    <w:rsid w:val="004B51ED"/>
    <w:rsid w:val="004B6407"/>
    <w:rsid w:val="004B6A56"/>
    <w:rsid w:val="004B728A"/>
    <w:rsid w:val="004C02C9"/>
    <w:rsid w:val="004C0AC1"/>
    <w:rsid w:val="004C0CCA"/>
    <w:rsid w:val="004C3576"/>
    <w:rsid w:val="004C4F70"/>
    <w:rsid w:val="004C7950"/>
    <w:rsid w:val="004D1200"/>
    <w:rsid w:val="004D43EB"/>
    <w:rsid w:val="004D616E"/>
    <w:rsid w:val="004D6E83"/>
    <w:rsid w:val="004E0270"/>
    <w:rsid w:val="004E1669"/>
    <w:rsid w:val="004E285E"/>
    <w:rsid w:val="004E662F"/>
    <w:rsid w:val="004E7656"/>
    <w:rsid w:val="004F0BAC"/>
    <w:rsid w:val="004F1DBE"/>
    <w:rsid w:val="004F29EB"/>
    <w:rsid w:val="004F2DDB"/>
    <w:rsid w:val="004F32C0"/>
    <w:rsid w:val="004F392B"/>
    <w:rsid w:val="004F49CB"/>
    <w:rsid w:val="004F53BE"/>
    <w:rsid w:val="004F6F93"/>
    <w:rsid w:val="004F7ED2"/>
    <w:rsid w:val="00500B85"/>
    <w:rsid w:val="005037AC"/>
    <w:rsid w:val="005038FA"/>
    <w:rsid w:val="00504F3A"/>
    <w:rsid w:val="005064C8"/>
    <w:rsid w:val="00511AF4"/>
    <w:rsid w:val="005145A3"/>
    <w:rsid w:val="00514EBE"/>
    <w:rsid w:val="00521F8B"/>
    <w:rsid w:val="00522C0A"/>
    <w:rsid w:val="00524BFD"/>
    <w:rsid w:val="00530AF4"/>
    <w:rsid w:val="00531BD5"/>
    <w:rsid w:val="00531E55"/>
    <w:rsid w:val="00532B31"/>
    <w:rsid w:val="005336AE"/>
    <w:rsid w:val="0053473C"/>
    <w:rsid w:val="00535021"/>
    <w:rsid w:val="00535BEF"/>
    <w:rsid w:val="005376AA"/>
    <w:rsid w:val="00537FD9"/>
    <w:rsid w:val="005402A8"/>
    <w:rsid w:val="00541383"/>
    <w:rsid w:val="00541EBF"/>
    <w:rsid w:val="005426C0"/>
    <w:rsid w:val="00545099"/>
    <w:rsid w:val="00545AEF"/>
    <w:rsid w:val="005464FB"/>
    <w:rsid w:val="00546F2A"/>
    <w:rsid w:val="00553082"/>
    <w:rsid w:val="00554087"/>
    <w:rsid w:val="0055454B"/>
    <w:rsid w:val="00554D6D"/>
    <w:rsid w:val="005564BA"/>
    <w:rsid w:val="00556FA8"/>
    <w:rsid w:val="00557F43"/>
    <w:rsid w:val="0056219E"/>
    <w:rsid w:val="00562883"/>
    <w:rsid w:val="00563503"/>
    <w:rsid w:val="00564491"/>
    <w:rsid w:val="00564EA2"/>
    <w:rsid w:val="00565A74"/>
    <w:rsid w:val="00566728"/>
    <w:rsid w:val="0056696D"/>
    <w:rsid w:val="005676AB"/>
    <w:rsid w:val="00567A11"/>
    <w:rsid w:val="00570483"/>
    <w:rsid w:val="00571797"/>
    <w:rsid w:val="00576357"/>
    <w:rsid w:val="005764F9"/>
    <w:rsid w:val="005772A4"/>
    <w:rsid w:val="00577A3F"/>
    <w:rsid w:val="00577E0B"/>
    <w:rsid w:val="0058065C"/>
    <w:rsid w:val="00583021"/>
    <w:rsid w:val="0058440B"/>
    <w:rsid w:val="005845EF"/>
    <w:rsid w:val="0058515C"/>
    <w:rsid w:val="00585364"/>
    <w:rsid w:val="00585462"/>
    <w:rsid w:val="005864F9"/>
    <w:rsid w:val="00586DD2"/>
    <w:rsid w:val="005871B9"/>
    <w:rsid w:val="00587C9A"/>
    <w:rsid w:val="00590108"/>
    <w:rsid w:val="005945C5"/>
    <w:rsid w:val="005950E1"/>
    <w:rsid w:val="0059518C"/>
    <w:rsid w:val="00596309"/>
    <w:rsid w:val="00596C68"/>
    <w:rsid w:val="005A0AA1"/>
    <w:rsid w:val="005A0C83"/>
    <w:rsid w:val="005A0D00"/>
    <w:rsid w:val="005A1A42"/>
    <w:rsid w:val="005A2D82"/>
    <w:rsid w:val="005A3B7E"/>
    <w:rsid w:val="005A40DE"/>
    <w:rsid w:val="005A5594"/>
    <w:rsid w:val="005A773B"/>
    <w:rsid w:val="005B0272"/>
    <w:rsid w:val="005B1D63"/>
    <w:rsid w:val="005B2A96"/>
    <w:rsid w:val="005B2F94"/>
    <w:rsid w:val="005B3659"/>
    <w:rsid w:val="005B41E3"/>
    <w:rsid w:val="005B7FE7"/>
    <w:rsid w:val="005C0136"/>
    <w:rsid w:val="005C042D"/>
    <w:rsid w:val="005C0DDE"/>
    <w:rsid w:val="005C1756"/>
    <w:rsid w:val="005C34AF"/>
    <w:rsid w:val="005C3F2C"/>
    <w:rsid w:val="005C454F"/>
    <w:rsid w:val="005C4A33"/>
    <w:rsid w:val="005C5061"/>
    <w:rsid w:val="005C7654"/>
    <w:rsid w:val="005D02EC"/>
    <w:rsid w:val="005D199D"/>
    <w:rsid w:val="005D242C"/>
    <w:rsid w:val="005D2C67"/>
    <w:rsid w:val="005D33F3"/>
    <w:rsid w:val="005D3E26"/>
    <w:rsid w:val="005D3EF6"/>
    <w:rsid w:val="005D5B65"/>
    <w:rsid w:val="005D6C0C"/>
    <w:rsid w:val="005E046C"/>
    <w:rsid w:val="005E1C8A"/>
    <w:rsid w:val="005E3077"/>
    <w:rsid w:val="005E5A2A"/>
    <w:rsid w:val="005E79AB"/>
    <w:rsid w:val="005F0E9B"/>
    <w:rsid w:val="005F3FE2"/>
    <w:rsid w:val="005F5D60"/>
    <w:rsid w:val="005F6F44"/>
    <w:rsid w:val="00600A67"/>
    <w:rsid w:val="0060157E"/>
    <w:rsid w:val="00601B87"/>
    <w:rsid w:val="00601FD6"/>
    <w:rsid w:val="00602AFC"/>
    <w:rsid w:val="006032E4"/>
    <w:rsid w:val="00603BB5"/>
    <w:rsid w:val="006044AD"/>
    <w:rsid w:val="00604A8A"/>
    <w:rsid w:val="00604AE6"/>
    <w:rsid w:val="00605B70"/>
    <w:rsid w:val="006077D5"/>
    <w:rsid w:val="00607FD7"/>
    <w:rsid w:val="0061117F"/>
    <w:rsid w:val="006119A2"/>
    <w:rsid w:val="00612A24"/>
    <w:rsid w:val="00612DAB"/>
    <w:rsid w:val="00612EC0"/>
    <w:rsid w:val="00615FB8"/>
    <w:rsid w:val="006163A8"/>
    <w:rsid w:val="00617A4F"/>
    <w:rsid w:val="00621E44"/>
    <w:rsid w:val="006224EA"/>
    <w:rsid w:val="00626271"/>
    <w:rsid w:val="00626392"/>
    <w:rsid w:val="00626E6F"/>
    <w:rsid w:val="006305B9"/>
    <w:rsid w:val="00631016"/>
    <w:rsid w:val="0063191A"/>
    <w:rsid w:val="00634399"/>
    <w:rsid w:val="00635365"/>
    <w:rsid w:val="006358E9"/>
    <w:rsid w:val="0063722C"/>
    <w:rsid w:val="006377EE"/>
    <w:rsid w:val="00637A6A"/>
    <w:rsid w:val="00640BE0"/>
    <w:rsid w:val="00642C96"/>
    <w:rsid w:val="00643593"/>
    <w:rsid w:val="00645278"/>
    <w:rsid w:val="00645A23"/>
    <w:rsid w:val="00646B45"/>
    <w:rsid w:val="006524A9"/>
    <w:rsid w:val="00654C37"/>
    <w:rsid w:val="006556A9"/>
    <w:rsid w:val="0065626E"/>
    <w:rsid w:val="00656354"/>
    <w:rsid w:val="00656FF4"/>
    <w:rsid w:val="00660E73"/>
    <w:rsid w:val="00660FC2"/>
    <w:rsid w:val="00661F32"/>
    <w:rsid w:val="006637A6"/>
    <w:rsid w:val="00663FE7"/>
    <w:rsid w:val="006642D1"/>
    <w:rsid w:val="0066583E"/>
    <w:rsid w:val="00665C79"/>
    <w:rsid w:val="00667DE3"/>
    <w:rsid w:val="00667E63"/>
    <w:rsid w:val="00673F8D"/>
    <w:rsid w:val="00674D7C"/>
    <w:rsid w:val="00677039"/>
    <w:rsid w:val="00680ABE"/>
    <w:rsid w:val="00681D4E"/>
    <w:rsid w:val="00682445"/>
    <w:rsid w:val="00683221"/>
    <w:rsid w:val="00683403"/>
    <w:rsid w:val="006846AB"/>
    <w:rsid w:val="00690341"/>
    <w:rsid w:val="00691712"/>
    <w:rsid w:val="0069228C"/>
    <w:rsid w:val="00692D00"/>
    <w:rsid w:val="006932E3"/>
    <w:rsid w:val="00694D04"/>
    <w:rsid w:val="00694D38"/>
    <w:rsid w:val="006966CB"/>
    <w:rsid w:val="006A1F8B"/>
    <w:rsid w:val="006A2822"/>
    <w:rsid w:val="006A4DE2"/>
    <w:rsid w:val="006A5041"/>
    <w:rsid w:val="006A5918"/>
    <w:rsid w:val="006A6141"/>
    <w:rsid w:val="006A6C2E"/>
    <w:rsid w:val="006A7BC4"/>
    <w:rsid w:val="006B1CFB"/>
    <w:rsid w:val="006B63FD"/>
    <w:rsid w:val="006B7748"/>
    <w:rsid w:val="006C0069"/>
    <w:rsid w:val="006C05CB"/>
    <w:rsid w:val="006C10DA"/>
    <w:rsid w:val="006C1691"/>
    <w:rsid w:val="006C2DB2"/>
    <w:rsid w:val="006C3336"/>
    <w:rsid w:val="006C46B0"/>
    <w:rsid w:val="006C4BC3"/>
    <w:rsid w:val="006C5FE5"/>
    <w:rsid w:val="006C7968"/>
    <w:rsid w:val="006D2C4F"/>
    <w:rsid w:val="006D2E34"/>
    <w:rsid w:val="006D66D4"/>
    <w:rsid w:val="006E0647"/>
    <w:rsid w:val="006E0C0E"/>
    <w:rsid w:val="006E0F9E"/>
    <w:rsid w:val="006E1657"/>
    <w:rsid w:val="006E468E"/>
    <w:rsid w:val="006E5AD6"/>
    <w:rsid w:val="006E5B5B"/>
    <w:rsid w:val="006E6061"/>
    <w:rsid w:val="006E7C75"/>
    <w:rsid w:val="006E7EC1"/>
    <w:rsid w:val="006F0EAC"/>
    <w:rsid w:val="006F1C72"/>
    <w:rsid w:val="006F2E67"/>
    <w:rsid w:val="006F3CAE"/>
    <w:rsid w:val="006F4A3A"/>
    <w:rsid w:val="006F53E6"/>
    <w:rsid w:val="006F5743"/>
    <w:rsid w:val="006F7067"/>
    <w:rsid w:val="007022FB"/>
    <w:rsid w:val="00702CAC"/>
    <w:rsid w:val="00703047"/>
    <w:rsid w:val="0070356B"/>
    <w:rsid w:val="00705068"/>
    <w:rsid w:val="00705422"/>
    <w:rsid w:val="0070579B"/>
    <w:rsid w:val="00706B76"/>
    <w:rsid w:val="00710D3A"/>
    <w:rsid w:val="00711357"/>
    <w:rsid w:val="007115BB"/>
    <w:rsid w:val="007119FD"/>
    <w:rsid w:val="00712135"/>
    <w:rsid w:val="00712205"/>
    <w:rsid w:val="0071266D"/>
    <w:rsid w:val="00713996"/>
    <w:rsid w:val="007149F8"/>
    <w:rsid w:val="00716E9B"/>
    <w:rsid w:val="00717A01"/>
    <w:rsid w:val="00717D73"/>
    <w:rsid w:val="00722418"/>
    <w:rsid w:val="007231AB"/>
    <w:rsid w:val="007232F8"/>
    <w:rsid w:val="00724384"/>
    <w:rsid w:val="00724E41"/>
    <w:rsid w:val="00730376"/>
    <w:rsid w:val="0073083A"/>
    <w:rsid w:val="00730906"/>
    <w:rsid w:val="00731189"/>
    <w:rsid w:val="0073238A"/>
    <w:rsid w:val="00736536"/>
    <w:rsid w:val="007378E2"/>
    <w:rsid w:val="007379F4"/>
    <w:rsid w:val="00740011"/>
    <w:rsid w:val="007418A5"/>
    <w:rsid w:val="00742704"/>
    <w:rsid w:val="00742F7F"/>
    <w:rsid w:val="00744527"/>
    <w:rsid w:val="00745590"/>
    <w:rsid w:val="00745BD8"/>
    <w:rsid w:val="00745F6E"/>
    <w:rsid w:val="007464C8"/>
    <w:rsid w:val="0074686A"/>
    <w:rsid w:val="007469EB"/>
    <w:rsid w:val="00746B0A"/>
    <w:rsid w:val="00746E9F"/>
    <w:rsid w:val="00750820"/>
    <w:rsid w:val="007526D4"/>
    <w:rsid w:val="00753948"/>
    <w:rsid w:val="0075634E"/>
    <w:rsid w:val="0075648C"/>
    <w:rsid w:val="0076007E"/>
    <w:rsid w:val="00760497"/>
    <w:rsid w:val="00761B3B"/>
    <w:rsid w:val="00761BBB"/>
    <w:rsid w:val="0076334E"/>
    <w:rsid w:val="0076427C"/>
    <w:rsid w:val="00766A8A"/>
    <w:rsid w:val="00770B00"/>
    <w:rsid w:val="0077509C"/>
    <w:rsid w:val="00775512"/>
    <w:rsid w:val="00775940"/>
    <w:rsid w:val="007767E4"/>
    <w:rsid w:val="00776A78"/>
    <w:rsid w:val="00777452"/>
    <w:rsid w:val="00777B42"/>
    <w:rsid w:val="00777CA3"/>
    <w:rsid w:val="00777CC1"/>
    <w:rsid w:val="00780354"/>
    <w:rsid w:val="00780A56"/>
    <w:rsid w:val="0078222D"/>
    <w:rsid w:val="007837EF"/>
    <w:rsid w:val="00783BFE"/>
    <w:rsid w:val="00784447"/>
    <w:rsid w:val="0078455F"/>
    <w:rsid w:val="007852B4"/>
    <w:rsid w:val="007873A5"/>
    <w:rsid w:val="00790276"/>
    <w:rsid w:val="00793DAE"/>
    <w:rsid w:val="007949E5"/>
    <w:rsid w:val="00796136"/>
    <w:rsid w:val="00797C69"/>
    <w:rsid w:val="00797DFE"/>
    <w:rsid w:val="007A259F"/>
    <w:rsid w:val="007A3A67"/>
    <w:rsid w:val="007A5855"/>
    <w:rsid w:val="007A6122"/>
    <w:rsid w:val="007A74AE"/>
    <w:rsid w:val="007A79B3"/>
    <w:rsid w:val="007A7A20"/>
    <w:rsid w:val="007A7E6C"/>
    <w:rsid w:val="007B5808"/>
    <w:rsid w:val="007B683C"/>
    <w:rsid w:val="007B6AA9"/>
    <w:rsid w:val="007B73CD"/>
    <w:rsid w:val="007C1928"/>
    <w:rsid w:val="007C3DF4"/>
    <w:rsid w:val="007C423D"/>
    <w:rsid w:val="007C44DA"/>
    <w:rsid w:val="007C5385"/>
    <w:rsid w:val="007C5421"/>
    <w:rsid w:val="007D4084"/>
    <w:rsid w:val="007D4A03"/>
    <w:rsid w:val="007D4ED5"/>
    <w:rsid w:val="007D5554"/>
    <w:rsid w:val="007D7E38"/>
    <w:rsid w:val="007E0E38"/>
    <w:rsid w:val="007E0F79"/>
    <w:rsid w:val="007E1C8C"/>
    <w:rsid w:val="007E1E93"/>
    <w:rsid w:val="007E1F2B"/>
    <w:rsid w:val="007E2579"/>
    <w:rsid w:val="007E31BD"/>
    <w:rsid w:val="007E5AAC"/>
    <w:rsid w:val="007E5DD5"/>
    <w:rsid w:val="007E6E75"/>
    <w:rsid w:val="007F06EE"/>
    <w:rsid w:val="007F2B2E"/>
    <w:rsid w:val="007F48FC"/>
    <w:rsid w:val="007F4FAB"/>
    <w:rsid w:val="007F5C21"/>
    <w:rsid w:val="007F5F6B"/>
    <w:rsid w:val="007F6493"/>
    <w:rsid w:val="00802E94"/>
    <w:rsid w:val="00805B34"/>
    <w:rsid w:val="008063AE"/>
    <w:rsid w:val="00806E6C"/>
    <w:rsid w:val="00811165"/>
    <w:rsid w:val="008134C2"/>
    <w:rsid w:val="008137D6"/>
    <w:rsid w:val="00813C88"/>
    <w:rsid w:val="00815E69"/>
    <w:rsid w:val="00816333"/>
    <w:rsid w:val="008166B3"/>
    <w:rsid w:val="00816A1C"/>
    <w:rsid w:val="00817BCE"/>
    <w:rsid w:val="00820BC4"/>
    <w:rsid w:val="00823004"/>
    <w:rsid w:val="00823A4C"/>
    <w:rsid w:val="00825E92"/>
    <w:rsid w:val="008271A1"/>
    <w:rsid w:val="00827217"/>
    <w:rsid w:val="008276CD"/>
    <w:rsid w:val="00827DFE"/>
    <w:rsid w:val="0083050D"/>
    <w:rsid w:val="00832A4F"/>
    <w:rsid w:val="008330AB"/>
    <w:rsid w:val="0083349C"/>
    <w:rsid w:val="00836590"/>
    <w:rsid w:val="00836B92"/>
    <w:rsid w:val="00840157"/>
    <w:rsid w:val="00842EFB"/>
    <w:rsid w:val="00843701"/>
    <w:rsid w:val="00844319"/>
    <w:rsid w:val="00846B26"/>
    <w:rsid w:val="00846CF4"/>
    <w:rsid w:val="00847E76"/>
    <w:rsid w:val="00850479"/>
    <w:rsid w:val="00850DA7"/>
    <w:rsid w:val="00852208"/>
    <w:rsid w:val="00852BC9"/>
    <w:rsid w:val="00854634"/>
    <w:rsid w:val="0085485C"/>
    <w:rsid w:val="00860451"/>
    <w:rsid w:val="0086085F"/>
    <w:rsid w:val="008608B8"/>
    <w:rsid w:val="00862294"/>
    <w:rsid w:val="00864599"/>
    <w:rsid w:val="008649D1"/>
    <w:rsid w:val="00866CCC"/>
    <w:rsid w:val="0087551D"/>
    <w:rsid w:val="00876A14"/>
    <w:rsid w:val="00877140"/>
    <w:rsid w:val="00880857"/>
    <w:rsid w:val="008832AE"/>
    <w:rsid w:val="008838EE"/>
    <w:rsid w:val="00884155"/>
    <w:rsid w:val="0088507A"/>
    <w:rsid w:val="00887A79"/>
    <w:rsid w:val="00893CED"/>
    <w:rsid w:val="00894817"/>
    <w:rsid w:val="008958D6"/>
    <w:rsid w:val="008A06E9"/>
    <w:rsid w:val="008A0932"/>
    <w:rsid w:val="008A2CAB"/>
    <w:rsid w:val="008A35E6"/>
    <w:rsid w:val="008A46A1"/>
    <w:rsid w:val="008A5F61"/>
    <w:rsid w:val="008A61B2"/>
    <w:rsid w:val="008B3034"/>
    <w:rsid w:val="008B54D1"/>
    <w:rsid w:val="008B69F1"/>
    <w:rsid w:val="008B7DA4"/>
    <w:rsid w:val="008C0536"/>
    <w:rsid w:val="008C098B"/>
    <w:rsid w:val="008C1E8E"/>
    <w:rsid w:val="008C2D28"/>
    <w:rsid w:val="008C3890"/>
    <w:rsid w:val="008C3E04"/>
    <w:rsid w:val="008C4763"/>
    <w:rsid w:val="008C47E6"/>
    <w:rsid w:val="008C5838"/>
    <w:rsid w:val="008C5AD3"/>
    <w:rsid w:val="008C6595"/>
    <w:rsid w:val="008C6705"/>
    <w:rsid w:val="008C6C53"/>
    <w:rsid w:val="008D1307"/>
    <w:rsid w:val="008D202C"/>
    <w:rsid w:val="008D4A3B"/>
    <w:rsid w:val="008D4C4A"/>
    <w:rsid w:val="008E1C39"/>
    <w:rsid w:val="008E2005"/>
    <w:rsid w:val="008E208C"/>
    <w:rsid w:val="008E2733"/>
    <w:rsid w:val="008E27E8"/>
    <w:rsid w:val="008E351B"/>
    <w:rsid w:val="008E4838"/>
    <w:rsid w:val="008E55A2"/>
    <w:rsid w:val="008E712F"/>
    <w:rsid w:val="008F0FC3"/>
    <w:rsid w:val="008F228E"/>
    <w:rsid w:val="008F262C"/>
    <w:rsid w:val="008F274C"/>
    <w:rsid w:val="008F4623"/>
    <w:rsid w:val="008F4FD3"/>
    <w:rsid w:val="008F6C7A"/>
    <w:rsid w:val="00900411"/>
    <w:rsid w:val="00901E44"/>
    <w:rsid w:val="00903FA8"/>
    <w:rsid w:val="00906A80"/>
    <w:rsid w:val="009074D4"/>
    <w:rsid w:val="00907D80"/>
    <w:rsid w:val="0091038A"/>
    <w:rsid w:val="009126F3"/>
    <w:rsid w:val="009131C9"/>
    <w:rsid w:val="00913319"/>
    <w:rsid w:val="00913821"/>
    <w:rsid w:val="0091388E"/>
    <w:rsid w:val="0091407A"/>
    <w:rsid w:val="00914277"/>
    <w:rsid w:val="00915E96"/>
    <w:rsid w:val="0091607B"/>
    <w:rsid w:val="00917833"/>
    <w:rsid w:val="00917F9C"/>
    <w:rsid w:val="00920917"/>
    <w:rsid w:val="009211F7"/>
    <w:rsid w:val="0092275B"/>
    <w:rsid w:val="00922C93"/>
    <w:rsid w:val="00923455"/>
    <w:rsid w:val="0092556E"/>
    <w:rsid w:val="009258DC"/>
    <w:rsid w:val="00926F70"/>
    <w:rsid w:val="00927BD3"/>
    <w:rsid w:val="009300B7"/>
    <w:rsid w:val="00933E04"/>
    <w:rsid w:val="009340DA"/>
    <w:rsid w:val="00934323"/>
    <w:rsid w:val="00936674"/>
    <w:rsid w:val="00937D3D"/>
    <w:rsid w:val="00940662"/>
    <w:rsid w:val="00940A65"/>
    <w:rsid w:val="00940EAC"/>
    <w:rsid w:val="00941ED3"/>
    <w:rsid w:val="0094271F"/>
    <w:rsid w:val="0094305F"/>
    <w:rsid w:val="009459CF"/>
    <w:rsid w:val="00946ECD"/>
    <w:rsid w:val="0094705D"/>
    <w:rsid w:val="00951BDB"/>
    <w:rsid w:val="00952AFB"/>
    <w:rsid w:val="00952BF8"/>
    <w:rsid w:val="009536BD"/>
    <w:rsid w:val="00953897"/>
    <w:rsid w:val="00954261"/>
    <w:rsid w:val="00954E91"/>
    <w:rsid w:val="00954FFD"/>
    <w:rsid w:val="00956D2F"/>
    <w:rsid w:val="00956F0A"/>
    <w:rsid w:val="00957798"/>
    <w:rsid w:val="00964EE7"/>
    <w:rsid w:val="009661EB"/>
    <w:rsid w:val="00966243"/>
    <w:rsid w:val="00966257"/>
    <w:rsid w:val="009674A7"/>
    <w:rsid w:val="00970735"/>
    <w:rsid w:val="009715A6"/>
    <w:rsid w:val="00972024"/>
    <w:rsid w:val="0097308B"/>
    <w:rsid w:val="00974387"/>
    <w:rsid w:val="00974720"/>
    <w:rsid w:val="00974CE8"/>
    <w:rsid w:val="00974E4A"/>
    <w:rsid w:val="0097591B"/>
    <w:rsid w:val="009764B5"/>
    <w:rsid w:val="00976753"/>
    <w:rsid w:val="0097679B"/>
    <w:rsid w:val="00977688"/>
    <w:rsid w:val="00977EED"/>
    <w:rsid w:val="0098092E"/>
    <w:rsid w:val="009812C5"/>
    <w:rsid w:val="009854EB"/>
    <w:rsid w:val="00985580"/>
    <w:rsid w:val="0098587B"/>
    <w:rsid w:val="00986784"/>
    <w:rsid w:val="00986B96"/>
    <w:rsid w:val="009872D5"/>
    <w:rsid w:val="00991080"/>
    <w:rsid w:val="00991A46"/>
    <w:rsid w:val="0099298E"/>
    <w:rsid w:val="0099350C"/>
    <w:rsid w:val="0099683E"/>
    <w:rsid w:val="00996C9F"/>
    <w:rsid w:val="009A0E39"/>
    <w:rsid w:val="009A1A3D"/>
    <w:rsid w:val="009A4C5C"/>
    <w:rsid w:val="009A683C"/>
    <w:rsid w:val="009A7550"/>
    <w:rsid w:val="009A7DB5"/>
    <w:rsid w:val="009B02F9"/>
    <w:rsid w:val="009B207E"/>
    <w:rsid w:val="009B2393"/>
    <w:rsid w:val="009B6058"/>
    <w:rsid w:val="009B6C61"/>
    <w:rsid w:val="009C053D"/>
    <w:rsid w:val="009C3F2C"/>
    <w:rsid w:val="009C4056"/>
    <w:rsid w:val="009C438E"/>
    <w:rsid w:val="009C4E4B"/>
    <w:rsid w:val="009C5EAF"/>
    <w:rsid w:val="009C6A49"/>
    <w:rsid w:val="009C6BC9"/>
    <w:rsid w:val="009C6CF7"/>
    <w:rsid w:val="009C7A6C"/>
    <w:rsid w:val="009D0ADF"/>
    <w:rsid w:val="009D1610"/>
    <w:rsid w:val="009D28D5"/>
    <w:rsid w:val="009D34CB"/>
    <w:rsid w:val="009D4D0C"/>
    <w:rsid w:val="009D7AA8"/>
    <w:rsid w:val="009E01D8"/>
    <w:rsid w:val="009E02AF"/>
    <w:rsid w:val="009E10B8"/>
    <w:rsid w:val="009E168E"/>
    <w:rsid w:val="009E1E9B"/>
    <w:rsid w:val="009E20BD"/>
    <w:rsid w:val="009E3C77"/>
    <w:rsid w:val="009E6770"/>
    <w:rsid w:val="009E6C53"/>
    <w:rsid w:val="009F2FD5"/>
    <w:rsid w:val="009F3FB3"/>
    <w:rsid w:val="009F583A"/>
    <w:rsid w:val="009F70DD"/>
    <w:rsid w:val="009F78A4"/>
    <w:rsid w:val="00A016FF"/>
    <w:rsid w:val="00A045B6"/>
    <w:rsid w:val="00A04B8E"/>
    <w:rsid w:val="00A05576"/>
    <w:rsid w:val="00A05B39"/>
    <w:rsid w:val="00A06114"/>
    <w:rsid w:val="00A07747"/>
    <w:rsid w:val="00A11326"/>
    <w:rsid w:val="00A12816"/>
    <w:rsid w:val="00A12C5A"/>
    <w:rsid w:val="00A13393"/>
    <w:rsid w:val="00A14736"/>
    <w:rsid w:val="00A153FB"/>
    <w:rsid w:val="00A1565B"/>
    <w:rsid w:val="00A15CA5"/>
    <w:rsid w:val="00A16944"/>
    <w:rsid w:val="00A1784E"/>
    <w:rsid w:val="00A20164"/>
    <w:rsid w:val="00A21EFA"/>
    <w:rsid w:val="00A22093"/>
    <w:rsid w:val="00A2255F"/>
    <w:rsid w:val="00A2279B"/>
    <w:rsid w:val="00A23AAE"/>
    <w:rsid w:val="00A248F9"/>
    <w:rsid w:val="00A27851"/>
    <w:rsid w:val="00A27A1E"/>
    <w:rsid w:val="00A3217C"/>
    <w:rsid w:val="00A32520"/>
    <w:rsid w:val="00A364B7"/>
    <w:rsid w:val="00A4127E"/>
    <w:rsid w:val="00A42EEB"/>
    <w:rsid w:val="00A438AF"/>
    <w:rsid w:val="00A464E9"/>
    <w:rsid w:val="00A465D3"/>
    <w:rsid w:val="00A50320"/>
    <w:rsid w:val="00A518FD"/>
    <w:rsid w:val="00A52224"/>
    <w:rsid w:val="00A52A4E"/>
    <w:rsid w:val="00A574D7"/>
    <w:rsid w:val="00A60C2C"/>
    <w:rsid w:val="00A619C4"/>
    <w:rsid w:val="00A61BA8"/>
    <w:rsid w:val="00A63416"/>
    <w:rsid w:val="00A64ECA"/>
    <w:rsid w:val="00A66AFA"/>
    <w:rsid w:val="00A67EB0"/>
    <w:rsid w:val="00A70F6B"/>
    <w:rsid w:val="00A72BC9"/>
    <w:rsid w:val="00A7370E"/>
    <w:rsid w:val="00A74032"/>
    <w:rsid w:val="00A74C37"/>
    <w:rsid w:val="00A82464"/>
    <w:rsid w:val="00A83332"/>
    <w:rsid w:val="00A84500"/>
    <w:rsid w:val="00A847F1"/>
    <w:rsid w:val="00A850A0"/>
    <w:rsid w:val="00A851B6"/>
    <w:rsid w:val="00A8545A"/>
    <w:rsid w:val="00A863BC"/>
    <w:rsid w:val="00A86C1C"/>
    <w:rsid w:val="00A87413"/>
    <w:rsid w:val="00A92A12"/>
    <w:rsid w:val="00A93067"/>
    <w:rsid w:val="00A94743"/>
    <w:rsid w:val="00A9557E"/>
    <w:rsid w:val="00A9737D"/>
    <w:rsid w:val="00A97F43"/>
    <w:rsid w:val="00AA1553"/>
    <w:rsid w:val="00AA2C22"/>
    <w:rsid w:val="00AA2D44"/>
    <w:rsid w:val="00AA35E4"/>
    <w:rsid w:val="00AA50B5"/>
    <w:rsid w:val="00AA535F"/>
    <w:rsid w:val="00AA7D85"/>
    <w:rsid w:val="00AB053B"/>
    <w:rsid w:val="00AB1D8D"/>
    <w:rsid w:val="00AB2074"/>
    <w:rsid w:val="00AB2385"/>
    <w:rsid w:val="00AB6CC7"/>
    <w:rsid w:val="00AB7550"/>
    <w:rsid w:val="00AC56A7"/>
    <w:rsid w:val="00AC5735"/>
    <w:rsid w:val="00AC66DC"/>
    <w:rsid w:val="00AC6C62"/>
    <w:rsid w:val="00AC7BB9"/>
    <w:rsid w:val="00AC7FE5"/>
    <w:rsid w:val="00AD11B5"/>
    <w:rsid w:val="00AD1294"/>
    <w:rsid w:val="00AD1AF8"/>
    <w:rsid w:val="00AD5E43"/>
    <w:rsid w:val="00AE1899"/>
    <w:rsid w:val="00AE63AD"/>
    <w:rsid w:val="00AE6673"/>
    <w:rsid w:val="00AE69DE"/>
    <w:rsid w:val="00AE7251"/>
    <w:rsid w:val="00AF0617"/>
    <w:rsid w:val="00AF0C38"/>
    <w:rsid w:val="00AF1461"/>
    <w:rsid w:val="00AF327C"/>
    <w:rsid w:val="00AF3A71"/>
    <w:rsid w:val="00AF44BE"/>
    <w:rsid w:val="00AF6256"/>
    <w:rsid w:val="00AF6F5E"/>
    <w:rsid w:val="00B02F3D"/>
    <w:rsid w:val="00B03A3C"/>
    <w:rsid w:val="00B1084C"/>
    <w:rsid w:val="00B118DF"/>
    <w:rsid w:val="00B11DB5"/>
    <w:rsid w:val="00B12289"/>
    <w:rsid w:val="00B14A67"/>
    <w:rsid w:val="00B169F5"/>
    <w:rsid w:val="00B23D9B"/>
    <w:rsid w:val="00B2497F"/>
    <w:rsid w:val="00B24BCC"/>
    <w:rsid w:val="00B24D07"/>
    <w:rsid w:val="00B262E6"/>
    <w:rsid w:val="00B270A1"/>
    <w:rsid w:val="00B27B35"/>
    <w:rsid w:val="00B30F70"/>
    <w:rsid w:val="00B32B48"/>
    <w:rsid w:val="00B32CB5"/>
    <w:rsid w:val="00B335CC"/>
    <w:rsid w:val="00B35097"/>
    <w:rsid w:val="00B35429"/>
    <w:rsid w:val="00B40992"/>
    <w:rsid w:val="00B41BD7"/>
    <w:rsid w:val="00B41F08"/>
    <w:rsid w:val="00B43DDD"/>
    <w:rsid w:val="00B456D3"/>
    <w:rsid w:val="00B468B5"/>
    <w:rsid w:val="00B46CD0"/>
    <w:rsid w:val="00B46E59"/>
    <w:rsid w:val="00B470FA"/>
    <w:rsid w:val="00B471F0"/>
    <w:rsid w:val="00B4767B"/>
    <w:rsid w:val="00B47F7A"/>
    <w:rsid w:val="00B50AAA"/>
    <w:rsid w:val="00B514EA"/>
    <w:rsid w:val="00B51D1E"/>
    <w:rsid w:val="00B51E98"/>
    <w:rsid w:val="00B542B7"/>
    <w:rsid w:val="00B57C28"/>
    <w:rsid w:val="00B57EAD"/>
    <w:rsid w:val="00B61F93"/>
    <w:rsid w:val="00B629E2"/>
    <w:rsid w:val="00B63E88"/>
    <w:rsid w:val="00B64C22"/>
    <w:rsid w:val="00B65F7A"/>
    <w:rsid w:val="00B66821"/>
    <w:rsid w:val="00B7177E"/>
    <w:rsid w:val="00B7198D"/>
    <w:rsid w:val="00B732CB"/>
    <w:rsid w:val="00B73E9E"/>
    <w:rsid w:val="00B75FB2"/>
    <w:rsid w:val="00B76082"/>
    <w:rsid w:val="00B77732"/>
    <w:rsid w:val="00B777F6"/>
    <w:rsid w:val="00B8013F"/>
    <w:rsid w:val="00B807E2"/>
    <w:rsid w:val="00B810DC"/>
    <w:rsid w:val="00B81D91"/>
    <w:rsid w:val="00B840DA"/>
    <w:rsid w:val="00B8488E"/>
    <w:rsid w:val="00B85BE7"/>
    <w:rsid w:val="00B85F20"/>
    <w:rsid w:val="00B90200"/>
    <w:rsid w:val="00B9275B"/>
    <w:rsid w:val="00B94777"/>
    <w:rsid w:val="00B9497B"/>
    <w:rsid w:val="00B962FB"/>
    <w:rsid w:val="00BA1BAE"/>
    <w:rsid w:val="00BA1D50"/>
    <w:rsid w:val="00BA238C"/>
    <w:rsid w:val="00BA24DB"/>
    <w:rsid w:val="00BA3155"/>
    <w:rsid w:val="00BA3C77"/>
    <w:rsid w:val="00BA49FD"/>
    <w:rsid w:val="00BA5CB6"/>
    <w:rsid w:val="00BA5FEF"/>
    <w:rsid w:val="00BA6B4B"/>
    <w:rsid w:val="00BA6D0E"/>
    <w:rsid w:val="00BA7318"/>
    <w:rsid w:val="00BA77C6"/>
    <w:rsid w:val="00BA7C27"/>
    <w:rsid w:val="00BB1E32"/>
    <w:rsid w:val="00BB21C1"/>
    <w:rsid w:val="00BB2981"/>
    <w:rsid w:val="00BB2CE2"/>
    <w:rsid w:val="00BB364F"/>
    <w:rsid w:val="00BB3C44"/>
    <w:rsid w:val="00BB4448"/>
    <w:rsid w:val="00BB5F77"/>
    <w:rsid w:val="00BB7D08"/>
    <w:rsid w:val="00BC2237"/>
    <w:rsid w:val="00BC2842"/>
    <w:rsid w:val="00BC2930"/>
    <w:rsid w:val="00BC5F82"/>
    <w:rsid w:val="00BC6393"/>
    <w:rsid w:val="00BC7763"/>
    <w:rsid w:val="00BC796F"/>
    <w:rsid w:val="00BD0140"/>
    <w:rsid w:val="00BD07E9"/>
    <w:rsid w:val="00BD1CCE"/>
    <w:rsid w:val="00BD329D"/>
    <w:rsid w:val="00BD4DF8"/>
    <w:rsid w:val="00BD4E68"/>
    <w:rsid w:val="00BD4F10"/>
    <w:rsid w:val="00BD6AA4"/>
    <w:rsid w:val="00BD74B9"/>
    <w:rsid w:val="00BD7CC5"/>
    <w:rsid w:val="00BE26D5"/>
    <w:rsid w:val="00BE3350"/>
    <w:rsid w:val="00BE3B26"/>
    <w:rsid w:val="00BE4882"/>
    <w:rsid w:val="00BE4D6D"/>
    <w:rsid w:val="00BE6AFC"/>
    <w:rsid w:val="00BE726A"/>
    <w:rsid w:val="00BE7A76"/>
    <w:rsid w:val="00BF0BFA"/>
    <w:rsid w:val="00BF1626"/>
    <w:rsid w:val="00BF312B"/>
    <w:rsid w:val="00BF3391"/>
    <w:rsid w:val="00BF3BCA"/>
    <w:rsid w:val="00BF423F"/>
    <w:rsid w:val="00BF482D"/>
    <w:rsid w:val="00BF4C27"/>
    <w:rsid w:val="00BF586F"/>
    <w:rsid w:val="00BF7BDA"/>
    <w:rsid w:val="00BF7EAB"/>
    <w:rsid w:val="00C008DB"/>
    <w:rsid w:val="00C02DF7"/>
    <w:rsid w:val="00C03EFC"/>
    <w:rsid w:val="00C03EFF"/>
    <w:rsid w:val="00C04C76"/>
    <w:rsid w:val="00C06358"/>
    <w:rsid w:val="00C069D1"/>
    <w:rsid w:val="00C07773"/>
    <w:rsid w:val="00C101BC"/>
    <w:rsid w:val="00C10DAE"/>
    <w:rsid w:val="00C11197"/>
    <w:rsid w:val="00C126D3"/>
    <w:rsid w:val="00C12DFD"/>
    <w:rsid w:val="00C133C0"/>
    <w:rsid w:val="00C13B97"/>
    <w:rsid w:val="00C14DC1"/>
    <w:rsid w:val="00C157C2"/>
    <w:rsid w:val="00C17296"/>
    <w:rsid w:val="00C178C3"/>
    <w:rsid w:val="00C2105C"/>
    <w:rsid w:val="00C21ABE"/>
    <w:rsid w:val="00C21FFB"/>
    <w:rsid w:val="00C22004"/>
    <w:rsid w:val="00C234B3"/>
    <w:rsid w:val="00C24487"/>
    <w:rsid w:val="00C27655"/>
    <w:rsid w:val="00C27F1F"/>
    <w:rsid w:val="00C30CC0"/>
    <w:rsid w:val="00C30CCB"/>
    <w:rsid w:val="00C311DF"/>
    <w:rsid w:val="00C31C29"/>
    <w:rsid w:val="00C33199"/>
    <w:rsid w:val="00C344FE"/>
    <w:rsid w:val="00C353C5"/>
    <w:rsid w:val="00C35B69"/>
    <w:rsid w:val="00C36466"/>
    <w:rsid w:val="00C37120"/>
    <w:rsid w:val="00C37E7D"/>
    <w:rsid w:val="00C41475"/>
    <w:rsid w:val="00C42369"/>
    <w:rsid w:val="00C43D9F"/>
    <w:rsid w:val="00C4422B"/>
    <w:rsid w:val="00C44B94"/>
    <w:rsid w:val="00C46590"/>
    <w:rsid w:val="00C477E6"/>
    <w:rsid w:val="00C47B61"/>
    <w:rsid w:val="00C51861"/>
    <w:rsid w:val="00C528CD"/>
    <w:rsid w:val="00C52992"/>
    <w:rsid w:val="00C53326"/>
    <w:rsid w:val="00C54AC6"/>
    <w:rsid w:val="00C60579"/>
    <w:rsid w:val="00C607D9"/>
    <w:rsid w:val="00C62250"/>
    <w:rsid w:val="00C623A2"/>
    <w:rsid w:val="00C63A8C"/>
    <w:rsid w:val="00C63C34"/>
    <w:rsid w:val="00C63C78"/>
    <w:rsid w:val="00C64B83"/>
    <w:rsid w:val="00C651DE"/>
    <w:rsid w:val="00C66825"/>
    <w:rsid w:val="00C66B48"/>
    <w:rsid w:val="00C67243"/>
    <w:rsid w:val="00C7010F"/>
    <w:rsid w:val="00C70D8A"/>
    <w:rsid w:val="00C70E83"/>
    <w:rsid w:val="00C71C1C"/>
    <w:rsid w:val="00C74742"/>
    <w:rsid w:val="00C7475D"/>
    <w:rsid w:val="00C74DF1"/>
    <w:rsid w:val="00C77C43"/>
    <w:rsid w:val="00C80A58"/>
    <w:rsid w:val="00C81E96"/>
    <w:rsid w:val="00C81F25"/>
    <w:rsid w:val="00C82998"/>
    <w:rsid w:val="00C8492C"/>
    <w:rsid w:val="00C8600E"/>
    <w:rsid w:val="00C8656D"/>
    <w:rsid w:val="00C86D60"/>
    <w:rsid w:val="00C87864"/>
    <w:rsid w:val="00C9236B"/>
    <w:rsid w:val="00C9387A"/>
    <w:rsid w:val="00C93923"/>
    <w:rsid w:val="00C93F54"/>
    <w:rsid w:val="00C9431A"/>
    <w:rsid w:val="00C95AC0"/>
    <w:rsid w:val="00C9750D"/>
    <w:rsid w:val="00CA32D7"/>
    <w:rsid w:val="00CA350B"/>
    <w:rsid w:val="00CA4316"/>
    <w:rsid w:val="00CA6BE4"/>
    <w:rsid w:val="00CB1739"/>
    <w:rsid w:val="00CB1B85"/>
    <w:rsid w:val="00CB33AF"/>
    <w:rsid w:val="00CB3458"/>
    <w:rsid w:val="00CB5396"/>
    <w:rsid w:val="00CB73FA"/>
    <w:rsid w:val="00CC1DE3"/>
    <w:rsid w:val="00CC226F"/>
    <w:rsid w:val="00CC22B3"/>
    <w:rsid w:val="00CC33EF"/>
    <w:rsid w:val="00CC3A7D"/>
    <w:rsid w:val="00CC4D89"/>
    <w:rsid w:val="00CC542C"/>
    <w:rsid w:val="00CC726F"/>
    <w:rsid w:val="00CC79F9"/>
    <w:rsid w:val="00CC7F12"/>
    <w:rsid w:val="00CD0922"/>
    <w:rsid w:val="00CD137A"/>
    <w:rsid w:val="00CD397C"/>
    <w:rsid w:val="00CD3E07"/>
    <w:rsid w:val="00CD42D0"/>
    <w:rsid w:val="00CD6197"/>
    <w:rsid w:val="00CE051C"/>
    <w:rsid w:val="00CE383B"/>
    <w:rsid w:val="00CE40DF"/>
    <w:rsid w:val="00CE4E0F"/>
    <w:rsid w:val="00CE59E8"/>
    <w:rsid w:val="00CE6442"/>
    <w:rsid w:val="00CE644F"/>
    <w:rsid w:val="00CE683F"/>
    <w:rsid w:val="00CF2BC4"/>
    <w:rsid w:val="00CF2EB6"/>
    <w:rsid w:val="00CF3FB4"/>
    <w:rsid w:val="00CF5B08"/>
    <w:rsid w:val="00CF5B40"/>
    <w:rsid w:val="00CF73E1"/>
    <w:rsid w:val="00CF774A"/>
    <w:rsid w:val="00D0076C"/>
    <w:rsid w:val="00D00B30"/>
    <w:rsid w:val="00D00F9F"/>
    <w:rsid w:val="00D01D00"/>
    <w:rsid w:val="00D03CC0"/>
    <w:rsid w:val="00D04006"/>
    <w:rsid w:val="00D0603E"/>
    <w:rsid w:val="00D1587B"/>
    <w:rsid w:val="00D16C99"/>
    <w:rsid w:val="00D16D12"/>
    <w:rsid w:val="00D20C20"/>
    <w:rsid w:val="00D2187B"/>
    <w:rsid w:val="00D21E56"/>
    <w:rsid w:val="00D21FB6"/>
    <w:rsid w:val="00D23B39"/>
    <w:rsid w:val="00D2438F"/>
    <w:rsid w:val="00D265E2"/>
    <w:rsid w:val="00D2732F"/>
    <w:rsid w:val="00D317FE"/>
    <w:rsid w:val="00D32229"/>
    <w:rsid w:val="00D33FC1"/>
    <w:rsid w:val="00D34303"/>
    <w:rsid w:val="00D348A3"/>
    <w:rsid w:val="00D34E80"/>
    <w:rsid w:val="00D37838"/>
    <w:rsid w:val="00D379A2"/>
    <w:rsid w:val="00D4015F"/>
    <w:rsid w:val="00D41AEA"/>
    <w:rsid w:val="00D42A45"/>
    <w:rsid w:val="00D43353"/>
    <w:rsid w:val="00D43C85"/>
    <w:rsid w:val="00D44DC2"/>
    <w:rsid w:val="00D4522D"/>
    <w:rsid w:val="00D46713"/>
    <w:rsid w:val="00D46B2A"/>
    <w:rsid w:val="00D5259F"/>
    <w:rsid w:val="00D525B3"/>
    <w:rsid w:val="00D547FA"/>
    <w:rsid w:val="00D56339"/>
    <w:rsid w:val="00D628F7"/>
    <w:rsid w:val="00D638B7"/>
    <w:rsid w:val="00D63D97"/>
    <w:rsid w:val="00D6681C"/>
    <w:rsid w:val="00D67E83"/>
    <w:rsid w:val="00D7288A"/>
    <w:rsid w:val="00D7494F"/>
    <w:rsid w:val="00D75C0E"/>
    <w:rsid w:val="00D813C8"/>
    <w:rsid w:val="00D81CAE"/>
    <w:rsid w:val="00D82E09"/>
    <w:rsid w:val="00D82FC7"/>
    <w:rsid w:val="00D8313A"/>
    <w:rsid w:val="00D83749"/>
    <w:rsid w:val="00D83D6D"/>
    <w:rsid w:val="00D84762"/>
    <w:rsid w:val="00D85BEA"/>
    <w:rsid w:val="00D85F17"/>
    <w:rsid w:val="00D8630D"/>
    <w:rsid w:val="00D86B4C"/>
    <w:rsid w:val="00D8786F"/>
    <w:rsid w:val="00D91AB8"/>
    <w:rsid w:val="00D91E92"/>
    <w:rsid w:val="00D922E4"/>
    <w:rsid w:val="00D92795"/>
    <w:rsid w:val="00D9363E"/>
    <w:rsid w:val="00D946ED"/>
    <w:rsid w:val="00D9581E"/>
    <w:rsid w:val="00D963D9"/>
    <w:rsid w:val="00D96CD3"/>
    <w:rsid w:val="00DA1771"/>
    <w:rsid w:val="00DA224C"/>
    <w:rsid w:val="00DA2A48"/>
    <w:rsid w:val="00DA4158"/>
    <w:rsid w:val="00DA4E76"/>
    <w:rsid w:val="00DB3060"/>
    <w:rsid w:val="00DB3D1E"/>
    <w:rsid w:val="00DB3F4E"/>
    <w:rsid w:val="00DB44ED"/>
    <w:rsid w:val="00DB5991"/>
    <w:rsid w:val="00DB68BC"/>
    <w:rsid w:val="00DB79F0"/>
    <w:rsid w:val="00DC000A"/>
    <w:rsid w:val="00DC1CA9"/>
    <w:rsid w:val="00DC32B2"/>
    <w:rsid w:val="00DC43B4"/>
    <w:rsid w:val="00DC4BB0"/>
    <w:rsid w:val="00DC4E2A"/>
    <w:rsid w:val="00DC5E46"/>
    <w:rsid w:val="00DD0AFE"/>
    <w:rsid w:val="00DD1CF5"/>
    <w:rsid w:val="00DD1D4A"/>
    <w:rsid w:val="00DD20D0"/>
    <w:rsid w:val="00DD292B"/>
    <w:rsid w:val="00DD2F65"/>
    <w:rsid w:val="00DD42AB"/>
    <w:rsid w:val="00DD48EE"/>
    <w:rsid w:val="00DD542F"/>
    <w:rsid w:val="00DE25FA"/>
    <w:rsid w:val="00DE452A"/>
    <w:rsid w:val="00DE4E03"/>
    <w:rsid w:val="00DE5027"/>
    <w:rsid w:val="00DE5D93"/>
    <w:rsid w:val="00DE6803"/>
    <w:rsid w:val="00DE6E48"/>
    <w:rsid w:val="00DE6EC3"/>
    <w:rsid w:val="00DE7551"/>
    <w:rsid w:val="00DF100E"/>
    <w:rsid w:val="00DF160D"/>
    <w:rsid w:val="00DF1C50"/>
    <w:rsid w:val="00DF3938"/>
    <w:rsid w:val="00DF5CA1"/>
    <w:rsid w:val="00DF672D"/>
    <w:rsid w:val="00DF6850"/>
    <w:rsid w:val="00E007A5"/>
    <w:rsid w:val="00E0223B"/>
    <w:rsid w:val="00E024BD"/>
    <w:rsid w:val="00E02BD6"/>
    <w:rsid w:val="00E0515B"/>
    <w:rsid w:val="00E07286"/>
    <w:rsid w:val="00E11E8B"/>
    <w:rsid w:val="00E123FA"/>
    <w:rsid w:val="00E13178"/>
    <w:rsid w:val="00E14FEA"/>
    <w:rsid w:val="00E1560E"/>
    <w:rsid w:val="00E16011"/>
    <w:rsid w:val="00E165A8"/>
    <w:rsid w:val="00E16BFD"/>
    <w:rsid w:val="00E174F2"/>
    <w:rsid w:val="00E175CB"/>
    <w:rsid w:val="00E21AA5"/>
    <w:rsid w:val="00E23901"/>
    <w:rsid w:val="00E23A58"/>
    <w:rsid w:val="00E248AA"/>
    <w:rsid w:val="00E24C86"/>
    <w:rsid w:val="00E25D02"/>
    <w:rsid w:val="00E30477"/>
    <w:rsid w:val="00E3181A"/>
    <w:rsid w:val="00E31A56"/>
    <w:rsid w:val="00E321D4"/>
    <w:rsid w:val="00E36089"/>
    <w:rsid w:val="00E377E9"/>
    <w:rsid w:val="00E37B1B"/>
    <w:rsid w:val="00E37FBD"/>
    <w:rsid w:val="00E40300"/>
    <w:rsid w:val="00E40505"/>
    <w:rsid w:val="00E413D5"/>
    <w:rsid w:val="00E41D60"/>
    <w:rsid w:val="00E41FF2"/>
    <w:rsid w:val="00E440AB"/>
    <w:rsid w:val="00E46888"/>
    <w:rsid w:val="00E46CF7"/>
    <w:rsid w:val="00E47292"/>
    <w:rsid w:val="00E5314F"/>
    <w:rsid w:val="00E53C48"/>
    <w:rsid w:val="00E54390"/>
    <w:rsid w:val="00E56048"/>
    <w:rsid w:val="00E56F8B"/>
    <w:rsid w:val="00E604C7"/>
    <w:rsid w:val="00E60506"/>
    <w:rsid w:val="00E60781"/>
    <w:rsid w:val="00E6146E"/>
    <w:rsid w:val="00E616FC"/>
    <w:rsid w:val="00E61771"/>
    <w:rsid w:val="00E629F8"/>
    <w:rsid w:val="00E64113"/>
    <w:rsid w:val="00E644EE"/>
    <w:rsid w:val="00E65837"/>
    <w:rsid w:val="00E66ACB"/>
    <w:rsid w:val="00E70AF0"/>
    <w:rsid w:val="00E710DD"/>
    <w:rsid w:val="00E71519"/>
    <w:rsid w:val="00E71715"/>
    <w:rsid w:val="00E7206B"/>
    <w:rsid w:val="00E748BA"/>
    <w:rsid w:val="00E74BC8"/>
    <w:rsid w:val="00E75324"/>
    <w:rsid w:val="00E76DB5"/>
    <w:rsid w:val="00E76E55"/>
    <w:rsid w:val="00E76F0F"/>
    <w:rsid w:val="00E82D23"/>
    <w:rsid w:val="00E8304C"/>
    <w:rsid w:val="00E835DC"/>
    <w:rsid w:val="00E845C6"/>
    <w:rsid w:val="00E84A98"/>
    <w:rsid w:val="00E85DEF"/>
    <w:rsid w:val="00E86EA5"/>
    <w:rsid w:val="00E87474"/>
    <w:rsid w:val="00E87DE8"/>
    <w:rsid w:val="00E9028A"/>
    <w:rsid w:val="00E90993"/>
    <w:rsid w:val="00E90B79"/>
    <w:rsid w:val="00E92730"/>
    <w:rsid w:val="00E928A6"/>
    <w:rsid w:val="00E94B0D"/>
    <w:rsid w:val="00E9583E"/>
    <w:rsid w:val="00E966CA"/>
    <w:rsid w:val="00EA137E"/>
    <w:rsid w:val="00EA17E4"/>
    <w:rsid w:val="00EA1947"/>
    <w:rsid w:val="00EA2260"/>
    <w:rsid w:val="00EA2561"/>
    <w:rsid w:val="00EA389F"/>
    <w:rsid w:val="00EA5AE8"/>
    <w:rsid w:val="00EA6815"/>
    <w:rsid w:val="00EA79FD"/>
    <w:rsid w:val="00EA7F1B"/>
    <w:rsid w:val="00EB1561"/>
    <w:rsid w:val="00EB1978"/>
    <w:rsid w:val="00EB257D"/>
    <w:rsid w:val="00EB27C5"/>
    <w:rsid w:val="00EB3E11"/>
    <w:rsid w:val="00EB4AF2"/>
    <w:rsid w:val="00EB55DD"/>
    <w:rsid w:val="00EB5B20"/>
    <w:rsid w:val="00EB6D3E"/>
    <w:rsid w:val="00EB7EDC"/>
    <w:rsid w:val="00EC0C97"/>
    <w:rsid w:val="00EC0FCF"/>
    <w:rsid w:val="00EC1446"/>
    <w:rsid w:val="00EC15B1"/>
    <w:rsid w:val="00EC6268"/>
    <w:rsid w:val="00EC640C"/>
    <w:rsid w:val="00EC7779"/>
    <w:rsid w:val="00EC7F1D"/>
    <w:rsid w:val="00ED081E"/>
    <w:rsid w:val="00ED0FD8"/>
    <w:rsid w:val="00ED1687"/>
    <w:rsid w:val="00ED1867"/>
    <w:rsid w:val="00ED2281"/>
    <w:rsid w:val="00ED483F"/>
    <w:rsid w:val="00ED48AD"/>
    <w:rsid w:val="00ED5D5A"/>
    <w:rsid w:val="00ED60ED"/>
    <w:rsid w:val="00ED6E48"/>
    <w:rsid w:val="00EE0221"/>
    <w:rsid w:val="00EE0AD3"/>
    <w:rsid w:val="00EE20C6"/>
    <w:rsid w:val="00EE5232"/>
    <w:rsid w:val="00EE608E"/>
    <w:rsid w:val="00EE62AA"/>
    <w:rsid w:val="00EE7339"/>
    <w:rsid w:val="00EF0A89"/>
    <w:rsid w:val="00EF1708"/>
    <w:rsid w:val="00EF18DD"/>
    <w:rsid w:val="00EF1FBC"/>
    <w:rsid w:val="00EF336A"/>
    <w:rsid w:val="00EF42DE"/>
    <w:rsid w:val="00EF57DA"/>
    <w:rsid w:val="00EF7429"/>
    <w:rsid w:val="00F008E8"/>
    <w:rsid w:val="00F02CE3"/>
    <w:rsid w:val="00F03A4D"/>
    <w:rsid w:val="00F03BF3"/>
    <w:rsid w:val="00F05DD5"/>
    <w:rsid w:val="00F07092"/>
    <w:rsid w:val="00F115F6"/>
    <w:rsid w:val="00F13120"/>
    <w:rsid w:val="00F20025"/>
    <w:rsid w:val="00F2013E"/>
    <w:rsid w:val="00F208B5"/>
    <w:rsid w:val="00F21611"/>
    <w:rsid w:val="00F24B48"/>
    <w:rsid w:val="00F24CF6"/>
    <w:rsid w:val="00F24E42"/>
    <w:rsid w:val="00F2676B"/>
    <w:rsid w:val="00F26DB2"/>
    <w:rsid w:val="00F27787"/>
    <w:rsid w:val="00F306AC"/>
    <w:rsid w:val="00F317B5"/>
    <w:rsid w:val="00F31C09"/>
    <w:rsid w:val="00F33DA7"/>
    <w:rsid w:val="00F34803"/>
    <w:rsid w:val="00F35C42"/>
    <w:rsid w:val="00F37EAE"/>
    <w:rsid w:val="00F40F67"/>
    <w:rsid w:val="00F41FCB"/>
    <w:rsid w:val="00F42B6C"/>
    <w:rsid w:val="00F44514"/>
    <w:rsid w:val="00F46BEF"/>
    <w:rsid w:val="00F4782B"/>
    <w:rsid w:val="00F47F78"/>
    <w:rsid w:val="00F50EA5"/>
    <w:rsid w:val="00F52B22"/>
    <w:rsid w:val="00F6180A"/>
    <w:rsid w:val="00F638B2"/>
    <w:rsid w:val="00F6651E"/>
    <w:rsid w:val="00F66C08"/>
    <w:rsid w:val="00F67EF4"/>
    <w:rsid w:val="00F7086D"/>
    <w:rsid w:val="00F70AE3"/>
    <w:rsid w:val="00F716EC"/>
    <w:rsid w:val="00F72678"/>
    <w:rsid w:val="00F727DA"/>
    <w:rsid w:val="00F80335"/>
    <w:rsid w:val="00F80C26"/>
    <w:rsid w:val="00F81B09"/>
    <w:rsid w:val="00F824F6"/>
    <w:rsid w:val="00F8291B"/>
    <w:rsid w:val="00F82E60"/>
    <w:rsid w:val="00F841C2"/>
    <w:rsid w:val="00F842AC"/>
    <w:rsid w:val="00F8547B"/>
    <w:rsid w:val="00F85D06"/>
    <w:rsid w:val="00F8605B"/>
    <w:rsid w:val="00F91861"/>
    <w:rsid w:val="00F93E45"/>
    <w:rsid w:val="00F94C21"/>
    <w:rsid w:val="00F950D8"/>
    <w:rsid w:val="00F961C4"/>
    <w:rsid w:val="00F961CC"/>
    <w:rsid w:val="00F9666A"/>
    <w:rsid w:val="00FA00B9"/>
    <w:rsid w:val="00FA015C"/>
    <w:rsid w:val="00FA11E1"/>
    <w:rsid w:val="00FA1A3B"/>
    <w:rsid w:val="00FA215A"/>
    <w:rsid w:val="00FA2C95"/>
    <w:rsid w:val="00FA472F"/>
    <w:rsid w:val="00FA500D"/>
    <w:rsid w:val="00FA5ECD"/>
    <w:rsid w:val="00FA770A"/>
    <w:rsid w:val="00FB04DB"/>
    <w:rsid w:val="00FB08D3"/>
    <w:rsid w:val="00FB21E2"/>
    <w:rsid w:val="00FB464E"/>
    <w:rsid w:val="00FB47D8"/>
    <w:rsid w:val="00FB48A2"/>
    <w:rsid w:val="00FB4948"/>
    <w:rsid w:val="00FB5366"/>
    <w:rsid w:val="00FB5A22"/>
    <w:rsid w:val="00FB6840"/>
    <w:rsid w:val="00FB6B83"/>
    <w:rsid w:val="00FB76A3"/>
    <w:rsid w:val="00FB7878"/>
    <w:rsid w:val="00FB7A4F"/>
    <w:rsid w:val="00FC0061"/>
    <w:rsid w:val="00FC21EC"/>
    <w:rsid w:val="00FC2F4B"/>
    <w:rsid w:val="00FC33BD"/>
    <w:rsid w:val="00FC4618"/>
    <w:rsid w:val="00FC4DA5"/>
    <w:rsid w:val="00FC632D"/>
    <w:rsid w:val="00FC636C"/>
    <w:rsid w:val="00FC72F4"/>
    <w:rsid w:val="00FC79FB"/>
    <w:rsid w:val="00FC7F9D"/>
    <w:rsid w:val="00FD2738"/>
    <w:rsid w:val="00FD3879"/>
    <w:rsid w:val="00FD3E56"/>
    <w:rsid w:val="00FD43FC"/>
    <w:rsid w:val="00FD44C9"/>
    <w:rsid w:val="00FD5BD7"/>
    <w:rsid w:val="00FD647A"/>
    <w:rsid w:val="00FD6FEB"/>
    <w:rsid w:val="00FE085C"/>
    <w:rsid w:val="00FE1B62"/>
    <w:rsid w:val="00FE1DA8"/>
    <w:rsid w:val="00FE1F56"/>
    <w:rsid w:val="00FE327E"/>
    <w:rsid w:val="00FE368B"/>
    <w:rsid w:val="00FE4498"/>
    <w:rsid w:val="00FE5582"/>
    <w:rsid w:val="00FE600D"/>
    <w:rsid w:val="00FE61A4"/>
    <w:rsid w:val="00FE64AD"/>
    <w:rsid w:val="00FE6C67"/>
    <w:rsid w:val="00FF2C61"/>
    <w:rsid w:val="00FF2D15"/>
    <w:rsid w:val="00FF3290"/>
    <w:rsid w:val="00FF3A24"/>
    <w:rsid w:val="00FF3A4A"/>
    <w:rsid w:val="00FF3E9D"/>
    <w:rsid w:val="00FF437D"/>
    <w:rsid w:val="00FF491A"/>
    <w:rsid w:val="00FF65C9"/>
    <w:rsid w:val="00FF7A6C"/>
    <w:rsid w:val="00FF7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2B0C"/>
  <w15:docId w15:val="{800674CE-A1DE-4C49-973A-D0A70F4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B09"/>
    <w:pPr>
      <w:suppressAutoHyphens/>
      <w:spacing w:after="160" w:line="254" w:lineRule="auto"/>
      <w:ind w:left="0" w:firstLine="0"/>
      <w:jc w:val="left"/>
    </w:pPr>
    <w:rPr>
      <w:rFonts w:ascii="Calibri" w:eastAsia="Calibri" w:hAnsi="Calibri" w:cs="Times New Roman"/>
      <w:lang w:val="en-GB" w:eastAsia="ar-SA"/>
    </w:rPr>
  </w:style>
  <w:style w:type="paragraph" w:styleId="Heading1">
    <w:name w:val="heading 1"/>
    <w:basedOn w:val="Normal"/>
    <w:next w:val="Normal"/>
    <w:link w:val="Heading1Char"/>
    <w:uiPriority w:val="9"/>
    <w:qFormat/>
    <w:rsid w:val="006932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56FA8"/>
    <w:pPr>
      <w:suppressAutoHyphens w:val="0"/>
      <w:spacing w:before="100" w:beforeAutospacing="1" w:after="100" w:afterAutospacing="1" w:line="240" w:lineRule="auto"/>
      <w:outlineLvl w:val="1"/>
    </w:pPr>
    <w:rPr>
      <w:rFonts w:ascii="Times New Roman" w:eastAsia="Times New Roman" w:hAnsi="Times New Roman"/>
      <w:b/>
      <w:bCs/>
      <w:sz w:val="36"/>
      <w:szCs w:val="36"/>
      <w:lang w:val="en-US" w:eastAsia="en-US"/>
    </w:rPr>
  </w:style>
  <w:style w:type="paragraph" w:styleId="Heading3">
    <w:name w:val="heading 3"/>
    <w:basedOn w:val="Normal"/>
    <w:next w:val="Normal"/>
    <w:link w:val="Heading3Char"/>
    <w:uiPriority w:val="9"/>
    <w:unhideWhenUsed/>
    <w:qFormat/>
    <w:rsid w:val="0046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D4"/>
    <w:rPr>
      <w:rFonts w:ascii="Calibri" w:eastAsia="Calibri" w:hAnsi="Calibri" w:cs="Times New Roman"/>
      <w:lang w:val="en-GB" w:eastAsia="ar-SA"/>
    </w:rPr>
  </w:style>
  <w:style w:type="paragraph" w:styleId="Footer">
    <w:name w:val="footer"/>
    <w:basedOn w:val="Normal"/>
    <w:link w:val="FooterChar"/>
    <w:uiPriority w:val="99"/>
    <w:unhideWhenUsed/>
    <w:rsid w:val="00352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D4"/>
    <w:rPr>
      <w:rFonts w:ascii="Calibri" w:eastAsia="Calibri" w:hAnsi="Calibri" w:cs="Times New Roman"/>
      <w:lang w:val="en-GB" w:eastAsia="ar-SA"/>
    </w:rPr>
  </w:style>
  <w:style w:type="paragraph" w:customStyle="1" w:styleId="oj-hd-uniq">
    <w:name w:val="oj-hd-uniq"/>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hd-date">
    <w:name w:val="oj-hd-date"/>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doc-ti">
    <w:name w:val="oj-doc-ti"/>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styleId="FootnoteText">
    <w:name w:val="footnote text"/>
    <w:basedOn w:val="Normal"/>
    <w:link w:val="FootnoteTextChar"/>
    <w:uiPriority w:val="99"/>
    <w:semiHidden/>
    <w:unhideWhenUsed/>
    <w:rsid w:val="004A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3B8"/>
    <w:rPr>
      <w:rFonts w:ascii="Calibri" w:eastAsia="Calibri" w:hAnsi="Calibri" w:cs="Times New Roman"/>
      <w:sz w:val="20"/>
      <w:szCs w:val="20"/>
      <w:lang w:val="en-GB" w:eastAsia="ar-SA"/>
    </w:rPr>
  </w:style>
  <w:style w:type="character" w:styleId="FootnoteReference">
    <w:name w:val="footnote reference"/>
    <w:basedOn w:val="DefaultParagraphFont"/>
    <w:uiPriority w:val="99"/>
    <w:semiHidden/>
    <w:unhideWhenUsed/>
    <w:rsid w:val="004A73B8"/>
    <w:rPr>
      <w:vertAlign w:val="superscript"/>
    </w:rPr>
  </w:style>
  <w:style w:type="character" w:styleId="CommentReference">
    <w:name w:val="annotation reference"/>
    <w:basedOn w:val="DefaultParagraphFont"/>
    <w:uiPriority w:val="99"/>
    <w:semiHidden/>
    <w:unhideWhenUsed/>
    <w:rsid w:val="00B9497B"/>
    <w:rPr>
      <w:sz w:val="16"/>
      <w:szCs w:val="16"/>
    </w:rPr>
  </w:style>
  <w:style w:type="paragraph" w:styleId="CommentText">
    <w:name w:val="annotation text"/>
    <w:basedOn w:val="Normal"/>
    <w:link w:val="CommentTextChar"/>
    <w:uiPriority w:val="99"/>
    <w:semiHidden/>
    <w:unhideWhenUsed/>
    <w:rsid w:val="00B9497B"/>
    <w:pPr>
      <w:spacing w:line="240" w:lineRule="auto"/>
    </w:pPr>
    <w:rPr>
      <w:sz w:val="20"/>
      <w:szCs w:val="20"/>
    </w:rPr>
  </w:style>
  <w:style w:type="character" w:customStyle="1" w:styleId="CommentTextChar">
    <w:name w:val="Comment Text Char"/>
    <w:basedOn w:val="DefaultParagraphFont"/>
    <w:link w:val="CommentText"/>
    <w:uiPriority w:val="99"/>
    <w:semiHidden/>
    <w:rsid w:val="00B9497B"/>
    <w:rPr>
      <w:rFonts w:ascii="Calibri" w:eastAsia="Calibri"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9497B"/>
    <w:rPr>
      <w:b/>
      <w:bCs/>
    </w:rPr>
  </w:style>
  <w:style w:type="character" w:customStyle="1" w:styleId="CommentSubjectChar">
    <w:name w:val="Comment Subject Char"/>
    <w:basedOn w:val="CommentTextChar"/>
    <w:link w:val="CommentSubject"/>
    <w:uiPriority w:val="99"/>
    <w:semiHidden/>
    <w:rsid w:val="00B9497B"/>
    <w:rPr>
      <w:rFonts w:ascii="Calibri" w:eastAsia="Calibri" w:hAnsi="Calibri" w:cs="Times New Roman"/>
      <w:b/>
      <w:bCs/>
      <w:sz w:val="20"/>
      <w:szCs w:val="20"/>
      <w:lang w:val="en-GB" w:eastAsia="ar-SA"/>
    </w:rPr>
  </w:style>
  <w:style w:type="paragraph" w:styleId="BalloonText">
    <w:name w:val="Balloon Text"/>
    <w:basedOn w:val="Normal"/>
    <w:link w:val="BalloonTextChar"/>
    <w:uiPriority w:val="99"/>
    <w:semiHidden/>
    <w:unhideWhenUsed/>
    <w:rsid w:val="00B94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7B"/>
    <w:rPr>
      <w:rFonts w:ascii="Segoe UI" w:eastAsia="Calibri" w:hAnsi="Segoe UI" w:cs="Segoe UI"/>
      <w:sz w:val="18"/>
      <w:szCs w:val="18"/>
      <w:lang w:val="en-GB" w:eastAsia="ar-SA"/>
    </w:rPr>
  </w:style>
  <w:style w:type="character" w:styleId="Hyperlink">
    <w:name w:val="Hyperlink"/>
    <w:basedOn w:val="DefaultParagraphFont"/>
    <w:uiPriority w:val="99"/>
    <w:unhideWhenUsed/>
    <w:rsid w:val="002E5E06"/>
    <w:rPr>
      <w:color w:val="0563C1" w:themeColor="hyperlink"/>
      <w:u w:val="single"/>
    </w:rPr>
  </w:style>
  <w:style w:type="paragraph" w:styleId="Revision">
    <w:name w:val="Revision"/>
    <w:hidden/>
    <w:uiPriority w:val="99"/>
    <w:semiHidden/>
    <w:rsid w:val="002D05EE"/>
    <w:pPr>
      <w:ind w:left="0" w:firstLine="0"/>
      <w:jc w:val="left"/>
    </w:pPr>
    <w:rPr>
      <w:rFonts w:ascii="Calibri" w:eastAsia="Calibri" w:hAnsi="Calibri" w:cs="Times New Roman"/>
      <w:lang w:val="en-GB" w:eastAsia="ar-SA"/>
    </w:rPr>
  </w:style>
  <w:style w:type="paragraph" w:styleId="NormalWeb">
    <w:name w:val="Normal (Web)"/>
    <w:basedOn w:val="Normal"/>
    <w:uiPriority w:val="99"/>
    <w:unhideWhenUsed/>
    <w:rsid w:val="00E56F8B"/>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E56F8B"/>
    <w:rPr>
      <w:b/>
      <w:bCs/>
    </w:rPr>
  </w:style>
  <w:style w:type="paragraph" w:styleId="ListParagraph">
    <w:name w:val="List Paragraph"/>
    <w:basedOn w:val="Normal"/>
    <w:uiPriority w:val="34"/>
    <w:qFormat/>
    <w:rsid w:val="00B629E2"/>
    <w:pPr>
      <w:ind w:left="720"/>
      <w:contextualSpacing/>
    </w:pPr>
  </w:style>
  <w:style w:type="character" w:customStyle="1" w:styleId="Heading2Char">
    <w:name w:val="Heading 2 Char"/>
    <w:basedOn w:val="DefaultParagraphFont"/>
    <w:link w:val="Heading2"/>
    <w:uiPriority w:val="9"/>
    <w:rsid w:val="00556FA8"/>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664F9"/>
    <w:rPr>
      <w:rFonts w:asciiTheme="majorHAnsi" w:eastAsiaTheme="majorEastAsia" w:hAnsiTheme="majorHAnsi" w:cstheme="majorBidi"/>
      <w:color w:val="1F4D78" w:themeColor="accent1" w:themeShade="7F"/>
      <w:sz w:val="24"/>
      <w:szCs w:val="24"/>
      <w:lang w:val="en-GB" w:eastAsia="ar-SA"/>
    </w:rPr>
  </w:style>
  <w:style w:type="paragraph" w:customStyle="1" w:styleId="Paragrafi">
    <w:name w:val="Paragrafi"/>
    <w:rsid w:val="00683403"/>
    <w:pPr>
      <w:widowControl w:val="0"/>
      <w:ind w:left="0" w:firstLine="720"/>
    </w:pPr>
    <w:rPr>
      <w:rFonts w:ascii="CG Times" w:eastAsia="Times New Roman" w:hAnsi="CG Times" w:cs="Times New Roman"/>
      <w:szCs w:val="20"/>
      <w:lang w:val="en-US"/>
    </w:rPr>
  </w:style>
  <w:style w:type="character" w:customStyle="1" w:styleId="Heading1Char">
    <w:name w:val="Heading 1 Char"/>
    <w:basedOn w:val="DefaultParagraphFont"/>
    <w:link w:val="Heading1"/>
    <w:uiPriority w:val="9"/>
    <w:rsid w:val="006932E3"/>
    <w:rPr>
      <w:rFonts w:asciiTheme="majorHAnsi" w:eastAsiaTheme="majorEastAsia" w:hAnsiTheme="majorHAnsi" w:cstheme="majorBidi"/>
      <w:color w:val="2E74B5" w:themeColor="accent1" w:themeShade="BF"/>
      <w:sz w:val="32"/>
      <w:szCs w:val="32"/>
      <w:lang w:val="en-GB" w:eastAsia="ar-SA"/>
    </w:rPr>
  </w:style>
  <w:style w:type="paragraph" w:customStyle="1" w:styleId="Titulli">
    <w:name w:val="Titulli"/>
    <w:next w:val="Normal"/>
    <w:link w:val="TitulliChar"/>
    <w:rsid w:val="00041634"/>
    <w:pPr>
      <w:keepNext/>
      <w:widowControl w:val="0"/>
      <w:ind w:left="0" w:firstLine="0"/>
      <w:jc w:val="center"/>
      <w:outlineLvl w:val="1"/>
    </w:pPr>
    <w:rPr>
      <w:rFonts w:ascii="CG Times" w:eastAsia="Times New Roman" w:hAnsi="CG Times" w:cs="Times New Roman"/>
      <w:b/>
      <w:caps/>
      <w:lang w:val="en-GB"/>
    </w:rPr>
  </w:style>
  <w:style w:type="character" w:customStyle="1" w:styleId="TitulliChar">
    <w:name w:val="Titulli Char"/>
    <w:link w:val="Titulli"/>
    <w:rsid w:val="00041634"/>
    <w:rPr>
      <w:rFonts w:ascii="CG Times" w:eastAsia="Times New Roman" w:hAnsi="CG Times" w:cs="Times New Roman"/>
      <w:b/>
      <w:caps/>
      <w:lang w:val="en-GB"/>
    </w:rPr>
  </w:style>
  <w:style w:type="paragraph" w:customStyle="1" w:styleId="NeniNr">
    <w:name w:val="Neni_Nr"/>
    <w:next w:val="Normal"/>
    <w:rsid w:val="00F727DA"/>
    <w:pPr>
      <w:keepNext/>
      <w:widowControl w:val="0"/>
      <w:ind w:left="0" w:firstLine="0"/>
      <w:jc w:val="center"/>
    </w:pPr>
    <w:rPr>
      <w:rFonts w:ascii="CG Times" w:eastAsia="Times New Roman" w:hAnsi="CG Times" w:cs="Times New Roman"/>
      <w:szCs w:val="20"/>
      <w:lang w:val="en-GB"/>
    </w:rPr>
  </w:style>
  <w:style w:type="character" w:customStyle="1" w:styleId="NeniTitullChar">
    <w:name w:val="Neni_Titull Char"/>
    <w:link w:val="NeniTitull"/>
    <w:locked/>
    <w:rsid w:val="00F727DA"/>
    <w:rPr>
      <w:rFonts w:ascii="CG Times" w:eastAsia="Times New Roman" w:hAnsi="CG Times" w:cs="Times New Roman"/>
      <w:b/>
      <w:szCs w:val="20"/>
      <w:lang w:val="en-GB"/>
    </w:rPr>
  </w:style>
  <w:style w:type="paragraph" w:customStyle="1" w:styleId="NeniTitull">
    <w:name w:val="Neni_Titull"/>
    <w:next w:val="Normal"/>
    <w:link w:val="NeniTitullChar"/>
    <w:rsid w:val="00F727DA"/>
    <w:pPr>
      <w:keepNext/>
      <w:widowControl w:val="0"/>
      <w:ind w:left="0" w:firstLine="0"/>
      <w:jc w:val="center"/>
      <w:outlineLvl w:val="2"/>
    </w:pPr>
    <w:rPr>
      <w:rFonts w:ascii="CG Times" w:eastAsia="Times New Roman" w:hAnsi="CG Times"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98">
      <w:bodyDiv w:val="1"/>
      <w:marLeft w:val="0"/>
      <w:marRight w:val="0"/>
      <w:marTop w:val="0"/>
      <w:marBottom w:val="0"/>
      <w:divBdr>
        <w:top w:val="none" w:sz="0" w:space="0" w:color="auto"/>
        <w:left w:val="none" w:sz="0" w:space="0" w:color="auto"/>
        <w:bottom w:val="none" w:sz="0" w:space="0" w:color="auto"/>
        <w:right w:val="none" w:sz="0" w:space="0" w:color="auto"/>
      </w:divBdr>
    </w:div>
    <w:div w:id="7369022">
      <w:bodyDiv w:val="1"/>
      <w:marLeft w:val="0"/>
      <w:marRight w:val="0"/>
      <w:marTop w:val="0"/>
      <w:marBottom w:val="0"/>
      <w:divBdr>
        <w:top w:val="none" w:sz="0" w:space="0" w:color="auto"/>
        <w:left w:val="none" w:sz="0" w:space="0" w:color="auto"/>
        <w:bottom w:val="none" w:sz="0" w:space="0" w:color="auto"/>
        <w:right w:val="none" w:sz="0" w:space="0" w:color="auto"/>
      </w:divBdr>
    </w:div>
    <w:div w:id="12150133">
      <w:bodyDiv w:val="1"/>
      <w:marLeft w:val="0"/>
      <w:marRight w:val="0"/>
      <w:marTop w:val="0"/>
      <w:marBottom w:val="0"/>
      <w:divBdr>
        <w:top w:val="none" w:sz="0" w:space="0" w:color="auto"/>
        <w:left w:val="none" w:sz="0" w:space="0" w:color="auto"/>
        <w:bottom w:val="none" w:sz="0" w:space="0" w:color="auto"/>
        <w:right w:val="none" w:sz="0" w:space="0" w:color="auto"/>
      </w:divBdr>
    </w:div>
    <w:div w:id="12926354">
      <w:bodyDiv w:val="1"/>
      <w:marLeft w:val="0"/>
      <w:marRight w:val="0"/>
      <w:marTop w:val="0"/>
      <w:marBottom w:val="0"/>
      <w:divBdr>
        <w:top w:val="none" w:sz="0" w:space="0" w:color="auto"/>
        <w:left w:val="none" w:sz="0" w:space="0" w:color="auto"/>
        <w:bottom w:val="none" w:sz="0" w:space="0" w:color="auto"/>
        <w:right w:val="none" w:sz="0" w:space="0" w:color="auto"/>
      </w:divBdr>
    </w:div>
    <w:div w:id="15933660">
      <w:bodyDiv w:val="1"/>
      <w:marLeft w:val="0"/>
      <w:marRight w:val="0"/>
      <w:marTop w:val="0"/>
      <w:marBottom w:val="0"/>
      <w:divBdr>
        <w:top w:val="none" w:sz="0" w:space="0" w:color="auto"/>
        <w:left w:val="none" w:sz="0" w:space="0" w:color="auto"/>
        <w:bottom w:val="none" w:sz="0" w:space="0" w:color="auto"/>
        <w:right w:val="none" w:sz="0" w:space="0" w:color="auto"/>
      </w:divBdr>
    </w:div>
    <w:div w:id="21826388">
      <w:bodyDiv w:val="1"/>
      <w:marLeft w:val="0"/>
      <w:marRight w:val="0"/>
      <w:marTop w:val="0"/>
      <w:marBottom w:val="0"/>
      <w:divBdr>
        <w:top w:val="none" w:sz="0" w:space="0" w:color="auto"/>
        <w:left w:val="none" w:sz="0" w:space="0" w:color="auto"/>
        <w:bottom w:val="none" w:sz="0" w:space="0" w:color="auto"/>
        <w:right w:val="none" w:sz="0" w:space="0" w:color="auto"/>
      </w:divBdr>
    </w:div>
    <w:div w:id="22825052">
      <w:bodyDiv w:val="1"/>
      <w:marLeft w:val="0"/>
      <w:marRight w:val="0"/>
      <w:marTop w:val="0"/>
      <w:marBottom w:val="0"/>
      <w:divBdr>
        <w:top w:val="none" w:sz="0" w:space="0" w:color="auto"/>
        <w:left w:val="none" w:sz="0" w:space="0" w:color="auto"/>
        <w:bottom w:val="none" w:sz="0" w:space="0" w:color="auto"/>
        <w:right w:val="none" w:sz="0" w:space="0" w:color="auto"/>
      </w:divBdr>
    </w:div>
    <w:div w:id="26563684">
      <w:bodyDiv w:val="1"/>
      <w:marLeft w:val="0"/>
      <w:marRight w:val="0"/>
      <w:marTop w:val="0"/>
      <w:marBottom w:val="0"/>
      <w:divBdr>
        <w:top w:val="none" w:sz="0" w:space="0" w:color="auto"/>
        <w:left w:val="none" w:sz="0" w:space="0" w:color="auto"/>
        <w:bottom w:val="none" w:sz="0" w:space="0" w:color="auto"/>
        <w:right w:val="none" w:sz="0" w:space="0" w:color="auto"/>
      </w:divBdr>
    </w:div>
    <w:div w:id="27754360">
      <w:bodyDiv w:val="1"/>
      <w:marLeft w:val="0"/>
      <w:marRight w:val="0"/>
      <w:marTop w:val="0"/>
      <w:marBottom w:val="0"/>
      <w:divBdr>
        <w:top w:val="none" w:sz="0" w:space="0" w:color="auto"/>
        <w:left w:val="none" w:sz="0" w:space="0" w:color="auto"/>
        <w:bottom w:val="none" w:sz="0" w:space="0" w:color="auto"/>
        <w:right w:val="none" w:sz="0" w:space="0" w:color="auto"/>
      </w:divBdr>
    </w:div>
    <w:div w:id="32385358">
      <w:bodyDiv w:val="1"/>
      <w:marLeft w:val="0"/>
      <w:marRight w:val="0"/>
      <w:marTop w:val="0"/>
      <w:marBottom w:val="0"/>
      <w:divBdr>
        <w:top w:val="none" w:sz="0" w:space="0" w:color="auto"/>
        <w:left w:val="none" w:sz="0" w:space="0" w:color="auto"/>
        <w:bottom w:val="none" w:sz="0" w:space="0" w:color="auto"/>
        <w:right w:val="none" w:sz="0" w:space="0" w:color="auto"/>
      </w:divBdr>
    </w:div>
    <w:div w:id="32659688">
      <w:bodyDiv w:val="1"/>
      <w:marLeft w:val="0"/>
      <w:marRight w:val="0"/>
      <w:marTop w:val="0"/>
      <w:marBottom w:val="0"/>
      <w:divBdr>
        <w:top w:val="none" w:sz="0" w:space="0" w:color="auto"/>
        <w:left w:val="none" w:sz="0" w:space="0" w:color="auto"/>
        <w:bottom w:val="none" w:sz="0" w:space="0" w:color="auto"/>
        <w:right w:val="none" w:sz="0" w:space="0" w:color="auto"/>
      </w:divBdr>
    </w:div>
    <w:div w:id="33896234">
      <w:bodyDiv w:val="1"/>
      <w:marLeft w:val="0"/>
      <w:marRight w:val="0"/>
      <w:marTop w:val="0"/>
      <w:marBottom w:val="0"/>
      <w:divBdr>
        <w:top w:val="none" w:sz="0" w:space="0" w:color="auto"/>
        <w:left w:val="none" w:sz="0" w:space="0" w:color="auto"/>
        <w:bottom w:val="none" w:sz="0" w:space="0" w:color="auto"/>
        <w:right w:val="none" w:sz="0" w:space="0" w:color="auto"/>
      </w:divBdr>
    </w:div>
    <w:div w:id="34082364">
      <w:bodyDiv w:val="1"/>
      <w:marLeft w:val="0"/>
      <w:marRight w:val="0"/>
      <w:marTop w:val="0"/>
      <w:marBottom w:val="0"/>
      <w:divBdr>
        <w:top w:val="none" w:sz="0" w:space="0" w:color="auto"/>
        <w:left w:val="none" w:sz="0" w:space="0" w:color="auto"/>
        <w:bottom w:val="none" w:sz="0" w:space="0" w:color="auto"/>
        <w:right w:val="none" w:sz="0" w:space="0" w:color="auto"/>
      </w:divBdr>
      <w:divsChild>
        <w:div w:id="688724764">
          <w:marLeft w:val="0"/>
          <w:marRight w:val="0"/>
          <w:marTop w:val="0"/>
          <w:marBottom w:val="0"/>
          <w:divBdr>
            <w:top w:val="none" w:sz="0" w:space="0" w:color="auto"/>
            <w:left w:val="none" w:sz="0" w:space="0" w:color="auto"/>
            <w:bottom w:val="none" w:sz="0" w:space="0" w:color="auto"/>
            <w:right w:val="none" w:sz="0" w:space="0" w:color="auto"/>
          </w:divBdr>
          <w:divsChild>
            <w:div w:id="254095938">
              <w:marLeft w:val="0"/>
              <w:marRight w:val="0"/>
              <w:marTop w:val="0"/>
              <w:marBottom w:val="0"/>
              <w:divBdr>
                <w:top w:val="none" w:sz="0" w:space="0" w:color="auto"/>
                <w:left w:val="none" w:sz="0" w:space="0" w:color="auto"/>
                <w:bottom w:val="none" w:sz="0" w:space="0" w:color="auto"/>
                <w:right w:val="none" w:sz="0" w:space="0" w:color="auto"/>
              </w:divBdr>
              <w:divsChild>
                <w:div w:id="1012605481">
                  <w:marLeft w:val="0"/>
                  <w:marRight w:val="0"/>
                  <w:marTop w:val="0"/>
                  <w:marBottom w:val="0"/>
                  <w:divBdr>
                    <w:top w:val="none" w:sz="0" w:space="0" w:color="auto"/>
                    <w:left w:val="none" w:sz="0" w:space="0" w:color="auto"/>
                    <w:bottom w:val="none" w:sz="0" w:space="0" w:color="auto"/>
                    <w:right w:val="none" w:sz="0" w:space="0" w:color="auto"/>
                  </w:divBdr>
                  <w:divsChild>
                    <w:div w:id="106852405">
                      <w:marLeft w:val="0"/>
                      <w:marRight w:val="0"/>
                      <w:marTop w:val="0"/>
                      <w:marBottom w:val="0"/>
                      <w:divBdr>
                        <w:top w:val="none" w:sz="0" w:space="0" w:color="auto"/>
                        <w:left w:val="none" w:sz="0" w:space="0" w:color="auto"/>
                        <w:bottom w:val="none" w:sz="0" w:space="0" w:color="auto"/>
                        <w:right w:val="none" w:sz="0" w:space="0" w:color="auto"/>
                      </w:divBdr>
                      <w:divsChild>
                        <w:div w:id="1066614408">
                          <w:marLeft w:val="0"/>
                          <w:marRight w:val="0"/>
                          <w:marTop w:val="0"/>
                          <w:marBottom w:val="0"/>
                          <w:divBdr>
                            <w:top w:val="none" w:sz="0" w:space="0" w:color="auto"/>
                            <w:left w:val="none" w:sz="0" w:space="0" w:color="auto"/>
                            <w:bottom w:val="none" w:sz="0" w:space="0" w:color="auto"/>
                            <w:right w:val="none" w:sz="0" w:space="0" w:color="auto"/>
                          </w:divBdr>
                          <w:divsChild>
                            <w:div w:id="782916222">
                              <w:marLeft w:val="0"/>
                              <w:marRight w:val="0"/>
                              <w:marTop w:val="0"/>
                              <w:marBottom w:val="0"/>
                              <w:divBdr>
                                <w:top w:val="none" w:sz="0" w:space="0" w:color="auto"/>
                                <w:left w:val="none" w:sz="0" w:space="0" w:color="auto"/>
                                <w:bottom w:val="none" w:sz="0" w:space="0" w:color="auto"/>
                                <w:right w:val="none" w:sz="0" w:space="0" w:color="auto"/>
                              </w:divBdr>
                              <w:divsChild>
                                <w:div w:id="1026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04854">
      <w:bodyDiv w:val="1"/>
      <w:marLeft w:val="0"/>
      <w:marRight w:val="0"/>
      <w:marTop w:val="0"/>
      <w:marBottom w:val="0"/>
      <w:divBdr>
        <w:top w:val="none" w:sz="0" w:space="0" w:color="auto"/>
        <w:left w:val="none" w:sz="0" w:space="0" w:color="auto"/>
        <w:bottom w:val="none" w:sz="0" w:space="0" w:color="auto"/>
        <w:right w:val="none" w:sz="0" w:space="0" w:color="auto"/>
      </w:divBdr>
    </w:div>
    <w:div w:id="48187905">
      <w:bodyDiv w:val="1"/>
      <w:marLeft w:val="0"/>
      <w:marRight w:val="0"/>
      <w:marTop w:val="0"/>
      <w:marBottom w:val="0"/>
      <w:divBdr>
        <w:top w:val="none" w:sz="0" w:space="0" w:color="auto"/>
        <w:left w:val="none" w:sz="0" w:space="0" w:color="auto"/>
        <w:bottom w:val="none" w:sz="0" w:space="0" w:color="auto"/>
        <w:right w:val="none" w:sz="0" w:space="0" w:color="auto"/>
      </w:divBdr>
    </w:div>
    <w:div w:id="56706108">
      <w:bodyDiv w:val="1"/>
      <w:marLeft w:val="0"/>
      <w:marRight w:val="0"/>
      <w:marTop w:val="0"/>
      <w:marBottom w:val="0"/>
      <w:divBdr>
        <w:top w:val="none" w:sz="0" w:space="0" w:color="auto"/>
        <w:left w:val="none" w:sz="0" w:space="0" w:color="auto"/>
        <w:bottom w:val="none" w:sz="0" w:space="0" w:color="auto"/>
        <w:right w:val="none" w:sz="0" w:space="0" w:color="auto"/>
      </w:divBdr>
    </w:div>
    <w:div w:id="65305573">
      <w:bodyDiv w:val="1"/>
      <w:marLeft w:val="0"/>
      <w:marRight w:val="0"/>
      <w:marTop w:val="0"/>
      <w:marBottom w:val="0"/>
      <w:divBdr>
        <w:top w:val="none" w:sz="0" w:space="0" w:color="auto"/>
        <w:left w:val="none" w:sz="0" w:space="0" w:color="auto"/>
        <w:bottom w:val="none" w:sz="0" w:space="0" w:color="auto"/>
        <w:right w:val="none" w:sz="0" w:space="0" w:color="auto"/>
      </w:divBdr>
    </w:div>
    <w:div w:id="65418487">
      <w:bodyDiv w:val="1"/>
      <w:marLeft w:val="0"/>
      <w:marRight w:val="0"/>
      <w:marTop w:val="0"/>
      <w:marBottom w:val="0"/>
      <w:divBdr>
        <w:top w:val="none" w:sz="0" w:space="0" w:color="auto"/>
        <w:left w:val="none" w:sz="0" w:space="0" w:color="auto"/>
        <w:bottom w:val="none" w:sz="0" w:space="0" w:color="auto"/>
        <w:right w:val="none" w:sz="0" w:space="0" w:color="auto"/>
      </w:divBdr>
    </w:div>
    <w:div w:id="65959725">
      <w:bodyDiv w:val="1"/>
      <w:marLeft w:val="0"/>
      <w:marRight w:val="0"/>
      <w:marTop w:val="0"/>
      <w:marBottom w:val="0"/>
      <w:divBdr>
        <w:top w:val="none" w:sz="0" w:space="0" w:color="auto"/>
        <w:left w:val="none" w:sz="0" w:space="0" w:color="auto"/>
        <w:bottom w:val="none" w:sz="0" w:space="0" w:color="auto"/>
        <w:right w:val="none" w:sz="0" w:space="0" w:color="auto"/>
      </w:divBdr>
    </w:div>
    <w:div w:id="67926481">
      <w:bodyDiv w:val="1"/>
      <w:marLeft w:val="0"/>
      <w:marRight w:val="0"/>
      <w:marTop w:val="0"/>
      <w:marBottom w:val="0"/>
      <w:divBdr>
        <w:top w:val="none" w:sz="0" w:space="0" w:color="auto"/>
        <w:left w:val="none" w:sz="0" w:space="0" w:color="auto"/>
        <w:bottom w:val="none" w:sz="0" w:space="0" w:color="auto"/>
        <w:right w:val="none" w:sz="0" w:space="0" w:color="auto"/>
      </w:divBdr>
    </w:div>
    <w:div w:id="70010851">
      <w:bodyDiv w:val="1"/>
      <w:marLeft w:val="0"/>
      <w:marRight w:val="0"/>
      <w:marTop w:val="0"/>
      <w:marBottom w:val="0"/>
      <w:divBdr>
        <w:top w:val="none" w:sz="0" w:space="0" w:color="auto"/>
        <w:left w:val="none" w:sz="0" w:space="0" w:color="auto"/>
        <w:bottom w:val="none" w:sz="0" w:space="0" w:color="auto"/>
        <w:right w:val="none" w:sz="0" w:space="0" w:color="auto"/>
      </w:divBdr>
    </w:div>
    <w:div w:id="78210425">
      <w:bodyDiv w:val="1"/>
      <w:marLeft w:val="0"/>
      <w:marRight w:val="0"/>
      <w:marTop w:val="0"/>
      <w:marBottom w:val="0"/>
      <w:divBdr>
        <w:top w:val="none" w:sz="0" w:space="0" w:color="auto"/>
        <w:left w:val="none" w:sz="0" w:space="0" w:color="auto"/>
        <w:bottom w:val="none" w:sz="0" w:space="0" w:color="auto"/>
        <w:right w:val="none" w:sz="0" w:space="0" w:color="auto"/>
      </w:divBdr>
    </w:div>
    <w:div w:id="78989832">
      <w:bodyDiv w:val="1"/>
      <w:marLeft w:val="0"/>
      <w:marRight w:val="0"/>
      <w:marTop w:val="0"/>
      <w:marBottom w:val="0"/>
      <w:divBdr>
        <w:top w:val="none" w:sz="0" w:space="0" w:color="auto"/>
        <w:left w:val="none" w:sz="0" w:space="0" w:color="auto"/>
        <w:bottom w:val="none" w:sz="0" w:space="0" w:color="auto"/>
        <w:right w:val="none" w:sz="0" w:space="0" w:color="auto"/>
      </w:divBdr>
    </w:div>
    <w:div w:id="84571099">
      <w:bodyDiv w:val="1"/>
      <w:marLeft w:val="0"/>
      <w:marRight w:val="0"/>
      <w:marTop w:val="0"/>
      <w:marBottom w:val="0"/>
      <w:divBdr>
        <w:top w:val="none" w:sz="0" w:space="0" w:color="auto"/>
        <w:left w:val="none" w:sz="0" w:space="0" w:color="auto"/>
        <w:bottom w:val="none" w:sz="0" w:space="0" w:color="auto"/>
        <w:right w:val="none" w:sz="0" w:space="0" w:color="auto"/>
      </w:divBdr>
    </w:div>
    <w:div w:id="85226057">
      <w:bodyDiv w:val="1"/>
      <w:marLeft w:val="0"/>
      <w:marRight w:val="0"/>
      <w:marTop w:val="0"/>
      <w:marBottom w:val="0"/>
      <w:divBdr>
        <w:top w:val="none" w:sz="0" w:space="0" w:color="auto"/>
        <w:left w:val="none" w:sz="0" w:space="0" w:color="auto"/>
        <w:bottom w:val="none" w:sz="0" w:space="0" w:color="auto"/>
        <w:right w:val="none" w:sz="0" w:space="0" w:color="auto"/>
      </w:divBdr>
    </w:div>
    <w:div w:id="85735976">
      <w:bodyDiv w:val="1"/>
      <w:marLeft w:val="0"/>
      <w:marRight w:val="0"/>
      <w:marTop w:val="0"/>
      <w:marBottom w:val="0"/>
      <w:divBdr>
        <w:top w:val="none" w:sz="0" w:space="0" w:color="auto"/>
        <w:left w:val="none" w:sz="0" w:space="0" w:color="auto"/>
        <w:bottom w:val="none" w:sz="0" w:space="0" w:color="auto"/>
        <w:right w:val="none" w:sz="0" w:space="0" w:color="auto"/>
      </w:divBdr>
      <w:divsChild>
        <w:div w:id="159941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07390">
      <w:bodyDiv w:val="1"/>
      <w:marLeft w:val="0"/>
      <w:marRight w:val="0"/>
      <w:marTop w:val="0"/>
      <w:marBottom w:val="0"/>
      <w:divBdr>
        <w:top w:val="none" w:sz="0" w:space="0" w:color="auto"/>
        <w:left w:val="none" w:sz="0" w:space="0" w:color="auto"/>
        <w:bottom w:val="none" w:sz="0" w:space="0" w:color="auto"/>
        <w:right w:val="none" w:sz="0" w:space="0" w:color="auto"/>
      </w:divBdr>
    </w:div>
    <w:div w:id="93944859">
      <w:bodyDiv w:val="1"/>
      <w:marLeft w:val="0"/>
      <w:marRight w:val="0"/>
      <w:marTop w:val="0"/>
      <w:marBottom w:val="0"/>
      <w:divBdr>
        <w:top w:val="none" w:sz="0" w:space="0" w:color="auto"/>
        <w:left w:val="none" w:sz="0" w:space="0" w:color="auto"/>
        <w:bottom w:val="none" w:sz="0" w:space="0" w:color="auto"/>
        <w:right w:val="none" w:sz="0" w:space="0" w:color="auto"/>
      </w:divBdr>
    </w:div>
    <w:div w:id="94058816">
      <w:bodyDiv w:val="1"/>
      <w:marLeft w:val="0"/>
      <w:marRight w:val="0"/>
      <w:marTop w:val="0"/>
      <w:marBottom w:val="0"/>
      <w:divBdr>
        <w:top w:val="none" w:sz="0" w:space="0" w:color="auto"/>
        <w:left w:val="none" w:sz="0" w:space="0" w:color="auto"/>
        <w:bottom w:val="none" w:sz="0" w:space="0" w:color="auto"/>
        <w:right w:val="none" w:sz="0" w:space="0" w:color="auto"/>
      </w:divBdr>
    </w:div>
    <w:div w:id="94252101">
      <w:bodyDiv w:val="1"/>
      <w:marLeft w:val="0"/>
      <w:marRight w:val="0"/>
      <w:marTop w:val="0"/>
      <w:marBottom w:val="0"/>
      <w:divBdr>
        <w:top w:val="none" w:sz="0" w:space="0" w:color="auto"/>
        <w:left w:val="none" w:sz="0" w:space="0" w:color="auto"/>
        <w:bottom w:val="none" w:sz="0" w:space="0" w:color="auto"/>
        <w:right w:val="none" w:sz="0" w:space="0" w:color="auto"/>
      </w:divBdr>
    </w:div>
    <w:div w:id="94832368">
      <w:bodyDiv w:val="1"/>
      <w:marLeft w:val="0"/>
      <w:marRight w:val="0"/>
      <w:marTop w:val="0"/>
      <w:marBottom w:val="0"/>
      <w:divBdr>
        <w:top w:val="none" w:sz="0" w:space="0" w:color="auto"/>
        <w:left w:val="none" w:sz="0" w:space="0" w:color="auto"/>
        <w:bottom w:val="none" w:sz="0" w:space="0" w:color="auto"/>
        <w:right w:val="none" w:sz="0" w:space="0" w:color="auto"/>
      </w:divBdr>
    </w:div>
    <w:div w:id="96679299">
      <w:bodyDiv w:val="1"/>
      <w:marLeft w:val="0"/>
      <w:marRight w:val="0"/>
      <w:marTop w:val="0"/>
      <w:marBottom w:val="0"/>
      <w:divBdr>
        <w:top w:val="none" w:sz="0" w:space="0" w:color="auto"/>
        <w:left w:val="none" w:sz="0" w:space="0" w:color="auto"/>
        <w:bottom w:val="none" w:sz="0" w:space="0" w:color="auto"/>
        <w:right w:val="none" w:sz="0" w:space="0" w:color="auto"/>
      </w:divBdr>
    </w:div>
    <w:div w:id="105662973">
      <w:bodyDiv w:val="1"/>
      <w:marLeft w:val="0"/>
      <w:marRight w:val="0"/>
      <w:marTop w:val="0"/>
      <w:marBottom w:val="0"/>
      <w:divBdr>
        <w:top w:val="none" w:sz="0" w:space="0" w:color="auto"/>
        <w:left w:val="none" w:sz="0" w:space="0" w:color="auto"/>
        <w:bottom w:val="none" w:sz="0" w:space="0" w:color="auto"/>
        <w:right w:val="none" w:sz="0" w:space="0" w:color="auto"/>
      </w:divBdr>
    </w:div>
    <w:div w:id="110587094">
      <w:bodyDiv w:val="1"/>
      <w:marLeft w:val="0"/>
      <w:marRight w:val="0"/>
      <w:marTop w:val="0"/>
      <w:marBottom w:val="0"/>
      <w:divBdr>
        <w:top w:val="none" w:sz="0" w:space="0" w:color="auto"/>
        <w:left w:val="none" w:sz="0" w:space="0" w:color="auto"/>
        <w:bottom w:val="none" w:sz="0" w:space="0" w:color="auto"/>
        <w:right w:val="none" w:sz="0" w:space="0" w:color="auto"/>
      </w:divBdr>
    </w:div>
    <w:div w:id="113141564">
      <w:bodyDiv w:val="1"/>
      <w:marLeft w:val="0"/>
      <w:marRight w:val="0"/>
      <w:marTop w:val="0"/>
      <w:marBottom w:val="0"/>
      <w:divBdr>
        <w:top w:val="none" w:sz="0" w:space="0" w:color="auto"/>
        <w:left w:val="none" w:sz="0" w:space="0" w:color="auto"/>
        <w:bottom w:val="none" w:sz="0" w:space="0" w:color="auto"/>
        <w:right w:val="none" w:sz="0" w:space="0" w:color="auto"/>
      </w:divBdr>
      <w:divsChild>
        <w:div w:id="932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34413">
      <w:bodyDiv w:val="1"/>
      <w:marLeft w:val="0"/>
      <w:marRight w:val="0"/>
      <w:marTop w:val="0"/>
      <w:marBottom w:val="0"/>
      <w:divBdr>
        <w:top w:val="none" w:sz="0" w:space="0" w:color="auto"/>
        <w:left w:val="none" w:sz="0" w:space="0" w:color="auto"/>
        <w:bottom w:val="none" w:sz="0" w:space="0" w:color="auto"/>
        <w:right w:val="none" w:sz="0" w:space="0" w:color="auto"/>
      </w:divBdr>
    </w:div>
    <w:div w:id="115220140">
      <w:bodyDiv w:val="1"/>
      <w:marLeft w:val="0"/>
      <w:marRight w:val="0"/>
      <w:marTop w:val="0"/>
      <w:marBottom w:val="0"/>
      <w:divBdr>
        <w:top w:val="none" w:sz="0" w:space="0" w:color="auto"/>
        <w:left w:val="none" w:sz="0" w:space="0" w:color="auto"/>
        <w:bottom w:val="none" w:sz="0" w:space="0" w:color="auto"/>
        <w:right w:val="none" w:sz="0" w:space="0" w:color="auto"/>
      </w:divBdr>
    </w:div>
    <w:div w:id="121459188">
      <w:bodyDiv w:val="1"/>
      <w:marLeft w:val="0"/>
      <w:marRight w:val="0"/>
      <w:marTop w:val="0"/>
      <w:marBottom w:val="0"/>
      <w:divBdr>
        <w:top w:val="none" w:sz="0" w:space="0" w:color="auto"/>
        <w:left w:val="none" w:sz="0" w:space="0" w:color="auto"/>
        <w:bottom w:val="none" w:sz="0" w:space="0" w:color="auto"/>
        <w:right w:val="none" w:sz="0" w:space="0" w:color="auto"/>
      </w:divBdr>
    </w:div>
    <w:div w:id="122845908">
      <w:bodyDiv w:val="1"/>
      <w:marLeft w:val="0"/>
      <w:marRight w:val="0"/>
      <w:marTop w:val="0"/>
      <w:marBottom w:val="0"/>
      <w:divBdr>
        <w:top w:val="none" w:sz="0" w:space="0" w:color="auto"/>
        <w:left w:val="none" w:sz="0" w:space="0" w:color="auto"/>
        <w:bottom w:val="none" w:sz="0" w:space="0" w:color="auto"/>
        <w:right w:val="none" w:sz="0" w:space="0" w:color="auto"/>
      </w:divBdr>
    </w:div>
    <w:div w:id="123932798">
      <w:bodyDiv w:val="1"/>
      <w:marLeft w:val="0"/>
      <w:marRight w:val="0"/>
      <w:marTop w:val="0"/>
      <w:marBottom w:val="0"/>
      <w:divBdr>
        <w:top w:val="none" w:sz="0" w:space="0" w:color="auto"/>
        <w:left w:val="none" w:sz="0" w:space="0" w:color="auto"/>
        <w:bottom w:val="none" w:sz="0" w:space="0" w:color="auto"/>
        <w:right w:val="none" w:sz="0" w:space="0" w:color="auto"/>
      </w:divBdr>
    </w:div>
    <w:div w:id="128210685">
      <w:bodyDiv w:val="1"/>
      <w:marLeft w:val="0"/>
      <w:marRight w:val="0"/>
      <w:marTop w:val="0"/>
      <w:marBottom w:val="0"/>
      <w:divBdr>
        <w:top w:val="none" w:sz="0" w:space="0" w:color="auto"/>
        <w:left w:val="none" w:sz="0" w:space="0" w:color="auto"/>
        <w:bottom w:val="none" w:sz="0" w:space="0" w:color="auto"/>
        <w:right w:val="none" w:sz="0" w:space="0" w:color="auto"/>
      </w:divBdr>
    </w:div>
    <w:div w:id="129329050">
      <w:bodyDiv w:val="1"/>
      <w:marLeft w:val="0"/>
      <w:marRight w:val="0"/>
      <w:marTop w:val="0"/>
      <w:marBottom w:val="0"/>
      <w:divBdr>
        <w:top w:val="none" w:sz="0" w:space="0" w:color="auto"/>
        <w:left w:val="none" w:sz="0" w:space="0" w:color="auto"/>
        <w:bottom w:val="none" w:sz="0" w:space="0" w:color="auto"/>
        <w:right w:val="none" w:sz="0" w:space="0" w:color="auto"/>
      </w:divBdr>
    </w:div>
    <w:div w:id="135688644">
      <w:bodyDiv w:val="1"/>
      <w:marLeft w:val="0"/>
      <w:marRight w:val="0"/>
      <w:marTop w:val="0"/>
      <w:marBottom w:val="0"/>
      <w:divBdr>
        <w:top w:val="none" w:sz="0" w:space="0" w:color="auto"/>
        <w:left w:val="none" w:sz="0" w:space="0" w:color="auto"/>
        <w:bottom w:val="none" w:sz="0" w:space="0" w:color="auto"/>
        <w:right w:val="none" w:sz="0" w:space="0" w:color="auto"/>
      </w:divBdr>
    </w:div>
    <w:div w:id="136383477">
      <w:bodyDiv w:val="1"/>
      <w:marLeft w:val="0"/>
      <w:marRight w:val="0"/>
      <w:marTop w:val="0"/>
      <w:marBottom w:val="0"/>
      <w:divBdr>
        <w:top w:val="none" w:sz="0" w:space="0" w:color="auto"/>
        <w:left w:val="none" w:sz="0" w:space="0" w:color="auto"/>
        <w:bottom w:val="none" w:sz="0" w:space="0" w:color="auto"/>
        <w:right w:val="none" w:sz="0" w:space="0" w:color="auto"/>
      </w:divBdr>
      <w:divsChild>
        <w:div w:id="39986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6686">
      <w:bodyDiv w:val="1"/>
      <w:marLeft w:val="0"/>
      <w:marRight w:val="0"/>
      <w:marTop w:val="0"/>
      <w:marBottom w:val="0"/>
      <w:divBdr>
        <w:top w:val="none" w:sz="0" w:space="0" w:color="auto"/>
        <w:left w:val="none" w:sz="0" w:space="0" w:color="auto"/>
        <w:bottom w:val="none" w:sz="0" w:space="0" w:color="auto"/>
        <w:right w:val="none" w:sz="0" w:space="0" w:color="auto"/>
      </w:divBdr>
    </w:div>
    <w:div w:id="149104003">
      <w:bodyDiv w:val="1"/>
      <w:marLeft w:val="0"/>
      <w:marRight w:val="0"/>
      <w:marTop w:val="0"/>
      <w:marBottom w:val="0"/>
      <w:divBdr>
        <w:top w:val="none" w:sz="0" w:space="0" w:color="auto"/>
        <w:left w:val="none" w:sz="0" w:space="0" w:color="auto"/>
        <w:bottom w:val="none" w:sz="0" w:space="0" w:color="auto"/>
        <w:right w:val="none" w:sz="0" w:space="0" w:color="auto"/>
      </w:divBdr>
    </w:div>
    <w:div w:id="151802028">
      <w:bodyDiv w:val="1"/>
      <w:marLeft w:val="0"/>
      <w:marRight w:val="0"/>
      <w:marTop w:val="0"/>
      <w:marBottom w:val="0"/>
      <w:divBdr>
        <w:top w:val="none" w:sz="0" w:space="0" w:color="auto"/>
        <w:left w:val="none" w:sz="0" w:space="0" w:color="auto"/>
        <w:bottom w:val="none" w:sz="0" w:space="0" w:color="auto"/>
        <w:right w:val="none" w:sz="0" w:space="0" w:color="auto"/>
      </w:divBdr>
    </w:div>
    <w:div w:id="153038195">
      <w:bodyDiv w:val="1"/>
      <w:marLeft w:val="0"/>
      <w:marRight w:val="0"/>
      <w:marTop w:val="0"/>
      <w:marBottom w:val="0"/>
      <w:divBdr>
        <w:top w:val="none" w:sz="0" w:space="0" w:color="auto"/>
        <w:left w:val="none" w:sz="0" w:space="0" w:color="auto"/>
        <w:bottom w:val="none" w:sz="0" w:space="0" w:color="auto"/>
        <w:right w:val="none" w:sz="0" w:space="0" w:color="auto"/>
      </w:divBdr>
    </w:div>
    <w:div w:id="156925380">
      <w:bodyDiv w:val="1"/>
      <w:marLeft w:val="0"/>
      <w:marRight w:val="0"/>
      <w:marTop w:val="0"/>
      <w:marBottom w:val="0"/>
      <w:divBdr>
        <w:top w:val="none" w:sz="0" w:space="0" w:color="auto"/>
        <w:left w:val="none" w:sz="0" w:space="0" w:color="auto"/>
        <w:bottom w:val="none" w:sz="0" w:space="0" w:color="auto"/>
        <w:right w:val="none" w:sz="0" w:space="0" w:color="auto"/>
      </w:divBdr>
    </w:div>
    <w:div w:id="164590570">
      <w:bodyDiv w:val="1"/>
      <w:marLeft w:val="0"/>
      <w:marRight w:val="0"/>
      <w:marTop w:val="0"/>
      <w:marBottom w:val="0"/>
      <w:divBdr>
        <w:top w:val="none" w:sz="0" w:space="0" w:color="auto"/>
        <w:left w:val="none" w:sz="0" w:space="0" w:color="auto"/>
        <w:bottom w:val="none" w:sz="0" w:space="0" w:color="auto"/>
        <w:right w:val="none" w:sz="0" w:space="0" w:color="auto"/>
      </w:divBdr>
    </w:div>
    <w:div w:id="165439760">
      <w:bodyDiv w:val="1"/>
      <w:marLeft w:val="0"/>
      <w:marRight w:val="0"/>
      <w:marTop w:val="0"/>
      <w:marBottom w:val="0"/>
      <w:divBdr>
        <w:top w:val="none" w:sz="0" w:space="0" w:color="auto"/>
        <w:left w:val="none" w:sz="0" w:space="0" w:color="auto"/>
        <w:bottom w:val="none" w:sz="0" w:space="0" w:color="auto"/>
        <w:right w:val="none" w:sz="0" w:space="0" w:color="auto"/>
      </w:divBdr>
    </w:div>
    <w:div w:id="166673292">
      <w:bodyDiv w:val="1"/>
      <w:marLeft w:val="0"/>
      <w:marRight w:val="0"/>
      <w:marTop w:val="0"/>
      <w:marBottom w:val="0"/>
      <w:divBdr>
        <w:top w:val="none" w:sz="0" w:space="0" w:color="auto"/>
        <w:left w:val="none" w:sz="0" w:space="0" w:color="auto"/>
        <w:bottom w:val="none" w:sz="0" w:space="0" w:color="auto"/>
        <w:right w:val="none" w:sz="0" w:space="0" w:color="auto"/>
      </w:divBdr>
    </w:div>
    <w:div w:id="170532486">
      <w:bodyDiv w:val="1"/>
      <w:marLeft w:val="0"/>
      <w:marRight w:val="0"/>
      <w:marTop w:val="0"/>
      <w:marBottom w:val="0"/>
      <w:divBdr>
        <w:top w:val="none" w:sz="0" w:space="0" w:color="auto"/>
        <w:left w:val="none" w:sz="0" w:space="0" w:color="auto"/>
        <w:bottom w:val="none" w:sz="0" w:space="0" w:color="auto"/>
        <w:right w:val="none" w:sz="0" w:space="0" w:color="auto"/>
      </w:divBdr>
    </w:div>
    <w:div w:id="177156427">
      <w:bodyDiv w:val="1"/>
      <w:marLeft w:val="0"/>
      <w:marRight w:val="0"/>
      <w:marTop w:val="0"/>
      <w:marBottom w:val="0"/>
      <w:divBdr>
        <w:top w:val="none" w:sz="0" w:space="0" w:color="auto"/>
        <w:left w:val="none" w:sz="0" w:space="0" w:color="auto"/>
        <w:bottom w:val="none" w:sz="0" w:space="0" w:color="auto"/>
        <w:right w:val="none" w:sz="0" w:space="0" w:color="auto"/>
      </w:divBdr>
    </w:div>
    <w:div w:id="181019722">
      <w:bodyDiv w:val="1"/>
      <w:marLeft w:val="0"/>
      <w:marRight w:val="0"/>
      <w:marTop w:val="0"/>
      <w:marBottom w:val="0"/>
      <w:divBdr>
        <w:top w:val="none" w:sz="0" w:space="0" w:color="auto"/>
        <w:left w:val="none" w:sz="0" w:space="0" w:color="auto"/>
        <w:bottom w:val="none" w:sz="0" w:space="0" w:color="auto"/>
        <w:right w:val="none" w:sz="0" w:space="0" w:color="auto"/>
      </w:divBdr>
    </w:div>
    <w:div w:id="181283343">
      <w:bodyDiv w:val="1"/>
      <w:marLeft w:val="0"/>
      <w:marRight w:val="0"/>
      <w:marTop w:val="0"/>
      <w:marBottom w:val="0"/>
      <w:divBdr>
        <w:top w:val="none" w:sz="0" w:space="0" w:color="auto"/>
        <w:left w:val="none" w:sz="0" w:space="0" w:color="auto"/>
        <w:bottom w:val="none" w:sz="0" w:space="0" w:color="auto"/>
        <w:right w:val="none" w:sz="0" w:space="0" w:color="auto"/>
      </w:divBdr>
    </w:div>
    <w:div w:id="182402954">
      <w:bodyDiv w:val="1"/>
      <w:marLeft w:val="0"/>
      <w:marRight w:val="0"/>
      <w:marTop w:val="0"/>
      <w:marBottom w:val="0"/>
      <w:divBdr>
        <w:top w:val="none" w:sz="0" w:space="0" w:color="auto"/>
        <w:left w:val="none" w:sz="0" w:space="0" w:color="auto"/>
        <w:bottom w:val="none" w:sz="0" w:space="0" w:color="auto"/>
        <w:right w:val="none" w:sz="0" w:space="0" w:color="auto"/>
      </w:divBdr>
    </w:div>
    <w:div w:id="183791999">
      <w:bodyDiv w:val="1"/>
      <w:marLeft w:val="0"/>
      <w:marRight w:val="0"/>
      <w:marTop w:val="0"/>
      <w:marBottom w:val="0"/>
      <w:divBdr>
        <w:top w:val="none" w:sz="0" w:space="0" w:color="auto"/>
        <w:left w:val="none" w:sz="0" w:space="0" w:color="auto"/>
        <w:bottom w:val="none" w:sz="0" w:space="0" w:color="auto"/>
        <w:right w:val="none" w:sz="0" w:space="0" w:color="auto"/>
      </w:divBdr>
    </w:div>
    <w:div w:id="195242689">
      <w:bodyDiv w:val="1"/>
      <w:marLeft w:val="0"/>
      <w:marRight w:val="0"/>
      <w:marTop w:val="0"/>
      <w:marBottom w:val="0"/>
      <w:divBdr>
        <w:top w:val="none" w:sz="0" w:space="0" w:color="auto"/>
        <w:left w:val="none" w:sz="0" w:space="0" w:color="auto"/>
        <w:bottom w:val="none" w:sz="0" w:space="0" w:color="auto"/>
        <w:right w:val="none" w:sz="0" w:space="0" w:color="auto"/>
      </w:divBdr>
    </w:div>
    <w:div w:id="195700812">
      <w:bodyDiv w:val="1"/>
      <w:marLeft w:val="0"/>
      <w:marRight w:val="0"/>
      <w:marTop w:val="0"/>
      <w:marBottom w:val="0"/>
      <w:divBdr>
        <w:top w:val="none" w:sz="0" w:space="0" w:color="auto"/>
        <w:left w:val="none" w:sz="0" w:space="0" w:color="auto"/>
        <w:bottom w:val="none" w:sz="0" w:space="0" w:color="auto"/>
        <w:right w:val="none" w:sz="0" w:space="0" w:color="auto"/>
      </w:divBdr>
    </w:div>
    <w:div w:id="196814118">
      <w:bodyDiv w:val="1"/>
      <w:marLeft w:val="0"/>
      <w:marRight w:val="0"/>
      <w:marTop w:val="0"/>
      <w:marBottom w:val="0"/>
      <w:divBdr>
        <w:top w:val="none" w:sz="0" w:space="0" w:color="auto"/>
        <w:left w:val="none" w:sz="0" w:space="0" w:color="auto"/>
        <w:bottom w:val="none" w:sz="0" w:space="0" w:color="auto"/>
        <w:right w:val="none" w:sz="0" w:space="0" w:color="auto"/>
      </w:divBdr>
    </w:div>
    <w:div w:id="198326491">
      <w:bodyDiv w:val="1"/>
      <w:marLeft w:val="0"/>
      <w:marRight w:val="0"/>
      <w:marTop w:val="0"/>
      <w:marBottom w:val="0"/>
      <w:divBdr>
        <w:top w:val="none" w:sz="0" w:space="0" w:color="auto"/>
        <w:left w:val="none" w:sz="0" w:space="0" w:color="auto"/>
        <w:bottom w:val="none" w:sz="0" w:space="0" w:color="auto"/>
        <w:right w:val="none" w:sz="0" w:space="0" w:color="auto"/>
      </w:divBdr>
    </w:div>
    <w:div w:id="200020701">
      <w:bodyDiv w:val="1"/>
      <w:marLeft w:val="0"/>
      <w:marRight w:val="0"/>
      <w:marTop w:val="0"/>
      <w:marBottom w:val="0"/>
      <w:divBdr>
        <w:top w:val="none" w:sz="0" w:space="0" w:color="auto"/>
        <w:left w:val="none" w:sz="0" w:space="0" w:color="auto"/>
        <w:bottom w:val="none" w:sz="0" w:space="0" w:color="auto"/>
        <w:right w:val="none" w:sz="0" w:space="0" w:color="auto"/>
      </w:divBdr>
    </w:div>
    <w:div w:id="201208091">
      <w:bodyDiv w:val="1"/>
      <w:marLeft w:val="0"/>
      <w:marRight w:val="0"/>
      <w:marTop w:val="0"/>
      <w:marBottom w:val="0"/>
      <w:divBdr>
        <w:top w:val="none" w:sz="0" w:space="0" w:color="auto"/>
        <w:left w:val="none" w:sz="0" w:space="0" w:color="auto"/>
        <w:bottom w:val="none" w:sz="0" w:space="0" w:color="auto"/>
        <w:right w:val="none" w:sz="0" w:space="0" w:color="auto"/>
      </w:divBdr>
    </w:div>
    <w:div w:id="201405482">
      <w:bodyDiv w:val="1"/>
      <w:marLeft w:val="0"/>
      <w:marRight w:val="0"/>
      <w:marTop w:val="0"/>
      <w:marBottom w:val="0"/>
      <w:divBdr>
        <w:top w:val="none" w:sz="0" w:space="0" w:color="auto"/>
        <w:left w:val="none" w:sz="0" w:space="0" w:color="auto"/>
        <w:bottom w:val="none" w:sz="0" w:space="0" w:color="auto"/>
        <w:right w:val="none" w:sz="0" w:space="0" w:color="auto"/>
      </w:divBdr>
    </w:div>
    <w:div w:id="201552427">
      <w:bodyDiv w:val="1"/>
      <w:marLeft w:val="0"/>
      <w:marRight w:val="0"/>
      <w:marTop w:val="0"/>
      <w:marBottom w:val="0"/>
      <w:divBdr>
        <w:top w:val="none" w:sz="0" w:space="0" w:color="auto"/>
        <w:left w:val="none" w:sz="0" w:space="0" w:color="auto"/>
        <w:bottom w:val="none" w:sz="0" w:space="0" w:color="auto"/>
        <w:right w:val="none" w:sz="0" w:space="0" w:color="auto"/>
      </w:divBdr>
    </w:div>
    <w:div w:id="205795610">
      <w:bodyDiv w:val="1"/>
      <w:marLeft w:val="0"/>
      <w:marRight w:val="0"/>
      <w:marTop w:val="0"/>
      <w:marBottom w:val="0"/>
      <w:divBdr>
        <w:top w:val="none" w:sz="0" w:space="0" w:color="auto"/>
        <w:left w:val="none" w:sz="0" w:space="0" w:color="auto"/>
        <w:bottom w:val="none" w:sz="0" w:space="0" w:color="auto"/>
        <w:right w:val="none" w:sz="0" w:space="0" w:color="auto"/>
      </w:divBdr>
    </w:div>
    <w:div w:id="206572642">
      <w:bodyDiv w:val="1"/>
      <w:marLeft w:val="0"/>
      <w:marRight w:val="0"/>
      <w:marTop w:val="0"/>
      <w:marBottom w:val="0"/>
      <w:divBdr>
        <w:top w:val="none" w:sz="0" w:space="0" w:color="auto"/>
        <w:left w:val="none" w:sz="0" w:space="0" w:color="auto"/>
        <w:bottom w:val="none" w:sz="0" w:space="0" w:color="auto"/>
        <w:right w:val="none" w:sz="0" w:space="0" w:color="auto"/>
      </w:divBdr>
    </w:div>
    <w:div w:id="210043828">
      <w:bodyDiv w:val="1"/>
      <w:marLeft w:val="0"/>
      <w:marRight w:val="0"/>
      <w:marTop w:val="0"/>
      <w:marBottom w:val="0"/>
      <w:divBdr>
        <w:top w:val="none" w:sz="0" w:space="0" w:color="auto"/>
        <w:left w:val="none" w:sz="0" w:space="0" w:color="auto"/>
        <w:bottom w:val="none" w:sz="0" w:space="0" w:color="auto"/>
        <w:right w:val="none" w:sz="0" w:space="0" w:color="auto"/>
      </w:divBdr>
    </w:div>
    <w:div w:id="211044687">
      <w:bodyDiv w:val="1"/>
      <w:marLeft w:val="0"/>
      <w:marRight w:val="0"/>
      <w:marTop w:val="0"/>
      <w:marBottom w:val="0"/>
      <w:divBdr>
        <w:top w:val="none" w:sz="0" w:space="0" w:color="auto"/>
        <w:left w:val="none" w:sz="0" w:space="0" w:color="auto"/>
        <w:bottom w:val="none" w:sz="0" w:space="0" w:color="auto"/>
        <w:right w:val="none" w:sz="0" w:space="0" w:color="auto"/>
      </w:divBdr>
    </w:div>
    <w:div w:id="212086701">
      <w:bodyDiv w:val="1"/>
      <w:marLeft w:val="0"/>
      <w:marRight w:val="0"/>
      <w:marTop w:val="0"/>
      <w:marBottom w:val="0"/>
      <w:divBdr>
        <w:top w:val="none" w:sz="0" w:space="0" w:color="auto"/>
        <w:left w:val="none" w:sz="0" w:space="0" w:color="auto"/>
        <w:bottom w:val="none" w:sz="0" w:space="0" w:color="auto"/>
        <w:right w:val="none" w:sz="0" w:space="0" w:color="auto"/>
      </w:divBdr>
    </w:div>
    <w:div w:id="212234633">
      <w:bodyDiv w:val="1"/>
      <w:marLeft w:val="0"/>
      <w:marRight w:val="0"/>
      <w:marTop w:val="0"/>
      <w:marBottom w:val="0"/>
      <w:divBdr>
        <w:top w:val="none" w:sz="0" w:space="0" w:color="auto"/>
        <w:left w:val="none" w:sz="0" w:space="0" w:color="auto"/>
        <w:bottom w:val="none" w:sz="0" w:space="0" w:color="auto"/>
        <w:right w:val="none" w:sz="0" w:space="0" w:color="auto"/>
      </w:divBdr>
    </w:div>
    <w:div w:id="212473878">
      <w:bodyDiv w:val="1"/>
      <w:marLeft w:val="0"/>
      <w:marRight w:val="0"/>
      <w:marTop w:val="0"/>
      <w:marBottom w:val="0"/>
      <w:divBdr>
        <w:top w:val="none" w:sz="0" w:space="0" w:color="auto"/>
        <w:left w:val="none" w:sz="0" w:space="0" w:color="auto"/>
        <w:bottom w:val="none" w:sz="0" w:space="0" w:color="auto"/>
        <w:right w:val="none" w:sz="0" w:space="0" w:color="auto"/>
      </w:divBdr>
    </w:div>
    <w:div w:id="216477206">
      <w:bodyDiv w:val="1"/>
      <w:marLeft w:val="0"/>
      <w:marRight w:val="0"/>
      <w:marTop w:val="0"/>
      <w:marBottom w:val="0"/>
      <w:divBdr>
        <w:top w:val="none" w:sz="0" w:space="0" w:color="auto"/>
        <w:left w:val="none" w:sz="0" w:space="0" w:color="auto"/>
        <w:bottom w:val="none" w:sz="0" w:space="0" w:color="auto"/>
        <w:right w:val="none" w:sz="0" w:space="0" w:color="auto"/>
      </w:divBdr>
    </w:div>
    <w:div w:id="219635322">
      <w:bodyDiv w:val="1"/>
      <w:marLeft w:val="0"/>
      <w:marRight w:val="0"/>
      <w:marTop w:val="0"/>
      <w:marBottom w:val="0"/>
      <w:divBdr>
        <w:top w:val="none" w:sz="0" w:space="0" w:color="auto"/>
        <w:left w:val="none" w:sz="0" w:space="0" w:color="auto"/>
        <w:bottom w:val="none" w:sz="0" w:space="0" w:color="auto"/>
        <w:right w:val="none" w:sz="0" w:space="0" w:color="auto"/>
      </w:divBdr>
      <w:divsChild>
        <w:div w:id="36918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47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13368">
      <w:bodyDiv w:val="1"/>
      <w:marLeft w:val="0"/>
      <w:marRight w:val="0"/>
      <w:marTop w:val="0"/>
      <w:marBottom w:val="0"/>
      <w:divBdr>
        <w:top w:val="none" w:sz="0" w:space="0" w:color="auto"/>
        <w:left w:val="none" w:sz="0" w:space="0" w:color="auto"/>
        <w:bottom w:val="none" w:sz="0" w:space="0" w:color="auto"/>
        <w:right w:val="none" w:sz="0" w:space="0" w:color="auto"/>
      </w:divBdr>
    </w:div>
    <w:div w:id="224920045">
      <w:bodyDiv w:val="1"/>
      <w:marLeft w:val="0"/>
      <w:marRight w:val="0"/>
      <w:marTop w:val="0"/>
      <w:marBottom w:val="0"/>
      <w:divBdr>
        <w:top w:val="none" w:sz="0" w:space="0" w:color="auto"/>
        <w:left w:val="none" w:sz="0" w:space="0" w:color="auto"/>
        <w:bottom w:val="none" w:sz="0" w:space="0" w:color="auto"/>
        <w:right w:val="none" w:sz="0" w:space="0" w:color="auto"/>
      </w:divBdr>
    </w:div>
    <w:div w:id="229852350">
      <w:bodyDiv w:val="1"/>
      <w:marLeft w:val="0"/>
      <w:marRight w:val="0"/>
      <w:marTop w:val="0"/>
      <w:marBottom w:val="0"/>
      <w:divBdr>
        <w:top w:val="none" w:sz="0" w:space="0" w:color="auto"/>
        <w:left w:val="none" w:sz="0" w:space="0" w:color="auto"/>
        <w:bottom w:val="none" w:sz="0" w:space="0" w:color="auto"/>
        <w:right w:val="none" w:sz="0" w:space="0" w:color="auto"/>
      </w:divBdr>
    </w:div>
    <w:div w:id="232739900">
      <w:bodyDiv w:val="1"/>
      <w:marLeft w:val="0"/>
      <w:marRight w:val="0"/>
      <w:marTop w:val="0"/>
      <w:marBottom w:val="0"/>
      <w:divBdr>
        <w:top w:val="none" w:sz="0" w:space="0" w:color="auto"/>
        <w:left w:val="none" w:sz="0" w:space="0" w:color="auto"/>
        <w:bottom w:val="none" w:sz="0" w:space="0" w:color="auto"/>
        <w:right w:val="none" w:sz="0" w:space="0" w:color="auto"/>
      </w:divBdr>
    </w:div>
    <w:div w:id="235020309">
      <w:bodyDiv w:val="1"/>
      <w:marLeft w:val="0"/>
      <w:marRight w:val="0"/>
      <w:marTop w:val="0"/>
      <w:marBottom w:val="0"/>
      <w:divBdr>
        <w:top w:val="none" w:sz="0" w:space="0" w:color="auto"/>
        <w:left w:val="none" w:sz="0" w:space="0" w:color="auto"/>
        <w:bottom w:val="none" w:sz="0" w:space="0" w:color="auto"/>
        <w:right w:val="none" w:sz="0" w:space="0" w:color="auto"/>
      </w:divBdr>
    </w:div>
    <w:div w:id="239802502">
      <w:bodyDiv w:val="1"/>
      <w:marLeft w:val="0"/>
      <w:marRight w:val="0"/>
      <w:marTop w:val="0"/>
      <w:marBottom w:val="0"/>
      <w:divBdr>
        <w:top w:val="none" w:sz="0" w:space="0" w:color="auto"/>
        <w:left w:val="none" w:sz="0" w:space="0" w:color="auto"/>
        <w:bottom w:val="none" w:sz="0" w:space="0" w:color="auto"/>
        <w:right w:val="none" w:sz="0" w:space="0" w:color="auto"/>
      </w:divBdr>
    </w:div>
    <w:div w:id="240991903">
      <w:bodyDiv w:val="1"/>
      <w:marLeft w:val="0"/>
      <w:marRight w:val="0"/>
      <w:marTop w:val="0"/>
      <w:marBottom w:val="0"/>
      <w:divBdr>
        <w:top w:val="none" w:sz="0" w:space="0" w:color="auto"/>
        <w:left w:val="none" w:sz="0" w:space="0" w:color="auto"/>
        <w:bottom w:val="none" w:sz="0" w:space="0" w:color="auto"/>
        <w:right w:val="none" w:sz="0" w:space="0" w:color="auto"/>
      </w:divBdr>
    </w:div>
    <w:div w:id="241792504">
      <w:bodyDiv w:val="1"/>
      <w:marLeft w:val="0"/>
      <w:marRight w:val="0"/>
      <w:marTop w:val="0"/>
      <w:marBottom w:val="0"/>
      <w:divBdr>
        <w:top w:val="none" w:sz="0" w:space="0" w:color="auto"/>
        <w:left w:val="none" w:sz="0" w:space="0" w:color="auto"/>
        <w:bottom w:val="none" w:sz="0" w:space="0" w:color="auto"/>
        <w:right w:val="none" w:sz="0" w:space="0" w:color="auto"/>
      </w:divBdr>
    </w:div>
    <w:div w:id="245842520">
      <w:bodyDiv w:val="1"/>
      <w:marLeft w:val="0"/>
      <w:marRight w:val="0"/>
      <w:marTop w:val="0"/>
      <w:marBottom w:val="0"/>
      <w:divBdr>
        <w:top w:val="none" w:sz="0" w:space="0" w:color="auto"/>
        <w:left w:val="none" w:sz="0" w:space="0" w:color="auto"/>
        <w:bottom w:val="none" w:sz="0" w:space="0" w:color="auto"/>
        <w:right w:val="none" w:sz="0" w:space="0" w:color="auto"/>
      </w:divBdr>
    </w:div>
    <w:div w:id="258834025">
      <w:bodyDiv w:val="1"/>
      <w:marLeft w:val="0"/>
      <w:marRight w:val="0"/>
      <w:marTop w:val="0"/>
      <w:marBottom w:val="0"/>
      <w:divBdr>
        <w:top w:val="none" w:sz="0" w:space="0" w:color="auto"/>
        <w:left w:val="none" w:sz="0" w:space="0" w:color="auto"/>
        <w:bottom w:val="none" w:sz="0" w:space="0" w:color="auto"/>
        <w:right w:val="none" w:sz="0" w:space="0" w:color="auto"/>
      </w:divBdr>
    </w:div>
    <w:div w:id="259023648">
      <w:bodyDiv w:val="1"/>
      <w:marLeft w:val="0"/>
      <w:marRight w:val="0"/>
      <w:marTop w:val="0"/>
      <w:marBottom w:val="0"/>
      <w:divBdr>
        <w:top w:val="none" w:sz="0" w:space="0" w:color="auto"/>
        <w:left w:val="none" w:sz="0" w:space="0" w:color="auto"/>
        <w:bottom w:val="none" w:sz="0" w:space="0" w:color="auto"/>
        <w:right w:val="none" w:sz="0" w:space="0" w:color="auto"/>
      </w:divBdr>
    </w:div>
    <w:div w:id="261185142">
      <w:bodyDiv w:val="1"/>
      <w:marLeft w:val="0"/>
      <w:marRight w:val="0"/>
      <w:marTop w:val="0"/>
      <w:marBottom w:val="0"/>
      <w:divBdr>
        <w:top w:val="none" w:sz="0" w:space="0" w:color="auto"/>
        <w:left w:val="none" w:sz="0" w:space="0" w:color="auto"/>
        <w:bottom w:val="none" w:sz="0" w:space="0" w:color="auto"/>
        <w:right w:val="none" w:sz="0" w:space="0" w:color="auto"/>
      </w:divBdr>
    </w:div>
    <w:div w:id="261843173">
      <w:bodyDiv w:val="1"/>
      <w:marLeft w:val="0"/>
      <w:marRight w:val="0"/>
      <w:marTop w:val="0"/>
      <w:marBottom w:val="0"/>
      <w:divBdr>
        <w:top w:val="none" w:sz="0" w:space="0" w:color="auto"/>
        <w:left w:val="none" w:sz="0" w:space="0" w:color="auto"/>
        <w:bottom w:val="none" w:sz="0" w:space="0" w:color="auto"/>
        <w:right w:val="none" w:sz="0" w:space="0" w:color="auto"/>
      </w:divBdr>
    </w:div>
    <w:div w:id="262959644">
      <w:bodyDiv w:val="1"/>
      <w:marLeft w:val="0"/>
      <w:marRight w:val="0"/>
      <w:marTop w:val="0"/>
      <w:marBottom w:val="0"/>
      <w:divBdr>
        <w:top w:val="none" w:sz="0" w:space="0" w:color="auto"/>
        <w:left w:val="none" w:sz="0" w:space="0" w:color="auto"/>
        <w:bottom w:val="none" w:sz="0" w:space="0" w:color="auto"/>
        <w:right w:val="none" w:sz="0" w:space="0" w:color="auto"/>
      </w:divBdr>
    </w:div>
    <w:div w:id="268633665">
      <w:bodyDiv w:val="1"/>
      <w:marLeft w:val="0"/>
      <w:marRight w:val="0"/>
      <w:marTop w:val="0"/>
      <w:marBottom w:val="0"/>
      <w:divBdr>
        <w:top w:val="none" w:sz="0" w:space="0" w:color="auto"/>
        <w:left w:val="none" w:sz="0" w:space="0" w:color="auto"/>
        <w:bottom w:val="none" w:sz="0" w:space="0" w:color="auto"/>
        <w:right w:val="none" w:sz="0" w:space="0" w:color="auto"/>
      </w:divBdr>
    </w:div>
    <w:div w:id="270665949">
      <w:bodyDiv w:val="1"/>
      <w:marLeft w:val="0"/>
      <w:marRight w:val="0"/>
      <w:marTop w:val="0"/>
      <w:marBottom w:val="0"/>
      <w:divBdr>
        <w:top w:val="none" w:sz="0" w:space="0" w:color="auto"/>
        <w:left w:val="none" w:sz="0" w:space="0" w:color="auto"/>
        <w:bottom w:val="none" w:sz="0" w:space="0" w:color="auto"/>
        <w:right w:val="none" w:sz="0" w:space="0" w:color="auto"/>
      </w:divBdr>
    </w:div>
    <w:div w:id="272515372">
      <w:bodyDiv w:val="1"/>
      <w:marLeft w:val="0"/>
      <w:marRight w:val="0"/>
      <w:marTop w:val="0"/>
      <w:marBottom w:val="0"/>
      <w:divBdr>
        <w:top w:val="none" w:sz="0" w:space="0" w:color="auto"/>
        <w:left w:val="none" w:sz="0" w:space="0" w:color="auto"/>
        <w:bottom w:val="none" w:sz="0" w:space="0" w:color="auto"/>
        <w:right w:val="none" w:sz="0" w:space="0" w:color="auto"/>
      </w:divBdr>
    </w:div>
    <w:div w:id="273097631">
      <w:bodyDiv w:val="1"/>
      <w:marLeft w:val="0"/>
      <w:marRight w:val="0"/>
      <w:marTop w:val="0"/>
      <w:marBottom w:val="0"/>
      <w:divBdr>
        <w:top w:val="none" w:sz="0" w:space="0" w:color="auto"/>
        <w:left w:val="none" w:sz="0" w:space="0" w:color="auto"/>
        <w:bottom w:val="none" w:sz="0" w:space="0" w:color="auto"/>
        <w:right w:val="none" w:sz="0" w:space="0" w:color="auto"/>
      </w:divBdr>
    </w:div>
    <w:div w:id="274675396">
      <w:bodyDiv w:val="1"/>
      <w:marLeft w:val="0"/>
      <w:marRight w:val="0"/>
      <w:marTop w:val="0"/>
      <w:marBottom w:val="0"/>
      <w:divBdr>
        <w:top w:val="none" w:sz="0" w:space="0" w:color="auto"/>
        <w:left w:val="none" w:sz="0" w:space="0" w:color="auto"/>
        <w:bottom w:val="none" w:sz="0" w:space="0" w:color="auto"/>
        <w:right w:val="none" w:sz="0" w:space="0" w:color="auto"/>
      </w:divBdr>
    </w:div>
    <w:div w:id="275871164">
      <w:bodyDiv w:val="1"/>
      <w:marLeft w:val="0"/>
      <w:marRight w:val="0"/>
      <w:marTop w:val="0"/>
      <w:marBottom w:val="0"/>
      <w:divBdr>
        <w:top w:val="none" w:sz="0" w:space="0" w:color="auto"/>
        <w:left w:val="none" w:sz="0" w:space="0" w:color="auto"/>
        <w:bottom w:val="none" w:sz="0" w:space="0" w:color="auto"/>
        <w:right w:val="none" w:sz="0" w:space="0" w:color="auto"/>
      </w:divBdr>
    </w:div>
    <w:div w:id="282419791">
      <w:bodyDiv w:val="1"/>
      <w:marLeft w:val="0"/>
      <w:marRight w:val="0"/>
      <w:marTop w:val="0"/>
      <w:marBottom w:val="0"/>
      <w:divBdr>
        <w:top w:val="none" w:sz="0" w:space="0" w:color="auto"/>
        <w:left w:val="none" w:sz="0" w:space="0" w:color="auto"/>
        <w:bottom w:val="none" w:sz="0" w:space="0" w:color="auto"/>
        <w:right w:val="none" w:sz="0" w:space="0" w:color="auto"/>
      </w:divBdr>
    </w:div>
    <w:div w:id="284429689">
      <w:bodyDiv w:val="1"/>
      <w:marLeft w:val="0"/>
      <w:marRight w:val="0"/>
      <w:marTop w:val="0"/>
      <w:marBottom w:val="0"/>
      <w:divBdr>
        <w:top w:val="none" w:sz="0" w:space="0" w:color="auto"/>
        <w:left w:val="none" w:sz="0" w:space="0" w:color="auto"/>
        <w:bottom w:val="none" w:sz="0" w:space="0" w:color="auto"/>
        <w:right w:val="none" w:sz="0" w:space="0" w:color="auto"/>
      </w:divBdr>
    </w:div>
    <w:div w:id="285353480">
      <w:bodyDiv w:val="1"/>
      <w:marLeft w:val="0"/>
      <w:marRight w:val="0"/>
      <w:marTop w:val="0"/>
      <w:marBottom w:val="0"/>
      <w:divBdr>
        <w:top w:val="none" w:sz="0" w:space="0" w:color="auto"/>
        <w:left w:val="none" w:sz="0" w:space="0" w:color="auto"/>
        <w:bottom w:val="none" w:sz="0" w:space="0" w:color="auto"/>
        <w:right w:val="none" w:sz="0" w:space="0" w:color="auto"/>
      </w:divBdr>
    </w:div>
    <w:div w:id="286618678">
      <w:bodyDiv w:val="1"/>
      <w:marLeft w:val="0"/>
      <w:marRight w:val="0"/>
      <w:marTop w:val="0"/>
      <w:marBottom w:val="0"/>
      <w:divBdr>
        <w:top w:val="none" w:sz="0" w:space="0" w:color="auto"/>
        <w:left w:val="none" w:sz="0" w:space="0" w:color="auto"/>
        <w:bottom w:val="none" w:sz="0" w:space="0" w:color="auto"/>
        <w:right w:val="none" w:sz="0" w:space="0" w:color="auto"/>
      </w:divBdr>
    </w:div>
    <w:div w:id="300382575">
      <w:bodyDiv w:val="1"/>
      <w:marLeft w:val="0"/>
      <w:marRight w:val="0"/>
      <w:marTop w:val="0"/>
      <w:marBottom w:val="0"/>
      <w:divBdr>
        <w:top w:val="none" w:sz="0" w:space="0" w:color="auto"/>
        <w:left w:val="none" w:sz="0" w:space="0" w:color="auto"/>
        <w:bottom w:val="none" w:sz="0" w:space="0" w:color="auto"/>
        <w:right w:val="none" w:sz="0" w:space="0" w:color="auto"/>
      </w:divBdr>
      <w:divsChild>
        <w:div w:id="60974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08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8448">
      <w:bodyDiv w:val="1"/>
      <w:marLeft w:val="0"/>
      <w:marRight w:val="0"/>
      <w:marTop w:val="0"/>
      <w:marBottom w:val="0"/>
      <w:divBdr>
        <w:top w:val="none" w:sz="0" w:space="0" w:color="auto"/>
        <w:left w:val="none" w:sz="0" w:space="0" w:color="auto"/>
        <w:bottom w:val="none" w:sz="0" w:space="0" w:color="auto"/>
        <w:right w:val="none" w:sz="0" w:space="0" w:color="auto"/>
      </w:divBdr>
    </w:div>
    <w:div w:id="315493362">
      <w:bodyDiv w:val="1"/>
      <w:marLeft w:val="0"/>
      <w:marRight w:val="0"/>
      <w:marTop w:val="0"/>
      <w:marBottom w:val="0"/>
      <w:divBdr>
        <w:top w:val="none" w:sz="0" w:space="0" w:color="auto"/>
        <w:left w:val="none" w:sz="0" w:space="0" w:color="auto"/>
        <w:bottom w:val="none" w:sz="0" w:space="0" w:color="auto"/>
        <w:right w:val="none" w:sz="0" w:space="0" w:color="auto"/>
      </w:divBdr>
    </w:div>
    <w:div w:id="316763127">
      <w:bodyDiv w:val="1"/>
      <w:marLeft w:val="0"/>
      <w:marRight w:val="0"/>
      <w:marTop w:val="0"/>
      <w:marBottom w:val="0"/>
      <w:divBdr>
        <w:top w:val="none" w:sz="0" w:space="0" w:color="auto"/>
        <w:left w:val="none" w:sz="0" w:space="0" w:color="auto"/>
        <w:bottom w:val="none" w:sz="0" w:space="0" w:color="auto"/>
        <w:right w:val="none" w:sz="0" w:space="0" w:color="auto"/>
      </w:divBdr>
      <w:divsChild>
        <w:div w:id="70348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042093">
      <w:bodyDiv w:val="1"/>
      <w:marLeft w:val="0"/>
      <w:marRight w:val="0"/>
      <w:marTop w:val="0"/>
      <w:marBottom w:val="0"/>
      <w:divBdr>
        <w:top w:val="none" w:sz="0" w:space="0" w:color="auto"/>
        <w:left w:val="none" w:sz="0" w:space="0" w:color="auto"/>
        <w:bottom w:val="none" w:sz="0" w:space="0" w:color="auto"/>
        <w:right w:val="none" w:sz="0" w:space="0" w:color="auto"/>
      </w:divBdr>
    </w:div>
    <w:div w:id="323125165">
      <w:bodyDiv w:val="1"/>
      <w:marLeft w:val="0"/>
      <w:marRight w:val="0"/>
      <w:marTop w:val="0"/>
      <w:marBottom w:val="0"/>
      <w:divBdr>
        <w:top w:val="none" w:sz="0" w:space="0" w:color="auto"/>
        <w:left w:val="none" w:sz="0" w:space="0" w:color="auto"/>
        <w:bottom w:val="none" w:sz="0" w:space="0" w:color="auto"/>
        <w:right w:val="none" w:sz="0" w:space="0" w:color="auto"/>
      </w:divBdr>
    </w:div>
    <w:div w:id="323238157">
      <w:bodyDiv w:val="1"/>
      <w:marLeft w:val="0"/>
      <w:marRight w:val="0"/>
      <w:marTop w:val="0"/>
      <w:marBottom w:val="0"/>
      <w:divBdr>
        <w:top w:val="none" w:sz="0" w:space="0" w:color="auto"/>
        <w:left w:val="none" w:sz="0" w:space="0" w:color="auto"/>
        <w:bottom w:val="none" w:sz="0" w:space="0" w:color="auto"/>
        <w:right w:val="none" w:sz="0" w:space="0" w:color="auto"/>
      </w:divBdr>
    </w:div>
    <w:div w:id="332025295">
      <w:bodyDiv w:val="1"/>
      <w:marLeft w:val="0"/>
      <w:marRight w:val="0"/>
      <w:marTop w:val="0"/>
      <w:marBottom w:val="0"/>
      <w:divBdr>
        <w:top w:val="none" w:sz="0" w:space="0" w:color="auto"/>
        <w:left w:val="none" w:sz="0" w:space="0" w:color="auto"/>
        <w:bottom w:val="none" w:sz="0" w:space="0" w:color="auto"/>
        <w:right w:val="none" w:sz="0" w:space="0" w:color="auto"/>
      </w:divBdr>
    </w:div>
    <w:div w:id="334262427">
      <w:bodyDiv w:val="1"/>
      <w:marLeft w:val="0"/>
      <w:marRight w:val="0"/>
      <w:marTop w:val="0"/>
      <w:marBottom w:val="0"/>
      <w:divBdr>
        <w:top w:val="none" w:sz="0" w:space="0" w:color="auto"/>
        <w:left w:val="none" w:sz="0" w:space="0" w:color="auto"/>
        <w:bottom w:val="none" w:sz="0" w:space="0" w:color="auto"/>
        <w:right w:val="none" w:sz="0" w:space="0" w:color="auto"/>
      </w:divBdr>
    </w:div>
    <w:div w:id="334848595">
      <w:bodyDiv w:val="1"/>
      <w:marLeft w:val="0"/>
      <w:marRight w:val="0"/>
      <w:marTop w:val="0"/>
      <w:marBottom w:val="0"/>
      <w:divBdr>
        <w:top w:val="none" w:sz="0" w:space="0" w:color="auto"/>
        <w:left w:val="none" w:sz="0" w:space="0" w:color="auto"/>
        <w:bottom w:val="none" w:sz="0" w:space="0" w:color="auto"/>
        <w:right w:val="none" w:sz="0" w:space="0" w:color="auto"/>
      </w:divBdr>
    </w:div>
    <w:div w:id="335158682">
      <w:bodyDiv w:val="1"/>
      <w:marLeft w:val="0"/>
      <w:marRight w:val="0"/>
      <w:marTop w:val="0"/>
      <w:marBottom w:val="0"/>
      <w:divBdr>
        <w:top w:val="none" w:sz="0" w:space="0" w:color="auto"/>
        <w:left w:val="none" w:sz="0" w:space="0" w:color="auto"/>
        <w:bottom w:val="none" w:sz="0" w:space="0" w:color="auto"/>
        <w:right w:val="none" w:sz="0" w:space="0" w:color="auto"/>
      </w:divBdr>
    </w:div>
    <w:div w:id="335423402">
      <w:bodyDiv w:val="1"/>
      <w:marLeft w:val="0"/>
      <w:marRight w:val="0"/>
      <w:marTop w:val="0"/>
      <w:marBottom w:val="0"/>
      <w:divBdr>
        <w:top w:val="none" w:sz="0" w:space="0" w:color="auto"/>
        <w:left w:val="none" w:sz="0" w:space="0" w:color="auto"/>
        <w:bottom w:val="none" w:sz="0" w:space="0" w:color="auto"/>
        <w:right w:val="none" w:sz="0" w:space="0" w:color="auto"/>
      </w:divBdr>
    </w:div>
    <w:div w:id="335958940">
      <w:bodyDiv w:val="1"/>
      <w:marLeft w:val="0"/>
      <w:marRight w:val="0"/>
      <w:marTop w:val="0"/>
      <w:marBottom w:val="0"/>
      <w:divBdr>
        <w:top w:val="none" w:sz="0" w:space="0" w:color="auto"/>
        <w:left w:val="none" w:sz="0" w:space="0" w:color="auto"/>
        <w:bottom w:val="none" w:sz="0" w:space="0" w:color="auto"/>
        <w:right w:val="none" w:sz="0" w:space="0" w:color="auto"/>
      </w:divBdr>
    </w:div>
    <w:div w:id="337470221">
      <w:bodyDiv w:val="1"/>
      <w:marLeft w:val="0"/>
      <w:marRight w:val="0"/>
      <w:marTop w:val="0"/>
      <w:marBottom w:val="0"/>
      <w:divBdr>
        <w:top w:val="none" w:sz="0" w:space="0" w:color="auto"/>
        <w:left w:val="none" w:sz="0" w:space="0" w:color="auto"/>
        <w:bottom w:val="none" w:sz="0" w:space="0" w:color="auto"/>
        <w:right w:val="none" w:sz="0" w:space="0" w:color="auto"/>
      </w:divBdr>
    </w:div>
    <w:div w:id="338578427">
      <w:bodyDiv w:val="1"/>
      <w:marLeft w:val="0"/>
      <w:marRight w:val="0"/>
      <w:marTop w:val="0"/>
      <w:marBottom w:val="0"/>
      <w:divBdr>
        <w:top w:val="none" w:sz="0" w:space="0" w:color="auto"/>
        <w:left w:val="none" w:sz="0" w:space="0" w:color="auto"/>
        <w:bottom w:val="none" w:sz="0" w:space="0" w:color="auto"/>
        <w:right w:val="none" w:sz="0" w:space="0" w:color="auto"/>
      </w:divBdr>
    </w:div>
    <w:div w:id="341709374">
      <w:bodyDiv w:val="1"/>
      <w:marLeft w:val="0"/>
      <w:marRight w:val="0"/>
      <w:marTop w:val="0"/>
      <w:marBottom w:val="0"/>
      <w:divBdr>
        <w:top w:val="none" w:sz="0" w:space="0" w:color="auto"/>
        <w:left w:val="none" w:sz="0" w:space="0" w:color="auto"/>
        <w:bottom w:val="none" w:sz="0" w:space="0" w:color="auto"/>
        <w:right w:val="none" w:sz="0" w:space="0" w:color="auto"/>
      </w:divBdr>
    </w:div>
    <w:div w:id="346293479">
      <w:bodyDiv w:val="1"/>
      <w:marLeft w:val="0"/>
      <w:marRight w:val="0"/>
      <w:marTop w:val="0"/>
      <w:marBottom w:val="0"/>
      <w:divBdr>
        <w:top w:val="none" w:sz="0" w:space="0" w:color="auto"/>
        <w:left w:val="none" w:sz="0" w:space="0" w:color="auto"/>
        <w:bottom w:val="none" w:sz="0" w:space="0" w:color="auto"/>
        <w:right w:val="none" w:sz="0" w:space="0" w:color="auto"/>
      </w:divBdr>
    </w:div>
    <w:div w:id="355467965">
      <w:bodyDiv w:val="1"/>
      <w:marLeft w:val="0"/>
      <w:marRight w:val="0"/>
      <w:marTop w:val="0"/>
      <w:marBottom w:val="0"/>
      <w:divBdr>
        <w:top w:val="none" w:sz="0" w:space="0" w:color="auto"/>
        <w:left w:val="none" w:sz="0" w:space="0" w:color="auto"/>
        <w:bottom w:val="none" w:sz="0" w:space="0" w:color="auto"/>
        <w:right w:val="none" w:sz="0" w:space="0" w:color="auto"/>
      </w:divBdr>
    </w:div>
    <w:div w:id="361126136">
      <w:bodyDiv w:val="1"/>
      <w:marLeft w:val="0"/>
      <w:marRight w:val="0"/>
      <w:marTop w:val="0"/>
      <w:marBottom w:val="0"/>
      <w:divBdr>
        <w:top w:val="none" w:sz="0" w:space="0" w:color="auto"/>
        <w:left w:val="none" w:sz="0" w:space="0" w:color="auto"/>
        <w:bottom w:val="none" w:sz="0" w:space="0" w:color="auto"/>
        <w:right w:val="none" w:sz="0" w:space="0" w:color="auto"/>
      </w:divBdr>
    </w:div>
    <w:div w:id="362439823">
      <w:bodyDiv w:val="1"/>
      <w:marLeft w:val="0"/>
      <w:marRight w:val="0"/>
      <w:marTop w:val="0"/>
      <w:marBottom w:val="0"/>
      <w:divBdr>
        <w:top w:val="none" w:sz="0" w:space="0" w:color="auto"/>
        <w:left w:val="none" w:sz="0" w:space="0" w:color="auto"/>
        <w:bottom w:val="none" w:sz="0" w:space="0" w:color="auto"/>
        <w:right w:val="none" w:sz="0" w:space="0" w:color="auto"/>
      </w:divBdr>
    </w:div>
    <w:div w:id="371268102">
      <w:bodyDiv w:val="1"/>
      <w:marLeft w:val="0"/>
      <w:marRight w:val="0"/>
      <w:marTop w:val="0"/>
      <w:marBottom w:val="0"/>
      <w:divBdr>
        <w:top w:val="none" w:sz="0" w:space="0" w:color="auto"/>
        <w:left w:val="none" w:sz="0" w:space="0" w:color="auto"/>
        <w:bottom w:val="none" w:sz="0" w:space="0" w:color="auto"/>
        <w:right w:val="none" w:sz="0" w:space="0" w:color="auto"/>
      </w:divBdr>
    </w:div>
    <w:div w:id="374503248">
      <w:bodyDiv w:val="1"/>
      <w:marLeft w:val="0"/>
      <w:marRight w:val="0"/>
      <w:marTop w:val="0"/>
      <w:marBottom w:val="0"/>
      <w:divBdr>
        <w:top w:val="none" w:sz="0" w:space="0" w:color="auto"/>
        <w:left w:val="none" w:sz="0" w:space="0" w:color="auto"/>
        <w:bottom w:val="none" w:sz="0" w:space="0" w:color="auto"/>
        <w:right w:val="none" w:sz="0" w:space="0" w:color="auto"/>
      </w:divBdr>
    </w:div>
    <w:div w:id="377438884">
      <w:bodyDiv w:val="1"/>
      <w:marLeft w:val="0"/>
      <w:marRight w:val="0"/>
      <w:marTop w:val="0"/>
      <w:marBottom w:val="0"/>
      <w:divBdr>
        <w:top w:val="none" w:sz="0" w:space="0" w:color="auto"/>
        <w:left w:val="none" w:sz="0" w:space="0" w:color="auto"/>
        <w:bottom w:val="none" w:sz="0" w:space="0" w:color="auto"/>
        <w:right w:val="none" w:sz="0" w:space="0" w:color="auto"/>
      </w:divBdr>
    </w:div>
    <w:div w:id="377700711">
      <w:bodyDiv w:val="1"/>
      <w:marLeft w:val="0"/>
      <w:marRight w:val="0"/>
      <w:marTop w:val="0"/>
      <w:marBottom w:val="0"/>
      <w:divBdr>
        <w:top w:val="none" w:sz="0" w:space="0" w:color="auto"/>
        <w:left w:val="none" w:sz="0" w:space="0" w:color="auto"/>
        <w:bottom w:val="none" w:sz="0" w:space="0" w:color="auto"/>
        <w:right w:val="none" w:sz="0" w:space="0" w:color="auto"/>
      </w:divBdr>
    </w:div>
    <w:div w:id="381175603">
      <w:bodyDiv w:val="1"/>
      <w:marLeft w:val="0"/>
      <w:marRight w:val="0"/>
      <w:marTop w:val="0"/>
      <w:marBottom w:val="0"/>
      <w:divBdr>
        <w:top w:val="none" w:sz="0" w:space="0" w:color="auto"/>
        <w:left w:val="none" w:sz="0" w:space="0" w:color="auto"/>
        <w:bottom w:val="none" w:sz="0" w:space="0" w:color="auto"/>
        <w:right w:val="none" w:sz="0" w:space="0" w:color="auto"/>
      </w:divBdr>
    </w:div>
    <w:div w:id="381295329">
      <w:bodyDiv w:val="1"/>
      <w:marLeft w:val="0"/>
      <w:marRight w:val="0"/>
      <w:marTop w:val="0"/>
      <w:marBottom w:val="0"/>
      <w:divBdr>
        <w:top w:val="none" w:sz="0" w:space="0" w:color="auto"/>
        <w:left w:val="none" w:sz="0" w:space="0" w:color="auto"/>
        <w:bottom w:val="none" w:sz="0" w:space="0" w:color="auto"/>
        <w:right w:val="none" w:sz="0" w:space="0" w:color="auto"/>
      </w:divBdr>
      <w:divsChild>
        <w:div w:id="222299857">
          <w:marLeft w:val="0"/>
          <w:marRight w:val="0"/>
          <w:marTop w:val="0"/>
          <w:marBottom w:val="0"/>
          <w:divBdr>
            <w:top w:val="none" w:sz="0" w:space="0" w:color="auto"/>
            <w:left w:val="none" w:sz="0" w:space="0" w:color="auto"/>
            <w:bottom w:val="none" w:sz="0" w:space="0" w:color="auto"/>
            <w:right w:val="none" w:sz="0" w:space="0" w:color="auto"/>
          </w:divBdr>
          <w:divsChild>
            <w:div w:id="1483698434">
              <w:marLeft w:val="0"/>
              <w:marRight w:val="0"/>
              <w:marTop w:val="0"/>
              <w:marBottom w:val="0"/>
              <w:divBdr>
                <w:top w:val="none" w:sz="0" w:space="0" w:color="auto"/>
                <w:left w:val="none" w:sz="0" w:space="0" w:color="auto"/>
                <w:bottom w:val="none" w:sz="0" w:space="0" w:color="auto"/>
                <w:right w:val="none" w:sz="0" w:space="0" w:color="auto"/>
              </w:divBdr>
              <w:divsChild>
                <w:div w:id="1212234221">
                  <w:marLeft w:val="0"/>
                  <w:marRight w:val="0"/>
                  <w:marTop w:val="0"/>
                  <w:marBottom w:val="0"/>
                  <w:divBdr>
                    <w:top w:val="none" w:sz="0" w:space="0" w:color="auto"/>
                    <w:left w:val="none" w:sz="0" w:space="0" w:color="auto"/>
                    <w:bottom w:val="none" w:sz="0" w:space="0" w:color="auto"/>
                    <w:right w:val="none" w:sz="0" w:space="0" w:color="auto"/>
                  </w:divBdr>
                  <w:divsChild>
                    <w:div w:id="598177705">
                      <w:marLeft w:val="0"/>
                      <w:marRight w:val="0"/>
                      <w:marTop w:val="0"/>
                      <w:marBottom w:val="0"/>
                      <w:divBdr>
                        <w:top w:val="none" w:sz="0" w:space="0" w:color="auto"/>
                        <w:left w:val="none" w:sz="0" w:space="0" w:color="auto"/>
                        <w:bottom w:val="none" w:sz="0" w:space="0" w:color="auto"/>
                        <w:right w:val="none" w:sz="0" w:space="0" w:color="auto"/>
                      </w:divBdr>
                      <w:divsChild>
                        <w:div w:id="1979526238">
                          <w:marLeft w:val="0"/>
                          <w:marRight w:val="0"/>
                          <w:marTop w:val="0"/>
                          <w:marBottom w:val="0"/>
                          <w:divBdr>
                            <w:top w:val="none" w:sz="0" w:space="0" w:color="auto"/>
                            <w:left w:val="none" w:sz="0" w:space="0" w:color="auto"/>
                            <w:bottom w:val="none" w:sz="0" w:space="0" w:color="auto"/>
                            <w:right w:val="none" w:sz="0" w:space="0" w:color="auto"/>
                          </w:divBdr>
                          <w:divsChild>
                            <w:div w:id="1104152596">
                              <w:marLeft w:val="0"/>
                              <w:marRight w:val="0"/>
                              <w:marTop w:val="0"/>
                              <w:marBottom w:val="0"/>
                              <w:divBdr>
                                <w:top w:val="none" w:sz="0" w:space="0" w:color="auto"/>
                                <w:left w:val="none" w:sz="0" w:space="0" w:color="auto"/>
                                <w:bottom w:val="none" w:sz="0" w:space="0" w:color="auto"/>
                                <w:right w:val="none" w:sz="0" w:space="0" w:color="auto"/>
                              </w:divBdr>
                              <w:divsChild>
                                <w:div w:id="7759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565405">
      <w:bodyDiv w:val="1"/>
      <w:marLeft w:val="0"/>
      <w:marRight w:val="0"/>
      <w:marTop w:val="0"/>
      <w:marBottom w:val="0"/>
      <w:divBdr>
        <w:top w:val="none" w:sz="0" w:space="0" w:color="auto"/>
        <w:left w:val="none" w:sz="0" w:space="0" w:color="auto"/>
        <w:bottom w:val="none" w:sz="0" w:space="0" w:color="auto"/>
        <w:right w:val="none" w:sz="0" w:space="0" w:color="auto"/>
      </w:divBdr>
    </w:div>
    <w:div w:id="386028794">
      <w:bodyDiv w:val="1"/>
      <w:marLeft w:val="0"/>
      <w:marRight w:val="0"/>
      <w:marTop w:val="0"/>
      <w:marBottom w:val="0"/>
      <w:divBdr>
        <w:top w:val="none" w:sz="0" w:space="0" w:color="auto"/>
        <w:left w:val="none" w:sz="0" w:space="0" w:color="auto"/>
        <w:bottom w:val="none" w:sz="0" w:space="0" w:color="auto"/>
        <w:right w:val="none" w:sz="0" w:space="0" w:color="auto"/>
      </w:divBdr>
    </w:div>
    <w:div w:id="386342569">
      <w:bodyDiv w:val="1"/>
      <w:marLeft w:val="0"/>
      <w:marRight w:val="0"/>
      <w:marTop w:val="0"/>
      <w:marBottom w:val="0"/>
      <w:divBdr>
        <w:top w:val="none" w:sz="0" w:space="0" w:color="auto"/>
        <w:left w:val="none" w:sz="0" w:space="0" w:color="auto"/>
        <w:bottom w:val="none" w:sz="0" w:space="0" w:color="auto"/>
        <w:right w:val="none" w:sz="0" w:space="0" w:color="auto"/>
      </w:divBdr>
    </w:div>
    <w:div w:id="386756878">
      <w:bodyDiv w:val="1"/>
      <w:marLeft w:val="0"/>
      <w:marRight w:val="0"/>
      <w:marTop w:val="0"/>
      <w:marBottom w:val="0"/>
      <w:divBdr>
        <w:top w:val="none" w:sz="0" w:space="0" w:color="auto"/>
        <w:left w:val="none" w:sz="0" w:space="0" w:color="auto"/>
        <w:bottom w:val="none" w:sz="0" w:space="0" w:color="auto"/>
        <w:right w:val="none" w:sz="0" w:space="0" w:color="auto"/>
      </w:divBdr>
    </w:div>
    <w:div w:id="387849294">
      <w:bodyDiv w:val="1"/>
      <w:marLeft w:val="0"/>
      <w:marRight w:val="0"/>
      <w:marTop w:val="0"/>
      <w:marBottom w:val="0"/>
      <w:divBdr>
        <w:top w:val="none" w:sz="0" w:space="0" w:color="auto"/>
        <w:left w:val="none" w:sz="0" w:space="0" w:color="auto"/>
        <w:bottom w:val="none" w:sz="0" w:space="0" w:color="auto"/>
        <w:right w:val="none" w:sz="0" w:space="0" w:color="auto"/>
      </w:divBdr>
    </w:div>
    <w:div w:id="394477684">
      <w:bodyDiv w:val="1"/>
      <w:marLeft w:val="0"/>
      <w:marRight w:val="0"/>
      <w:marTop w:val="0"/>
      <w:marBottom w:val="0"/>
      <w:divBdr>
        <w:top w:val="none" w:sz="0" w:space="0" w:color="auto"/>
        <w:left w:val="none" w:sz="0" w:space="0" w:color="auto"/>
        <w:bottom w:val="none" w:sz="0" w:space="0" w:color="auto"/>
        <w:right w:val="none" w:sz="0" w:space="0" w:color="auto"/>
      </w:divBdr>
    </w:div>
    <w:div w:id="395081724">
      <w:bodyDiv w:val="1"/>
      <w:marLeft w:val="0"/>
      <w:marRight w:val="0"/>
      <w:marTop w:val="0"/>
      <w:marBottom w:val="0"/>
      <w:divBdr>
        <w:top w:val="none" w:sz="0" w:space="0" w:color="auto"/>
        <w:left w:val="none" w:sz="0" w:space="0" w:color="auto"/>
        <w:bottom w:val="none" w:sz="0" w:space="0" w:color="auto"/>
        <w:right w:val="none" w:sz="0" w:space="0" w:color="auto"/>
      </w:divBdr>
    </w:div>
    <w:div w:id="399409116">
      <w:bodyDiv w:val="1"/>
      <w:marLeft w:val="0"/>
      <w:marRight w:val="0"/>
      <w:marTop w:val="0"/>
      <w:marBottom w:val="0"/>
      <w:divBdr>
        <w:top w:val="none" w:sz="0" w:space="0" w:color="auto"/>
        <w:left w:val="none" w:sz="0" w:space="0" w:color="auto"/>
        <w:bottom w:val="none" w:sz="0" w:space="0" w:color="auto"/>
        <w:right w:val="none" w:sz="0" w:space="0" w:color="auto"/>
      </w:divBdr>
    </w:div>
    <w:div w:id="401680854">
      <w:bodyDiv w:val="1"/>
      <w:marLeft w:val="0"/>
      <w:marRight w:val="0"/>
      <w:marTop w:val="0"/>
      <w:marBottom w:val="0"/>
      <w:divBdr>
        <w:top w:val="none" w:sz="0" w:space="0" w:color="auto"/>
        <w:left w:val="none" w:sz="0" w:space="0" w:color="auto"/>
        <w:bottom w:val="none" w:sz="0" w:space="0" w:color="auto"/>
        <w:right w:val="none" w:sz="0" w:space="0" w:color="auto"/>
      </w:divBdr>
    </w:div>
    <w:div w:id="409036653">
      <w:bodyDiv w:val="1"/>
      <w:marLeft w:val="0"/>
      <w:marRight w:val="0"/>
      <w:marTop w:val="0"/>
      <w:marBottom w:val="0"/>
      <w:divBdr>
        <w:top w:val="none" w:sz="0" w:space="0" w:color="auto"/>
        <w:left w:val="none" w:sz="0" w:space="0" w:color="auto"/>
        <w:bottom w:val="none" w:sz="0" w:space="0" w:color="auto"/>
        <w:right w:val="none" w:sz="0" w:space="0" w:color="auto"/>
      </w:divBdr>
    </w:div>
    <w:div w:id="418215419">
      <w:bodyDiv w:val="1"/>
      <w:marLeft w:val="0"/>
      <w:marRight w:val="0"/>
      <w:marTop w:val="0"/>
      <w:marBottom w:val="0"/>
      <w:divBdr>
        <w:top w:val="none" w:sz="0" w:space="0" w:color="auto"/>
        <w:left w:val="none" w:sz="0" w:space="0" w:color="auto"/>
        <w:bottom w:val="none" w:sz="0" w:space="0" w:color="auto"/>
        <w:right w:val="none" w:sz="0" w:space="0" w:color="auto"/>
      </w:divBdr>
    </w:div>
    <w:div w:id="425611394">
      <w:bodyDiv w:val="1"/>
      <w:marLeft w:val="0"/>
      <w:marRight w:val="0"/>
      <w:marTop w:val="0"/>
      <w:marBottom w:val="0"/>
      <w:divBdr>
        <w:top w:val="none" w:sz="0" w:space="0" w:color="auto"/>
        <w:left w:val="none" w:sz="0" w:space="0" w:color="auto"/>
        <w:bottom w:val="none" w:sz="0" w:space="0" w:color="auto"/>
        <w:right w:val="none" w:sz="0" w:space="0" w:color="auto"/>
      </w:divBdr>
    </w:div>
    <w:div w:id="429785672">
      <w:bodyDiv w:val="1"/>
      <w:marLeft w:val="0"/>
      <w:marRight w:val="0"/>
      <w:marTop w:val="0"/>
      <w:marBottom w:val="0"/>
      <w:divBdr>
        <w:top w:val="none" w:sz="0" w:space="0" w:color="auto"/>
        <w:left w:val="none" w:sz="0" w:space="0" w:color="auto"/>
        <w:bottom w:val="none" w:sz="0" w:space="0" w:color="auto"/>
        <w:right w:val="none" w:sz="0" w:space="0" w:color="auto"/>
      </w:divBdr>
    </w:div>
    <w:div w:id="435447603">
      <w:bodyDiv w:val="1"/>
      <w:marLeft w:val="0"/>
      <w:marRight w:val="0"/>
      <w:marTop w:val="0"/>
      <w:marBottom w:val="0"/>
      <w:divBdr>
        <w:top w:val="none" w:sz="0" w:space="0" w:color="auto"/>
        <w:left w:val="none" w:sz="0" w:space="0" w:color="auto"/>
        <w:bottom w:val="none" w:sz="0" w:space="0" w:color="auto"/>
        <w:right w:val="none" w:sz="0" w:space="0" w:color="auto"/>
      </w:divBdr>
    </w:div>
    <w:div w:id="437144838">
      <w:bodyDiv w:val="1"/>
      <w:marLeft w:val="0"/>
      <w:marRight w:val="0"/>
      <w:marTop w:val="0"/>
      <w:marBottom w:val="0"/>
      <w:divBdr>
        <w:top w:val="none" w:sz="0" w:space="0" w:color="auto"/>
        <w:left w:val="none" w:sz="0" w:space="0" w:color="auto"/>
        <w:bottom w:val="none" w:sz="0" w:space="0" w:color="auto"/>
        <w:right w:val="none" w:sz="0" w:space="0" w:color="auto"/>
      </w:divBdr>
    </w:div>
    <w:div w:id="438187622">
      <w:bodyDiv w:val="1"/>
      <w:marLeft w:val="0"/>
      <w:marRight w:val="0"/>
      <w:marTop w:val="0"/>
      <w:marBottom w:val="0"/>
      <w:divBdr>
        <w:top w:val="none" w:sz="0" w:space="0" w:color="auto"/>
        <w:left w:val="none" w:sz="0" w:space="0" w:color="auto"/>
        <w:bottom w:val="none" w:sz="0" w:space="0" w:color="auto"/>
        <w:right w:val="none" w:sz="0" w:space="0" w:color="auto"/>
      </w:divBdr>
    </w:div>
    <w:div w:id="445583287">
      <w:bodyDiv w:val="1"/>
      <w:marLeft w:val="0"/>
      <w:marRight w:val="0"/>
      <w:marTop w:val="0"/>
      <w:marBottom w:val="0"/>
      <w:divBdr>
        <w:top w:val="none" w:sz="0" w:space="0" w:color="auto"/>
        <w:left w:val="none" w:sz="0" w:space="0" w:color="auto"/>
        <w:bottom w:val="none" w:sz="0" w:space="0" w:color="auto"/>
        <w:right w:val="none" w:sz="0" w:space="0" w:color="auto"/>
      </w:divBdr>
    </w:div>
    <w:div w:id="446121042">
      <w:bodyDiv w:val="1"/>
      <w:marLeft w:val="0"/>
      <w:marRight w:val="0"/>
      <w:marTop w:val="0"/>
      <w:marBottom w:val="0"/>
      <w:divBdr>
        <w:top w:val="none" w:sz="0" w:space="0" w:color="auto"/>
        <w:left w:val="none" w:sz="0" w:space="0" w:color="auto"/>
        <w:bottom w:val="none" w:sz="0" w:space="0" w:color="auto"/>
        <w:right w:val="none" w:sz="0" w:space="0" w:color="auto"/>
      </w:divBdr>
    </w:div>
    <w:div w:id="446197348">
      <w:bodyDiv w:val="1"/>
      <w:marLeft w:val="0"/>
      <w:marRight w:val="0"/>
      <w:marTop w:val="0"/>
      <w:marBottom w:val="0"/>
      <w:divBdr>
        <w:top w:val="none" w:sz="0" w:space="0" w:color="auto"/>
        <w:left w:val="none" w:sz="0" w:space="0" w:color="auto"/>
        <w:bottom w:val="none" w:sz="0" w:space="0" w:color="auto"/>
        <w:right w:val="none" w:sz="0" w:space="0" w:color="auto"/>
      </w:divBdr>
    </w:div>
    <w:div w:id="449512836">
      <w:bodyDiv w:val="1"/>
      <w:marLeft w:val="0"/>
      <w:marRight w:val="0"/>
      <w:marTop w:val="0"/>
      <w:marBottom w:val="0"/>
      <w:divBdr>
        <w:top w:val="none" w:sz="0" w:space="0" w:color="auto"/>
        <w:left w:val="none" w:sz="0" w:space="0" w:color="auto"/>
        <w:bottom w:val="none" w:sz="0" w:space="0" w:color="auto"/>
        <w:right w:val="none" w:sz="0" w:space="0" w:color="auto"/>
      </w:divBdr>
    </w:div>
    <w:div w:id="451100100">
      <w:bodyDiv w:val="1"/>
      <w:marLeft w:val="0"/>
      <w:marRight w:val="0"/>
      <w:marTop w:val="0"/>
      <w:marBottom w:val="0"/>
      <w:divBdr>
        <w:top w:val="none" w:sz="0" w:space="0" w:color="auto"/>
        <w:left w:val="none" w:sz="0" w:space="0" w:color="auto"/>
        <w:bottom w:val="none" w:sz="0" w:space="0" w:color="auto"/>
        <w:right w:val="none" w:sz="0" w:space="0" w:color="auto"/>
      </w:divBdr>
    </w:div>
    <w:div w:id="456609368">
      <w:bodyDiv w:val="1"/>
      <w:marLeft w:val="0"/>
      <w:marRight w:val="0"/>
      <w:marTop w:val="0"/>
      <w:marBottom w:val="0"/>
      <w:divBdr>
        <w:top w:val="none" w:sz="0" w:space="0" w:color="auto"/>
        <w:left w:val="none" w:sz="0" w:space="0" w:color="auto"/>
        <w:bottom w:val="none" w:sz="0" w:space="0" w:color="auto"/>
        <w:right w:val="none" w:sz="0" w:space="0" w:color="auto"/>
      </w:divBdr>
    </w:div>
    <w:div w:id="456998009">
      <w:bodyDiv w:val="1"/>
      <w:marLeft w:val="0"/>
      <w:marRight w:val="0"/>
      <w:marTop w:val="0"/>
      <w:marBottom w:val="0"/>
      <w:divBdr>
        <w:top w:val="none" w:sz="0" w:space="0" w:color="auto"/>
        <w:left w:val="none" w:sz="0" w:space="0" w:color="auto"/>
        <w:bottom w:val="none" w:sz="0" w:space="0" w:color="auto"/>
        <w:right w:val="none" w:sz="0" w:space="0" w:color="auto"/>
      </w:divBdr>
    </w:div>
    <w:div w:id="463238633">
      <w:bodyDiv w:val="1"/>
      <w:marLeft w:val="0"/>
      <w:marRight w:val="0"/>
      <w:marTop w:val="0"/>
      <w:marBottom w:val="0"/>
      <w:divBdr>
        <w:top w:val="none" w:sz="0" w:space="0" w:color="auto"/>
        <w:left w:val="none" w:sz="0" w:space="0" w:color="auto"/>
        <w:bottom w:val="none" w:sz="0" w:space="0" w:color="auto"/>
        <w:right w:val="none" w:sz="0" w:space="0" w:color="auto"/>
      </w:divBdr>
    </w:div>
    <w:div w:id="468019516">
      <w:bodyDiv w:val="1"/>
      <w:marLeft w:val="0"/>
      <w:marRight w:val="0"/>
      <w:marTop w:val="0"/>
      <w:marBottom w:val="0"/>
      <w:divBdr>
        <w:top w:val="none" w:sz="0" w:space="0" w:color="auto"/>
        <w:left w:val="none" w:sz="0" w:space="0" w:color="auto"/>
        <w:bottom w:val="none" w:sz="0" w:space="0" w:color="auto"/>
        <w:right w:val="none" w:sz="0" w:space="0" w:color="auto"/>
      </w:divBdr>
    </w:div>
    <w:div w:id="468477802">
      <w:bodyDiv w:val="1"/>
      <w:marLeft w:val="0"/>
      <w:marRight w:val="0"/>
      <w:marTop w:val="0"/>
      <w:marBottom w:val="0"/>
      <w:divBdr>
        <w:top w:val="none" w:sz="0" w:space="0" w:color="auto"/>
        <w:left w:val="none" w:sz="0" w:space="0" w:color="auto"/>
        <w:bottom w:val="none" w:sz="0" w:space="0" w:color="auto"/>
        <w:right w:val="none" w:sz="0" w:space="0" w:color="auto"/>
      </w:divBdr>
    </w:div>
    <w:div w:id="471023078">
      <w:bodyDiv w:val="1"/>
      <w:marLeft w:val="0"/>
      <w:marRight w:val="0"/>
      <w:marTop w:val="0"/>
      <w:marBottom w:val="0"/>
      <w:divBdr>
        <w:top w:val="none" w:sz="0" w:space="0" w:color="auto"/>
        <w:left w:val="none" w:sz="0" w:space="0" w:color="auto"/>
        <w:bottom w:val="none" w:sz="0" w:space="0" w:color="auto"/>
        <w:right w:val="none" w:sz="0" w:space="0" w:color="auto"/>
      </w:divBdr>
    </w:div>
    <w:div w:id="476411693">
      <w:bodyDiv w:val="1"/>
      <w:marLeft w:val="0"/>
      <w:marRight w:val="0"/>
      <w:marTop w:val="0"/>
      <w:marBottom w:val="0"/>
      <w:divBdr>
        <w:top w:val="none" w:sz="0" w:space="0" w:color="auto"/>
        <w:left w:val="none" w:sz="0" w:space="0" w:color="auto"/>
        <w:bottom w:val="none" w:sz="0" w:space="0" w:color="auto"/>
        <w:right w:val="none" w:sz="0" w:space="0" w:color="auto"/>
      </w:divBdr>
    </w:div>
    <w:div w:id="478813158">
      <w:bodyDiv w:val="1"/>
      <w:marLeft w:val="0"/>
      <w:marRight w:val="0"/>
      <w:marTop w:val="0"/>
      <w:marBottom w:val="0"/>
      <w:divBdr>
        <w:top w:val="none" w:sz="0" w:space="0" w:color="auto"/>
        <w:left w:val="none" w:sz="0" w:space="0" w:color="auto"/>
        <w:bottom w:val="none" w:sz="0" w:space="0" w:color="auto"/>
        <w:right w:val="none" w:sz="0" w:space="0" w:color="auto"/>
      </w:divBdr>
    </w:div>
    <w:div w:id="480584440">
      <w:bodyDiv w:val="1"/>
      <w:marLeft w:val="0"/>
      <w:marRight w:val="0"/>
      <w:marTop w:val="0"/>
      <w:marBottom w:val="0"/>
      <w:divBdr>
        <w:top w:val="none" w:sz="0" w:space="0" w:color="auto"/>
        <w:left w:val="none" w:sz="0" w:space="0" w:color="auto"/>
        <w:bottom w:val="none" w:sz="0" w:space="0" w:color="auto"/>
        <w:right w:val="none" w:sz="0" w:space="0" w:color="auto"/>
      </w:divBdr>
    </w:div>
    <w:div w:id="484199197">
      <w:bodyDiv w:val="1"/>
      <w:marLeft w:val="0"/>
      <w:marRight w:val="0"/>
      <w:marTop w:val="0"/>
      <w:marBottom w:val="0"/>
      <w:divBdr>
        <w:top w:val="none" w:sz="0" w:space="0" w:color="auto"/>
        <w:left w:val="none" w:sz="0" w:space="0" w:color="auto"/>
        <w:bottom w:val="none" w:sz="0" w:space="0" w:color="auto"/>
        <w:right w:val="none" w:sz="0" w:space="0" w:color="auto"/>
      </w:divBdr>
    </w:div>
    <w:div w:id="485126069">
      <w:bodyDiv w:val="1"/>
      <w:marLeft w:val="0"/>
      <w:marRight w:val="0"/>
      <w:marTop w:val="0"/>
      <w:marBottom w:val="0"/>
      <w:divBdr>
        <w:top w:val="none" w:sz="0" w:space="0" w:color="auto"/>
        <w:left w:val="none" w:sz="0" w:space="0" w:color="auto"/>
        <w:bottom w:val="none" w:sz="0" w:space="0" w:color="auto"/>
        <w:right w:val="none" w:sz="0" w:space="0" w:color="auto"/>
      </w:divBdr>
    </w:div>
    <w:div w:id="487480342">
      <w:bodyDiv w:val="1"/>
      <w:marLeft w:val="0"/>
      <w:marRight w:val="0"/>
      <w:marTop w:val="0"/>
      <w:marBottom w:val="0"/>
      <w:divBdr>
        <w:top w:val="none" w:sz="0" w:space="0" w:color="auto"/>
        <w:left w:val="none" w:sz="0" w:space="0" w:color="auto"/>
        <w:bottom w:val="none" w:sz="0" w:space="0" w:color="auto"/>
        <w:right w:val="none" w:sz="0" w:space="0" w:color="auto"/>
      </w:divBdr>
    </w:div>
    <w:div w:id="488519992">
      <w:bodyDiv w:val="1"/>
      <w:marLeft w:val="0"/>
      <w:marRight w:val="0"/>
      <w:marTop w:val="0"/>
      <w:marBottom w:val="0"/>
      <w:divBdr>
        <w:top w:val="none" w:sz="0" w:space="0" w:color="auto"/>
        <w:left w:val="none" w:sz="0" w:space="0" w:color="auto"/>
        <w:bottom w:val="none" w:sz="0" w:space="0" w:color="auto"/>
        <w:right w:val="none" w:sz="0" w:space="0" w:color="auto"/>
      </w:divBdr>
    </w:div>
    <w:div w:id="493230592">
      <w:bodyDiv w:val="1"/>
      <w:marLeft w:val="0"/>
      <w:marRight w:val="0"/>
      <w:marTop w:val="0"/>
      <w:marBottom w:val="0"/>
      <w:divBdr>
        <w:top w:val="none" w:sz="0" w:space="0" w:color="auto"/>
        <w:left w:val="none" w:sz="0" w:space="0" w:color="auto"/>
        <w:bottom w:val="none" w:sz="0" w:space="0" w:color="auto"/>
        <w:right w:val="none" w:sz="0" w:space="0" w:color="auto"/>
      </w:divBdr>
    </w:div>
    <w:div w:id="495848526">
      <w:bodyDiv w:val="1"/>
      <w:marLeft w:val="0"/>
      <w:marRight w:val="0"/>
      <w:marTop w:val="0"/>
      <w:marBottom w:val="0"/>
      <w:divBdr>
        <w:top w:val="none" w:sz="0" w:space="0" w:color="auto"/>
        <w:left w:val="none" w:sz="0" w:space="0" w:color="auto"/>
        <w:bottom w:val="none" w:sz="0" w:space="0" w:color="auto"/>
        <w:right w:val="none" w:sz="0" w:space="0" w:color="auto"/>
      </w:divBdr>
    </w:div>
    <w:div w:id="496577041">
      <w:bodyDiv w:val="1"/>
      <w:marLeft w:val="0"/>
      <w:marRight w:val="0"/>
      <w:marTop w:val="0"/>
      <w:marBottom w:val="0"/>
      <w:divBdr>
        <w:top w:val="none" w:sz="0" w:space="0" w:color="auto"/>
        <w:left w:val="none" w:sz="0" w:space="0" w:color="auto"/>
        <w:bottom w:val="none" w:sz="0" w:space="0" w:color="auto"/>
        <w:right w:val="none" w:sz="0" w:space="0" w:color="auto"/>
      </w:divBdr>
    </w:div>
    <w:div w:id="503326808">
      <w:bodyDiv w:val="1"/>
      <w:marLeft w:val="0"/>
      <w:marRight w:val="0"/>
      <w:marTop w:val="0"/>
      <w:marBottom w:val="0"/>
      <w:divBdr>
        <w:top w:val="none" w:sz="0" w:space="0" w:color="auto"/>
        <w:left w:val="none" w:sz="0" w:space="0" w:color="auto"/>
        <w:bottom w:val="none" w:sz="0" w:space="0" w:color="auto"/>
        <w:right w:val="none" w:sz="0" w:space="0" w:color="auto"/>
      </w:divBdr>
    </w:div>
    <w:div w:id="507602445">
      <w:bodyDiv w:val="1"/>
      <w:marLeft w:val="0"/>
      <w:marRight w:val="0"/>
      <w:marTop w:val="0"/>
      <w:marBottom w:val="0"/>
      <w:divBdr>
        <w:top w:val="none" w:sz="0" w:space="0" w:color="auto"/>
        <w:left w:val="none" w:sz="0" w:space="0" w:color="auto"/>
        <w:bottom w:val="none" w:sz="0" w:space="0" w:color="auto"/>
        <w:right w:val="none" w:sz="0" w:space="0" w:color="auto"/>
      </w:divBdr>
    </w:div>
    <w:div w:id="511190570">
      <w:bodyDiv w:val="1"/>
      <w:marLeft w:val="0"/>
      <w:marRight w:val="0"/>
      <w:marTop w:val="0"/>
      <w:marBottom w:val="0"/>
      <w:divBdr>
        <w:top w:val="none" w:sz="0" w:space="0" w:color="auto"/>
        <w:left w:val="none" w:sz="0" w:space="0" w:color="auto"/>
        <w:bottom w:val="none" w:sz="0" w:space="0" w:color="auto"/>
        <w:right w:val="none" w:sz="0" w:space="0" w:color="auto"/>
      </w:divBdr>
    </w:div>
    <w:div w:id="517701429">
      <w:bodyDiv w:val="1"/>
      <w:marLeft w:val="0"/>
      <w:marRight w:val="0"/>
      <w:marTop w:val="0"/>
      <w:marBottom w:val="0"/>
      <w:divBdr>
        <w:top w:val="none" w:sz="0" w:space="0" w:color="auto"/>
        <w:left w:val="none" w:sz="0" w:space="0" w:color="auto"/>
        <w:bottom w:val="none" w:sz="0" w:space="0" w:color="auto"/>
        <w:right w:val="none" w:sz="0" w:space="0" w:color="auto"/>
      </w:divBdr>
    </w:div>
    <w:div w:id="521284746">
      <w:bodyDiv w:val="1"/>
      <w:marLeft w:val="0"/>
      <w:marRight w:val="0"/>
      <w:marTop w:val="0"/>
      <w:marBottom w:val="0"/>
      <w:divBdr>
        <w:top w:val="none" w:sz="0" w:space="0" w:color="auto"/>
        <w:left w:val="none" w:sz="0" w:space="0" w:color="auto"/>
        <w:bottom w:val="none" w:sz="0" w:space="0" w:color="auto"/>
        <w:right w:val="none" w:sz="0" w:space="0" w:color="auto"/>
      </w:divBdr>
    </w:div>
    <w:div w:id="526723292">
      <w:bodyDiv w:val="1"/>
      <w:marLeft w:val="0"/>
      <w:marRight w:val="0"/>
      <w:marTop w:val="0"/>
      <w:marBottom w:val="0"/>
      <w:divBdr>
        <w:top w:val="none" w:sz="0" w:space="0" w:color="auto"/>
        <w:left w:val="none" w:sz="0" w:space="0" w:color="auto"/>
        <w:bottom w:val="none" w:sz="0" w:space="0" w:color="auto"/>
        <w:right w:val="none" w:sz="0" w:space="0" w:color="auto"/>
      </w:divBdr>
    </w:div>
    <w:div w:id="532621174">
      <w:bodyDiv w:val="1"/>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539317178">
      <w:bodyDiv w:val="1"/>
      <w:marLeft w:val="0"/>
      <w:marRight w:val="0"/>
      <w:marTop w:val="0"/>
      <w:marBottom w:val="0"/>
      <w:divBdr>
        <w:top w:val="none" w:sz="0" w:space="0" w:color="auto"/>
        <w:left w:val="none" w:sz="0" w:space="0" w:color="auto"/>
        <w:bottom w:val="none" w:sz="0" w:space="0" w:color="auto"/>
        <w:right w:val="none" w:sz="0" w:space="0" w:color="auto"/>
      </w:divBdr>
    </w:div>
    <w:div w:id="543978903">
      <w:bodyDiv w:val="1"/>
      <w:marLeft w:val="0"/>
      <w:marRight w:val="0"/>
      <w:marTop w:val="0"/>
      <w:marBottom w:val="0"/>
      <w:divBdr>
        <w:top w:val="none" w:sz="0" w:space="0" w:color="auto"/>
        <w:left w:val="none" w:sz="0" w:space="0" w:color="auto"/>
        <w:bottom w:val="none" w:sz="0" w:space="0" w:color="auto"/>
        <w:right w:val="none" w:sz="0" w:space="0" w:color="auto"/>
      </w:divBdr>
    </w:div>
    <w:div w:id="551235689">
      <w:bodyDiv w:val="1"/>
      <w:marLeft w:val="0"/>
      <w:marRight w:val="0"/>
      <w:marTop w:val="0"/>
      <w:marBottom w:val="0"/>
      <w:divBdr>
        <w:top w:val="none" w:sz="0" w:space="0" w:color="auto"/>
        <w:left w:val="none" w:sz="0" w:space="0" w:color="auto"/>
        <w:bottom w:val="none" w:sz="0" w:space="0" w:color="auto"/>
        <w:right w:val="none" w:sz="0" w:space="0" w:color="auto"/>
      </w:divBdr>
    </w:div>
    <w:div w:id="552234420">
      <w:bodyDiv w:val="1"/>
      <w:marLeft w:val="0"/>
      <w:marRight w:val="0"/>
      <w:marTop w:val="0"/>
      <w:marBottom w:val="0"/>
      <w:divBdr>
        <w:top w:val="none" w:sz="0" w:space="0" w:color="auto"/>
        <w:left w:val="none" w:sz="0" w:space="0" w:color="auto"/>
        <w:bottom w:val="none" w:sz="0" w:space="0" w:color="auto"/>
        <w:right w:val="none" w:sz="0" w:space="0" w:color="auto"/>
      </w:divBdr>
    </w:div>
    <w:div w:id="553080993">
      <w:bodyDiv w:val="1"/>
      <w:marLeft w:val="0"/>
      <w:marRight w:val="0"/>
      <w:marTop w:val="0"/>
      <w:marBottom w:val="0"/>
      <w:divBdr>
        <w:top w:val="none" w:sz="0" w:space="0" w:color="auto"/>
        <w:left w:val="none" w:sz="0" w:space="0" w:color="auto"/>
        <w:bottom w:val="none" w:sz="0" w:space="0" w:color="auto"/>
        <w:right w:val="none" w:sz="0" w:space="0" w:color="auto"/>
      </w:divBdr>
    </w:div>
    <w:div w:id="556665797">
      <w:bodyDiv w:val="1"/>
      <w:marLeft w:val="0"/>
      <w:marRight w:val="0"/>
      <w:marTop w:val="0"/>
      <w:marBottom w:val="0"/>
      <w:divBdr>
        <w:top w:val="none" w:sz="0" w:space="0" w:color="auto"/>
        <w:left w:val="none" w:sz="0" w:space="0" w:color="auto"/>
        <w:bottom w:val="none" w:sz="0" w:space="0" w:color="auto"/>
        <w:right w:val="none" w:sz="0" w:space="0" w:color="auto"/>
      </w:divBdr>
    </w:div>
    <w:div w:id="559832304">
      <w:bodyDiv w:val="1"/>
      <w:marLeft w:val="0"/>
      <w:marRight w:val="0"/>
      <w:marTop w:val="0"/>
      <w:marBottom w:val="0"/>
      <w:divBdr>
        <w:top w:val="none" w:sz="0" w:space="0" w:color="auto"/>
        <w:left w:val="none" w:sz="0" w:space="0" w:color="auto"/>
        <w:bottom w:val="none" w:sz="0" w:space="0" w:color="auto"/>
        <w:right w:val="none" w:sz="0" w:space="0" w:color="auto"/>
      </w:divBdr>
    </w:div>
    <w:div w:id="569198049">
      <w:bodyDiv w:val="1"/>
      <w:marLeft w:val="0"/>
      <w:marRight w:val="0"/>
      <w:marTop w:val="0"/>
      <w:marBottom w:val="0"/>
      <w:divBdr>
        <w:top w:val="none" w:sz="0" w:space="0" w:color="auto"/>
        <w:left w:val="none" w:sz="0" w:space="0" w:color="auto"/>
        <w:bottom w:val="none" w:sz="0" w:space="0" w:color="auto"/>
        <w:right w:val="none" w:sz="0" w:space="0" w:color="auto"/>
      </w:divBdr>
      <w:divsChild>
        <w:div w:id="65622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463719">
      <w:bodyDiv w:val="1"/>
      <w:marLeft w:val="0"/>
      <w:marRight w:val="0"/>
      <w:marTop w:val="0"/>
      <w:marBottom w:val="0"/>
      <w:divBdr>
        <w:top w:val="none" w:sz="0" w:space="0" w:color="auto"/>
        <w:left w:val="none" w:sz="0" w:space="0" w:color="auto"/>
        <w:bottom w:val="none" w:sz="0" w:space="0" w:color="auto"/>
        <w:right w:val="none" w:sz="0" w:space="0" w:color="auto"/>
      </w:divBdr>
    </w:div>
    <w:div w:id="570778270">
      <w:bodyDiv w:val="1"/>
      <w:marLeft w:val="0"/>
      <w:marRight w:val="0"/>
      <w:marTop w:val="0"/>
      <w:marBottom w:val="0"/>
      <w:divBdr>
        <w:top w:val="none" w:sz="0" w:space="0" w:color="auto"/>
        <w:left w:val="none" w:sz="0" w:space="0" w:color="auto"/>
        <w:bottom w:val="none" w:sz="0" w:space="0" w:color="auto"/>
        <w:right w:val="none" w:sz="0" w:space="0" w:color="auto"/>
      </w:divBdr>
    </w:div>
    <w:div w:id="580607261">
      <w:bodyDiv w:val="1"/>
      <w:marLeft w:val="0"/>
      <w:marRight w:val="0"/>
      <w:marTop w:val="0"/>
      <w:marBottom w:val="0"/>
      <w:divBdr>
        <w:top w:val="none" w:sz="0" w:space="0" w:color="auto"/>
        <w:left w:val="none" w:sz="0" w:space="0" w:color="auto"/>
        <w:bottom w:val="none" w:sz="0" w:space="0" w:color="auto"/>
        <w:right w:val="none" w:sz="0" w:space="0" w:color="auto"/>
      </w:divBdr>
    </w:div>
    <w:div w:id="582185957">
      <w:bodyDiv w:val="1"/>
      <w:marLeft w:val="0"/>
      <w:marRight w:val="0"/>
      <w:marTop w:val="0"/>
      <w:marBottom w:val="0"/>
      <w:divBdr>
        <w:top w:val="none" w:sz="0" w:space="0" w:color="auto"/>
        <w:left w:val="none" w:sz="0" w:space="0" w:color="auto"/>
        <w:bottom w:val="none" w:sz="0" w:space="0" w:color="auto"/>
        <w:right w:val="none" w:sz="0" w:space="0" w:color="auto"/>
      </w:divBdr>
    </w:div>
    <w:div w:id="583493630">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598877079">
      <w:bodyDiv w:val="1"/>
      <w:marLeft w:val="0"/>
      <w:marRight w:val="0"/>
      <w:marTop w:val="0"/>
      <w:marBottom w:val="0"/>
      <w:divBdr>
        <w:top w:val="none" w:sz="0" w:space="0" w:color="auto"/>
        <w:left w:val="none" w:sz="0" w:space="0" w:color="auto"/>
        <w:bottom w:val="none" w:sz="0" w:space="0" w:color="auto"/>
        <w:right w:val="none" w:sz="0" w:space="0" w:color="auto"/>
      </w:divBdr>
    </w:div>
    <w:div w:id="599797260">
      <w:bodyDiv w:val="1"/>
      <w:marLeft w:val="0"/>
      <w:marRight w:val="0"/>
      <w:marTop w:val="0"/>
      <w:marBottom w:val="0"/>
      <w:divBdr>
        <w:top w:val="none" w:sz="0" w:space="0" w:color="auto"/>
        <w:left w:val="none" w:sz="0" w:space="0" w:color="auto"/>
        <w:bottom w:val="none" w:sz="0" w:space="0" w:color="auto"/>
        <w:right w:val="none" w:sz="0" w:space="0" w:color="auto"/>
      </w:divBdr>
    </w:div>
    <w:div w:id="601844055">
      <w:bodyDiv w:val="1"/>
      <w:marLeft w:val="0"/>
      <w:marRight w:val="0"/>
      <w:marTop w:val="0"/>
      <w:marBottom w:val="0"/>
      <w:divBdr>
        <w:top w:val="none" w:sz="0" w:space="0" w:color="auto"/>
        <w:left w:val="none" w:sz="0" w:space="0" w:color="auto"/>
        <w:bottom w:val="none" w:sz="0" w:space="0" w:color="auto"/>
        <w:right w:val="none" w:sz="0" w:space="0" w:color="auto"/>
      </w:divBdr>
    </w:div>
    <w:div w:id="603804569">
      <w:bodyDiv w:val="1"/>
      <w:marLeft w:val="0"/>
      <w:marRight w:val="0"/>
      <w:marTop w:val="0"/>
      <w:marBottom w:val="0"/>
      <w:divBdr>
        <w:top w:val="none" w:sz="0" w:space="0" w:color="auto"/>
        <w:left w:val="none" w:sz="0" w:space="0" w:color="auto"/>
        <w:bottom w:val="none" w:sz="0" w:space="0" w:color="auto"/>
        <w:right w:val="none" w:sz="0" w:space="0" w:color="auto"/>
      </w:divBdr>
    </w:div>
    <w:div w:id="604920149">
      <w:bodyDiv w:val="1"/>
      <w:marLeft w:val="0"/>
      <w:marRight w:val="0"/>
      <w:marTop w:val="0"/>
      <w:marBottom w:val="0"/>
      <w:divBdr>
        <w:top w:val="none" w:sz="0" w:space="0" w:color="auto"/>
        <w:left w:val="none" w:sz="0" w:space="0" w:color="auto"/>
        <w:bottom w:val="none" w:sz="0" w:space="0" w:color="auto"/>
        <w:right w:val="none" w:sz="0" w:space="0" w:color="auto"/>
      </w:divBdr>
    </w:div>
    <w:div w:id="620844816">
      <w:bodyDiv w:val="1"/>
      <w:marLeft w:val="0"/>
      <w:marRight w:val="0"/>
      <w:marTop w:val="0"/>
      <w:marBottom w:val="0"/>
      <w:divBdr>
        <w:top w:val="none" w:sz="0" w:space="0" w:color="auto"/>
        <w:left w:val="none" w:sz="0" w:space="0" w:color="auto"/>
        <w:bottom w:val="none" w:sz="0" w:space="0" w:color="auto"/>
        <w:right w:val="none" w:sz="0" w:space="0" w:color="auto"/>
      </w:divBdr>
    </w:div>
    <w:div w:id="623000303">
      <w:bodyDiv w:val="1"/>
      <w:marLeft w:val="0"/>
      <w:marRight w:val="0"/>
      <w:marTop w:val="0"/>
      <w:marBottom w:val="0"/>
      <w:divBdr>
        <w:top w:val="none" w:sz="0" w:space="0" w:color="auto"/>
        <w:left w:val="none" w:sz="0" w:space="0" w:color="auto"/>
        <w:bottom w:val="none" w:sz="0" w:space="0" w:color="auto"/>
        <w:right w:val="none" w:sz="0" w:space="0" w:color="auto"/>
      </w:divBdr>
    </w:div>
    <w:div w:id="623775233">
      <w:bodyDiv w:val="1"/>
      <w:marLeft w:val="0"/>
      <w:marRight w:val="0"/>
      <w:marTop w:val="0"/>
      <w:marBottom w:val="0"/>
      <w:divBdr>
        <w:top w:val="none" w:sz="0" w:space="0" w:color="auto"/>
        <w:left w:val="none" w:sz="0" w:space="0" w:color="auto"/>
        <w:bottom w:val="none" w:sz="0" w:space="0" w:color="auto"/>
        <w:right w:val="none" w:sz="0" w:space="0" w:color="auto"/>
      </w:divBdr>
    </w:div>
    <w:div w:id="629016048">
      <w:bodyDiv w:val="1"/>
      <w:marLeft w:val="0"/>
      <w:marRight w:val="0"/>
      <w:marTop w:val="0"/>
      <w:marBottom w:val="0"/>
      <w:divBdr>
        <w:top w:val="none" w:sz="0" w:space="0" w:color="auto"/>
        <w:left w:val="none" w:sz="0" w:space="0" w:color="auto"/>
        <w:bottom w:val="none" w:sz="0" w:space="0" w:color="auto"/>
        <w:right w:val="none" w:sz="0" w:space="0" w:color="auto"/>
      </w:divBdr>
    </w:div>
    <w:div w:id="629752283">
      <w:bodyDiv w:val="1"/>
      <w:marLeft w:val="0"/>
      <w:marRight w:val="0"/>
      <w:marTop w:val="0"/>
      <w:marBottom w:val="0"/>
      <w:divBdr>
        <w:top w:val="none" w:sz="0" w:space="0" w:color="auto"/>
        <w:left w:val="none" w:sz="0" w:space="0" w:color="auto"/>
        <w:bottom w:val="none" w:sz="0" w:space="0" w:color="auto"/>
        <w:right w:val="none" w:sz="0" w:space="0" w:color="auto"/>
      </w:divBdr>
    </w:div>
    <w:div w:id="638337275">
      <w:bodyDiv w:val="1"/>
      <w:marLeft w:val="0"/>
      <w:marRight w:val="0"/>
      <w:marTop w:val="0"/>
      <w:marBottom w:val="0"/>
      <w:divBdr>
        <w:top w:val="none" w:sz="0" w:space="0" w:color="auto"/>
        <w:left w:val="none" w:sz="0" w:space="0" w:color="auto"/>
        <w:bottom w:val="none" w:sz="0" w:space="0" w:color="auto"/>
        <w:right w:val="none" w:sz="0" w:space="0" w:color="auto"/>
      </w:divBdr>
    </w:div>
    <w:div w:id="643119459">
      <w:bodyDiv w:val="1"/>
      <w:marLeft w:val="0"/>
      <w:marRight w:val="0"/>
      <w:marTop w:val="0"/>
      <w:marBottom w:val="0"/>
      <w:divBdr>
        <w:top w:val="none" w:sz="0" w:space="0" w:color="auto"/>
        <w:left w:val="none" w:sz="0" w:space="0" w:color="auto"/>
        <w:bottom w:val="none" w:sz="0" w:space="0" w:color="auto"/>
        <w:right w:val="none" w:sz="0" w:space="0" w:color="auto"/>
      </w:divBdr>
    </w:div>
    <w:div w:id="647318410">
      <w:bodyDiv w:val="1"/>
      <w:marLeft w:val="0"/>
      <w:marRight w:val="0"/>
      <w:marTop w:val="0"/>
      <w:marBottom w:val="0"/>
      <w:divBdr>
        <w:top w:val="none" w:sz="0" w:space="0" w:color="auto"/>
        <w:left w:val="none" w:sz="0" w:space="0" w:color="auto"/>
        <w:bottom w:val="none" w:sz="0" w:space="0" w:color="auto"/>
        <w:right w:val="none" w:sz="0" w:space="0" w:color="auto"/>
      </w:divBdr>
      <w:divsChild>
        <w:div w:id="16197105">
          <w:marLeft w:val="0"/>
          <w:marRight w:val="0"/>
          <w:marTop w:val="0"/>
          <w:marBottom w:val="0"/>
          <w:divBdr>
            <w:top w:val="none" w:sz="0" w:space="0" w:color="auto"/>
            <w:left w:val="none" w:sz="0" w:space="0" w:color="auto"/>
            <w:bottom w:val="none" w:sz="0" w:space="0" w:color="auto"/>
            <w:right w:val="none" w:sz="0" w:space="0" w:color="auto"/>
          </w:divBdr>
          <w:divsChild>
            <w:div w:id="309405455">
              <w:marLeft w:val="0"/>
              <w:marRight w:val="0"/>
              <w:marTop w:val="0"/>
              <w:marBottom w:val="0"/>
              <w:divBdr>
                <w:top w:val="none" w:sz="0" w:space="0" w:color="auto"/>
                <w:left w:val="none" w:sz="0" w:space="0" w:color="auto"/>
                <w:bottom w:val="none" w:sz="0" w:space="0" w:color="auto"/>
                <w:right w:val="none" w:sz="0" w:space="0" w:color="auto"/>
              </w:divBdr>
              <w:divsChild>
                <w:div w:id="808203595">
                  <w:marLeft w:val="0"/>
                  <w:marRight w:val="0"/>
                  <w:marTop w:val="0"/>
                  <w:marBottom w:val="0"/>
                  <w:divBdr>
                    <w:top w:val="none" w:sz="0" w:space="0" w:color="auto"/>
                    <w:left w:val="none" w:sz="0" w:space="0" w:color="auto"/>
                    <w:bottom w:val="none" w:sz="0" w:space="0" w:color="auto"/>
                    <w:right w:val="none" w:sz="0" w:space="0" w:color="auto"/>
                  </w:divBdr>
                  <w:divsChild>
                    <w:div w:id="2077363475">
                      <w:marLeft w:val="0"/>
                      <w:marRight w:val="0"/>
                      <w:marTop w:val="0"/>
                      <w:marBottom w:val="0"/>
                      <w:divBdr>
                        <w:top w:val="none" w:sz="0" w:space="0" w:color="auto"/>
                        <w:left w:val="none" w:sz="0" w:space="0" w:color="auto"/>
                        <w:bottom w:val="none" w:sz="0" w:space="0" w:color="auto"/>
                        <w:right w:val="none" w:sz="0" w:space="0" w:color="auto"/>
                      </w:divBdr>
                      <w:divsChild>
                        <w:div w:id="159270937">
                          <w:marLeft w:val="0"/>
                          <w:marRight w:val="0"/>
                          <w:marTop w:val="0"/>
                          <w:marBottom w:val="0"/>
                          <w:divBdr>
                            <w:top w:val="none" w:sz="0" w:space="0" w:color="auto"/>
                            <w:left w:val="none" w:sz="0" w:space="0" w:color="auto"/>
                            <w:bottom w:val="none" w:sz="0" w:space="0" w:color="auto"/>
                            <w:right w:val="none" w:sz="0" w:space="0" w:color="auto"/>
                          </w:divBdr>
                          <w:divsChild>
                            <w:div w:id="1797484996">
                              <w:marLeft w:val="0"/>
                              <w:marRight w:val="0"/>
                              <w:marTop w:val="0"/>
                              <w:marBottom w:val="0"/>
                              <w:divBdr>
                                <w:top w:val="none" w:sz="0" w:space="0" w:color="auto"/>
                                <w:left w:val="none" w:sz="0" w:space="0" w:color="auto"/>
                                <w:bottom w:val="none" w:sz="0" w:space="0" w:color="auto"/>
                                <w:right w:val="none" w:sz="0" w:space="0" w:color="auto"/>
                              </w:divBdr>
                              <w:divsChild>
                                <w:div w:id="17284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488762">
      <w:bodyDiv w:val="1"/>
      <w:marLeft w:val="0"/>
      <w:marRight w:val="0"/>
      <w:marTop w:val="0"/>
      <w:marBottom w:val="0"/>
      <w:divBdr>
        <w:top w:val="none" w:sz="0" w:space="0" w:color="auto"/>
        <w:left w:val="none" w:sz="0" w:space="0" w:color="auto"/>
        <w:bottom w:val="none" w:sz="0" w:space="0" w:color="auto"/>
        <w:right w:val="none" w:sz="0" w:space="0" w:color="auto"/>
      </w:divBdr>
    </w:div>
    <w:div w:id="653484616">
      <w:bodyDiv w:val="1"/>
      <w:marLeft w:val="0"/>
      <w:marRight w:val="0"/>
      <w:marTop w:val="0"/>
      <w:marBottom w:val="0"/>
      <w:divBdr>
        <w:top w:val="none" w:sz="0" w:space="0" w:color="auto"/>
        <w:left w:val="none" w:sz="0" w:space="0" w:color="auto"/>
        <w:bottom w:val="none" w:sz="0" w:space="0" w:color="auto"/>
        <w:right w:val="none" w:sz="0" w:space="0" w:color="auto"/>
      </w:divBdr>
    </w:div>
    <w:div w:id="653950021">
      <w:bodyDiv w:val="1"/>
      <w:marLeft w:val="0"/>
      <w:marRight w:val="0"/>
      <w:marTop w:val="0"/>
      <w:marBottom w:val="0"/>
      <w:divBdr>
        <w:top w:val="none" w:sz="0" w:space="0" w:color="auto"/>
        <w:left w:val="none" w:sz="0" w:space="0" w:color="auto"/>
        <w:bottom w:val="none" w:sz="0" w:space="0" w:color="auto"/>
        <w:right w:val="none" w:sz="0" w:space="0" w:color="auto"/>
      </w:divBdr>
    </w:div>
    <w:div w:id="658120044">
      <w:bodyDiv w:val="1"/>
      <w:marLeft w:val="0"/>
      <w:marRight w:val="0"/>
      <w:marTop w:val="0"/>
      <w:marBottom w:val="0"/>
      <w:divBdr>
        <w:top w:val="none" w:sz="0" w:space="0" w:color="auto"/>
        <w:left w:val="none" w:sz="0" w:space="0" w:color="auto"/>
        <w:bottom w:val="none" w:sz="0" w:space="0" w:color="auto"/>
        <w:right w:val="none" w:sz="0" w:space="0" w:color="auto"/>
      </w:divBdr>
    </w:div>
    <w:div w:id="658465457">
      <w:bodyDiv w:val="1"/>
      <w:marLeft w:val="0"/>
      <w:marRight w:val="0"/>
      <w:marTop w:val="0"/>
      <w:marBottom w:val="0"/>
      <w:divBdr>
        <w:top w:val="none" w:sz="0" w:space="0" w:color="auto"/>
        <w:left w:val="none" w:sz="0" w:space="0" w:color="auto"/>
        <w:bottom w:val="none" w:sz="0" w:space="0" w:color="auto"/>
        <w:right w:val="none" w:sz="0" w:space="0" w:color="auto"/>
      </w:divBdr>
    </w:div>
    <w:div w:id="666641263">
      <w:bodyDiv w:val="1"/>
      <w:marLeft w:val="0"/>
      <w:marRight w:val="0"/>
      <w:marTop w:val="0"/>
      <w:marBottom w:val="0"/>
      <w:divBdr>
        <w:top w:val="none" w:sz="0" w:space="0" w:color="auto"/>
        <w:left w:val="none" w:sz="0" w:space="0" w:color="auto"/>
        <w:bottom w:val="none" w:sz="0" w:space="0" w:color="auto"/>
        <w:right w:val="none" w:sz="0" w:space="0" w:color="auto"/>
      </w:divBdr>
    </w:div>
    <w:div w:id="683628098">
      <w:bodyDiv w:val="1"/>
      <w:marLeft w:val="0"/>
      <w:marRight w:val="0"/>
      <w:marTop w:val="0"/>
      <w:marBottom w:val="0"/>
      <w:divBdr>
        <w:top w:val="none" w:sz="0" w:space="0" w:color="auto"/>
        <w:left w:val="none" w:sz="0" w:space="0" w:color="auto"/>
        <w:bottom w:val="none" w:sz="0" w:space="0" w:color="auto"/>
        <w:right w:val="none" w:sz="0" w:space="0" w:color="auto"/>
      </w:divBdr>
    </w:div>
    <w:div w:id="684596424">
      <w:bodyDiv w:val="1"/>
      <w:marLeft w:val="0"/>
      <w:marRight w:val="0"/>
      <w:marTop w:val="0"/>
      <w:marBottom w:val="0"/>
      <w:divBdr>
        <w:top w:val="none" w:sz="0" w:space="0" w:color="auto"/>
        <w:left w:val="none" w:sz="0" w:space="0" w:color="auto"/>
        <w:bottom w:val="none" w:sz="0" w:space="0" w:color="auto"/>
        <w:right w:val="none" w:sz="0" w:space="0" w:color="auto"/>
      </w:divBdr>
    </w:div>
    <w:div w:id="686056543">
      <w:bodyDiv w:val="1"/>
      <w:marLeft w:val="0"/>
      <w:marRight w:val="0"/>
      <w:marTop w:val="0"/>
      <w:marBottom w:val="0"/>
      <w:divBdr>
        <w:top w:val="none" w:sz="0" w:space="0" w:color="auto"/>
        <w:left w:val="none" w:sz="0" w:space="0" w:color="auto"/>
        <w:bottom w:val="none" w:sz="0" w:space="0" w:color="auto"/>
        <w:right w:val="none" w:sz="0" w:space="0" w:color="auto"/>
      </w:divBdr>
    </w:div>
    <w:div w:id="692145504">
      <w:bodyDiv w:val="1"/>
      <w:marLeft w:val="0"/>
      <w:marRight w:val="0"/>
      <w:marTop w:val="0"/>
      <w:marBottom w:val="0"/>
      <w:divBdr>
        <w:top w:val="none" w:sz="0" w:space="0" w:color="auto"/>
        <w:left w:val="none" w:sz="0" w:space="0" w:color="auto"/>
        <w:bottom w:val="none" w:sz="0" w:space="0" w:color="auto"/>
        <w:right w:val="none" w:sz="0" w:space="0" w:color="auto"/>
      </w:divBdr>
    </w:div>
    <w:div w:id="692993555">
      <w:bodyDiv w:val="1"/>
      <w:marLeft w:val="0"/>
      <w:marRight w:val="0"/>
      <w:marTop w:val="0"/>
      <w:marBottom w:val="0"/>
      <w:divBdr>
        <w:top w:val="none" w:sz="0" w:space="0" w:color="auto"/>
        <w:left w:val="none" w:sz="0" w:space="0" w:color="auto"/>
        <w:bottom w:val="none" w:sz="0" w:space="0" w:color="auto"/>
        <w:right w:val="none" w:sz="0" w:space="0" w:color="auto"/>
      </w:divBdr>
    </w:div>
    <w:div w:id="694814838">
      <w:bodyDiv w:val="1"/>
      <w:marLeft w:val="0"/>
      <w:marRight w:val="0"/>
      <w:marTop w:val="0"/>
      <w:marBottom w:val="0"/>
      <w:divBdr>
        <w:top w:val="none" w:sz="0" w:space="0" w:color="auto"/>
        <w:left w:val="none" w:sz="0" w:space="0" w:color="auto"/>
        <w:bottom w:val="none" w:sz="0" w:space="0" w:color="auto"/>
        <w:right w:val="none" w:sz="0" w:space="0" w:color="auto"/>
      </w:divBdr>
    </w:div>
    <w:div w:id="696273032">
      <w:bodyDiv w:val="1"/>
      <w:marLeft w:val="0"/>
      <w:marRight w:val="0"/>
      <w:marTop w:val="0"/>
      <w:marBottom w:val="0"/>
      <w:divBdr>
        <w:top w:val="none" w:sz="0" w:space="0" w:color="auto"/>
        <w:left w:val="none" w:sz="0" w:space="0" w:color="auto"/>
        <w:bottom w:val="none" w:sz="0" w:space="0" w:color="auto"/>
        <w:right w:val="none" w:sz="0" w:space="0" w:color="auto"/>
      </w:divBdr>
    </w:div>
    <w:div w:id="698897490">
      <w:bodyDiv w:val="1"/>
      <w:marLeft w:val="0"/>
      <w:marRight w:val="0"/>
      <w:marTop w:val="0"/>
      <w:marBottom w:val="0"/>
      <w:divBdr>
        <w:top w:val="none" w:sz="0" w:space="0" w:color="auto"/>
        <w:left w:val="none" w:sz="0" w:space="0" w:color="auto"/>
        <w:bottom w:val="none" w:sz="0" w:space="0" w:color="auto"/>
        <w:right w:val="none" w:sz="0" w:space="0" w:color="auto"/>
      </w:divBdr>
    </w:div>
    <w:div w:id="706686804">
      <w:bodyDiv w:val="1"/>
      <w:marLeft w:val="0"/>
      <w:marRight w:val="0"/>
      <w:marTop w:val="0"/>
      <w:marBottom w:val="0"/>
      <w:divBdr>
        <w:top w:val="none" w:sz="0" w:space="0" w:color="auto"/>
        <w:left w:val="none" w:sz="0" w:space="0" w:color="auto"/>
        <w:bottom w:val="none" w:sz="0" w:space="0" w:color="auto"/>
        <w:right w:val="none" w:sz="0" w:space="0" w:color="auto"/>
      </w:divBdr>
    </w:div>
    <w:div w:id="708072051">
      <w:bodyDiv w:val="1"/>
      <w:marLeft w:val="0"/>
      <w:marRight w:val="0"/>
      <w:marTop w:val="0"/>
      <w:marBottom w:val="0"/>
      <w:divBdr>
        <w:top w:val="none" w:sz="0" w:space="0" w:color="auto"/>
        <w:left w:val="none" w:sz="0" w:space="0" w:color="auto"/>
        <w:bottom w:val="none" w:sz="0" w:space="0" w:color="auto"/>
        <w:right w:val="none" w:sz="0" w:space="0" w:color="auto"/>
      </w:divBdr>
    </w:div>
    <w:div w:id="717706698">
      <w:bodyDiv w:val="1"/>
      <w:marLeft w:val="0"/>
      <w:marRight w:val="0"/>
      <w:marTop w:val="0"/>
      <w:marBottom w:val="0"/>
      <w:divBdr>
        <w:top w:val="none" w:sz="0" w:space="0" w:color="auto"/>
        <w:left w:val="none" w:sz="0" w:space="0" w:color="auto"/>
        <w:bottom w:val="none" w:sz="0" w:space="0" w:color="auto"/>
        <w:right w:val="none" w:sz="0" w:space="0" w:color="auto"/>
      </w:divBdr>
    </w:div>
    <w:div w:id="719212539">
      <w:bodyDiv w:val="1"/>
      <w:marLeft w:val="0"/>
      <w:marRight w:val="0"/>
      <w:marTop w:val="0"/>
      <w:marBottom w:val="0"/>
      <w:divBdr>
        <w:top w:val="none" w:sz="0" w:space="0" w:color="auto"/>
        <w:left w:val="none" w:sz="0" w:space="0" w:color="auto"/>
        <w:bottom w:val="none" w:sz="0" w:space="0" w:color="auto"/>
        <w:right w:val="none" w:sz="0" w:space="0" w:color="auto"/>
      </w:divBdr>
      <w:divsChild>
        <w:div w:id="104440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11546">
      <w:bodyDiv w:val="1"/>
      <w:marLeft w:val="0"/>
      <w:marRight w:val="0"/>
      <w:marTop w:val="0"/>
      <w:marBottom w:val="0"/>
      <w:divBdr>
        <w:top w:val="none" w:sz="0" w:space="0" w:color="auto"/>
        <w:left w:val="none" w:sz="0" w:space="0" w:color="auto"/>
        <w:bottom w:val="none" w:sz="0" w:space="0" w:color="auto"/>
        <w:right w:val="none" w:sz="0" w:space="0" w:color="auto"/>
      </w:divBdr>
    </w:div>
    <w:div w:id="721906128">
      <w:bodyDiv w:val="1"/>
      <w:marLeft w:val="0"/>
      <w:marRight w:val="0"/>
      <w:marTop w:val="0"/>
      <w:marBottom w:val="0"/>
      <w:divBdr>
        <w:top w:val="none" w:sz="0" w:space="0" w:color="auto"/>
        <w:left w:val="none" w:sz="0" w:space="0" w:color="auto"/>
        <w:bottom w:val="none" w:sz="0" w:space="0" w:color="auto"/>
        <w:right w:val="none" w:sz="0" w:space="0" w:color="auto"/>
      </w:divBdr>
    </w:div>
    <w:div w:id="722215636">
      <w:bodyDiv w:val="1"/>
      <w:marLeft w:val="0"/>
      <w:marRight w:val="0"/>
      <w:marTop w:val="0"/>
      <w:marBottom w:val="0"/>
      <w:divBdr>
        <w:top w:val="none" w:sz="0" w:space="0" w:color="auto"/>
        <w:left w:val="none" w:sz="0" w:space="0" w:color="auto"/>
        <w:bottom w:val="none" w:sz="0" w:space="0" w:color="auto"/>
        <w:right w:val="none" w:sz="0" w:space="0" w:color="auto"/>
      </w:divBdr>
    </w:div>
    <w:div w:id="728921542">
      <w:bodyDiv w:val="1"/>
      <w:marLeft w:val="0"/>
      <w:marRight w:val="0"/>
      <w:marTop w:val="0"/>
      <w:marBottom w:val="0"/>
      <w:divBdr>
        <w:top w:val="none" w:sz="0" w:space="0" w:color="auto"/>
        <w:left w:val="none" w:sz="0" w:space="0" w:color="auto"/>
        <w:bottom w:val="none" w:sz="0" w:space="0" w:color="auto"/>
        <w:right w:val="none" w:sz="0" w:space="0" w:color="auto"/>
      </w:divBdr>
    </w:div>
    <w:div w:id="728963996">
      <w:bodyDiv w:val="1"/>
      <w:marLeft w:val="0"/>
      <w:marRight w:val="0"/>
      <w:marTop w:val="0"/>
      <w:marBottom w:val="0"/>
      <w:divBdr>
        <w:top w:val="none" w:sz="0" w:space="0" w:color="auto"/>
        <w:left w:val="none" w:sz="0" w:space="0" w:color="auto"/>
        <w:bottom w:val="none" w:sz="0" w:space="0" w:color="auto"/>
        <w:right w:val="none" w:sz="0" w:space="0" w:color="auto"/>
      </w:divBdr>
    </w:div>
    <w:div w:id="742683290">
      <w:bodyDiv w:val="1"/>
      <w:marLeft w:val="0"/>
      <w:marRight w:val="0"/>
      <w:marTop w:val="0"/>
      <w:marBottom w:val="0"/>
      <w:divBdr>
        <w:top w:val="none" w:sz="0" w:space="0" w:color="auto"/>
        <w:left w:val="none" w:sz="0" w:space="0" w:color="auto"/>
        <w:bottom w:val="none" w:sz="0" w:space="0" w:color="auto"/>
        <w:right w:val="none" w:sz="0" w:space="0" w:color="auto"/>
      </w:divBdr>
    </w:div>
    <w:div w:id="743572090">
      <w:bodyDiv w:val="1"/>
      <w:marLeft w:val="0"/>
      <w:marRight w:val="0"/>
      <w:marTop w:val="0"/>
      <w:marBottom w:val="0"/>
      <w:divBdr>
        <w:top w:val="none" w:sz="0" w:space="0" w:color="auto"/>
        <w:left w:val="none" w:sz="0" w:space="0" w:color="auto"/>
        <w:bottom w:val="none" w:sz="0" w:space="0" w:color="auto"/>
        <w:right w:val="none" w:sz="0" w:space="0" w:color="auto"/>
      </w:divBdr>
    </w:div>
    <w:div w:id="746342923">
      <w:bodyDiv w:val="1"/>
      <w:marLeft w:val="0"/>
      <w:marRight w:val="0"/>
      <w:marTop w:val="0"/>
      <w:marBottom w:val="0"/>
      <w:divBdr>
        <w:top w:val="none" w:sz="0" w:space="0" w:color="auto"/>
        <w:left w:val="none" w:sz="0" w:space="0" w:color="auto"/>
        <w:bottom w:val="none" w:sz="0" w:space="0" w:color="auto"/>
        <w:right w:val="none" w:sz="0" w:space="0" w:color="auto"/>
      </w:divBdr>
    </w:div>
    <w:div w:id="750001849">
      <w:bodyDiv w:val="1"/>
      <w:marLeft w:val="0"/>
      <w:marRight w:val="0"/>
      <w:marTop w:val="0"/>
      <w:marBottom w:val="0"/>
      <w:divBdr>
        <w:top w:val="none" w:sz="0" w:space="0" w:color="auto"/>
        <w:left w:val="none" w:sz="0" w:space="0" w:color="auto"/>
        <w:bottom w:val="none" w:sz="0" w:space="0" w:color="auto"/>
        <w:right w:val="none" w:sz="0" w:space="0" w:color="auto"/>
      </w:divBdr>
    </w:div>
    <w:div w:id="759257164">
      <w:bodyDiv w:val="1"/>
      <w:marLeft w:val="0"/>
      <w:marRight w:val="0"/>
      <w:marTop w:val="0"/>
      <w:marBottom w:val="0"/>
      <w:divBdr>
        <w:top w:val="none" w:sz="0" w:space="0" w:color="auto"/>
        <w:left w:val="none" w:sz="0" w:space="0" w:color="auto"/>
        <w:bottom w:val="none" w:sz="0" w:space="0" w:color="auto"/>
        <w:right w:val="none" w:sz="0" w:space="0" w:color="auto"/>
      </w:divBdr>
    </w:div>
    <w:div w:id="763115202">
      <w:bodyDiv w:val="1"/>
      <w:marLeft w:val="0"/>
      <w:marRight w:val="0"/>
      <w:marTop w:val="0"/>
      <w:marBottom w:val="0"/>
      <w:divBdr>
        <w:top w:val="none" w:sz="0" w:space="0" w:color="auto"/>
        <w:left w:val="none" w:sz="0" w:space="0" w:color="auto"/>
        <w:bottom w:val="none" w:sz="0" w:space="0" w:color="auto"/>
        <w:right w:val="none" w:sz="0" w:space="0" w:color="auto"/>
      </w:divBdr>
    </w:div>
    <w:div w:id="763186754">
      <w:bodyDiv w:val="1"/>
      <w:marLeft w:val="0"/>
      <w:marRight w:val="0"/>
      <w:marTop w:val="0"/>
      <w:marBottom w:val="0"/>
      <w:divBdr>
        <w:top w:val="none" w:sz="0" w:space="0" w:color="auto"/>
        <w:left w:val="none" w:sz="0" w:space="0" w:color="auto"/>
        <w:bottom w:val="none" w:sz="0" w:space="0" w:color="auto"/>
        <w:right w:val="none" w:sz="0" w:space="0" w:color="auto"/>
      </w:divBdr>
    </w:div>
    <w:div w:id="772942988">
      <w:bodyDiv w:val="1"/>
      <w:marLeft w:val="0"/>
      <w:marRight w:val="0"/>
      <w:marTop w:val="0"/>
      <w:marBottom w:val="0"/>
      <w:divBdr>
        <w:top w:val="none" w:sz="0" w:space="0" w:color="auto"/>
        <w:left w:val="none" w:sz="0" w:space="0" w:color="auto"/>
        <w:bottom w:val="none" w:sz="0" w:space="0" w:color="auto"/>
        <w:right w:val="none" w:sz="0" w:space="0" w:color="auto"/>
      </w:divBdr>
    </w:div>
    <w:div w:id="776099024">
      <w:bodyDiv w:val="1"/>
      <w:marLeft w:val="0"/>
      <w:marRight w:val="0"/>
      <w:marTop w:val="0"/>
      <w:marBottom w:val="0"/>
      <w:divBdr>
        <w:top w:val="none" w:sz="0" w:space="0" w:color="auto"/>
        <w:left w:val="none" w:sz="0" w:space="0" w:color="auto"/>
        <w:bottom w:val="none" w:sz="0" w:space="0" w:color="auto"/>
        <w:right w:val="none" w:sz="0" w:space="0" w:color="auto"/>
      </w:divBdr>
      <w:divsChild>
        <w:div w:id="2760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219433">
      <w:bodyDiv w:val="1"/>
      <w:marLeft w:val="0"/>
      <w:marRight w:val="0"/>
      <w:marTop w:val="0"/>
      <w:marBottom w:val="0"/>
      <w:divBdr>
        <w:top w:val="none" w:sz="0" w:space="0" w:color="auto"/>
        <w:left w:val="none" w:sz="0" w:space="0" w:color="auto"/>
        <w:bottom w:val="none" w:sz="0" w:space="0" w:color="auto"/>
        <w:right w:val="none" w:sz="0" w:space="0" w:color="auto"/>
      </w:divBdr>
    </w:div>
    <w:div w:id="778372746">
      <w:bodyDiv w:val="1"/>
      <w:marLeft w:val="0"/>
      <w:marRight w:val="0"/>
      <w:marTop w:val="0"/>
      <w:marBottom w:val="0"/>
      <w:divBdr>
        <w:top w:val="none" w:sz="0" w:space="0" w:color="auto"/>
        <w:left w:val="none" w:sz="0" w:space="0" w:color="auto"/>
        <w:bottom w:val="none" w:sz="0" w:space="0" w:color="auto"/>
        <w:right w:val="none" w:sz="0" w:space="0" w:color="auto"/>
      </w:divBdr>
    </w:div>
    <w:div w:id="788016879">
      <w:bodyDiv w:val="1"/>
      <w:marLeft w:val="0"/>
      <w:marRight w:val="0"/>
      <w:marTop w:val="0"/>
      <w:marBottom w:val="0"/>
      <w:divBdr>
        <w:top w:val="none" w:sz="0" w:space="0" w:color="auto"/>
        <w:left w:val="none" w:sz="0" w:space="0" w:color="auto"/>
        <w:bottom w:val="none" w:sz="0" w:space="0" w:color="auto"/>
        <w:right w:val="none" w:sz="0" w:space="0" w:color="auto"/>
      </w:divBdr>
    </w:div>
    <w:div w:id="790170966">
      <w:bodyDiv w:val="1"/>
      <w:marLeft w:val="0"/>
      <w:marRight w:val="0"/>
      <w:marTop w:val="0"/>
      <w:marBottom w:val="0"/>
      <w:divBdr>
        <w:top w:val="none" w:sz="0" w:space="0" w:color="auto"/>
        <w:left w:val="none" w:sz="0" w:space="0" w:color="auto"/>
        <w:bottom w:val="none" w:sz="0" w:space="0" w:color="auto"/>
        <w:right w:val="none" w:sz="0" w:space="0" w:color="auto"/>
      </w:divBdr>
    </w:div>
    <w:div w:id="790325988">
      <w:bodyDiv w:val="1"/>
      <w:marLeft w:val="0"/>
      <w:marRight w:val="0"/>
      <w:marTop w:val="0"/>
      <w:marBottom w:val="0"/>
      <w:divBdr>
        <w:top w:val="none" w:sz="0" w:space="0" w:color="auto"/>
        <w:left w:val="none" w:sz="0" w:space="0" w:color="auto"/>
        <w:bottom w:val="none" w:sz="0" w:space="0" w:color="auto"/>
        <w:right w:val="none" w:sz="0" w:space="0" w:color="auto"/>
      </w:divBdr>
    </w:div>
    <w:div w:id="795561499">
      <w:bodyDiv w:val="1"/>
      <w:marLeft w:val="0"/>
      <w:marRight w:val="0"/>
      <w:marTop w:val="0"/>
      <w:marBottom w:val="0"/>
      <w:divBdr>
        <w:top w:val="none" w:sz="0" w:space="0" w:color="auto"/>
        <w:left w:val="none" w:sz="0" w:space="0" w:color="auto"/>
        <w:bottom w:val="none" w:sz="0" w:space="0" w:color="auto"/>
        <w:right w:val="none" w:sz="0" w:space="0" w:color="auto"/>
      </w:divBdr>
    </w:div>
    <w:div w:id="798957965">
      <w:bodyDiv w:val="1"/>
      <w:marLeft w:val="0"/>
      <w:marRight w:val="0"/>
      <w:marTop w:val="0"/>
      <w:marBottom w:val="0"/>
      <w:divBdr>
        <w:top w:val="none" w:sz="0" w:space="0" w:color="auto"/>
        <w:left w:val="none" w:sz="0" w:space="0" w:color="auto"/>
        <w:bottom w:val="none" w:sz="0" w:space="0" w:color="auto"/>
        <w:right w:val="none" w:sz="0" w:space="0" w:color="auto"/>
      </w:divBdr>
    </w:div>
    <w:div w:id="800000951">
      <w:bodyDiv w:val="1"/>
      <w:marLeft w:val="0"/>
      <w:marRight w:val="0"/>
      <w:marTop w:val="0"/>
      <w:marBottom w:val="0"/>
      <w:divBdr>
        <w:top w:val="none" w:sz="0" w:space="0" w:color="auto"/>
        <w:left w:val="none" w:sz="0" w:space="0" w:color="auto"/>
        <w:bottom w:val="none" w:sz="0" w:space="0" w:color="auto"/>
        <w:right w:val="none" w:sz="0" w:space="0" w:color="auto"/>
      </w:divBdr>
    </w:div>
    <w:div w:id="806358190">
      <w:bodyDiv w:val="1"/>
      <w:marLeft w:val="0"/>
      <w:marRight w:val="0"/>
      <w:marTop w:val="0"/>
      <w:marBottom w:val="0"/>
      <w:divBdr>
        <w:top w:val="none" w:sz="0" w:space="0" w:color="auto"/>
        <w:left w:val="none" w:sz="0" w:space="0" w:color="auto"/>
        <w:bottom w:val="none" w:sz="0" w:space="0" w:color="auto"/>
        <w:right w:val="none" w:sz="0" w:space="0" w:color="auto"/>
      </w:divBdr>
    </w:div>
    <w:div w:id="812327807">
      <w:bodyDiv w:val="1"/>
      <w:marLeft w:val="0"/>
      <w:marRight w:val="0"/>
      <w:marTop w:val="0"/>
      <w:marBottom w:val="0"/>
      <w:divBdr>
        <w:top w:val="none" w:sz="0" w:space="0" w:color="auto"/>
        <w:left w:val="none" w:sz="0" w:space="0" w:color="auto"/>
        <w:bottom w:val="none" w:sz="0" w:space="0" w:color="auto"/>
        <w:right w:val="none" w:sz="0" w:space="0" w:color="auto"/>
      </w:divBdr>
    </w:div>
    <w:div w:id="812912023">
      <w:bodyDiv w:val="1"/>
      <w:marLeft w:val="0"/>
      <w:marRight w:val="0"/>
      <w:marTop w:val="0"/>
      <w:marBottom w:val="0"/>
      <w:divBdr>
        <w:top w:val="none" w:sz="0" w:space="0" w:color="auto"/>
        <w:left w:val="none" w:sz="0" w:space="0" w:color="auto"/>
        <w:bottom w:val="none" w:sz="0" w:space="0" w:color="auto"/>
        <w:right w:val="none" w:sz="0" w:space="0" w:color="auto"/>
      </w:divBdr>
      <w:divsChild>
        <w:div w:id="21354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0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993010">
      <w:bodyDiv w:val="1"/>
      <w:marLeft w:val="0"/>
      <w:marRight w:val="0"/>
      <w:marTop w:val="0"/>
      <w:marBottom w:val="0"/>
      <w:divBdr>
        <w:top w:val="none" w:sz="0" w:space="0" w:color="auto"/>
        <w:left w:val="none" w:sz="0" w:space="0" w:color="auto"/>
        <w:bottom w:val="none" w:sz="0" w:space="0" w:color="auto"/>
        <w:right w:val="none" w:sz="0" w:space="0" w:color="auto"/>
      </w:divBdr>
    </w:div>
    <w:div w:id="820928986">
      <w:bodyDiv w:val="1"/>
      <w:marLeft w:val="0"/>
      <w:marRight w:val="0"/>
      <w:marTop w:val="0"/>
      <w:marBottom w:val="0"/>
      <w:divBdr>
        <w:top w:val="none" w:sz="0" w:space="0" w:color="auto"/>
        <w:left w:val="none" w:sz="0" w:space="0" w:color="auto"/>
        <w:bottom w:val="none" w:sz="0" w:space="0" w:color="auto"/>
        <w:right w:val="none" w:sz="0" w:space="0" w:color="auto"/>
      </w:divBdr>
    </w:div>
    <w:div w:id="822350126">
      <w:bodyDiv w:val="1"/>
      <w:marLeft w:val="0"/>
      <w:marRight w:val="0"/>
      <w:marTop w:val="0"/>
      <w:marBottom w:val="0"/>
      <w:divBdr>
        <w:top w:val="none" w:sz="0" w:space="0" w:color="auto"/>
        <w:left w:val="none" w:sz="0" w:space="0" w:color="auto"/>
        <w:bottom w:val="none" w:sz="0" w:space="0" w:color="auto"/>
        <w:right w:val="none" w:sz="0" w:space="0" w:color="auto"/>
      </w:divBdr>
    </w:div>
    <w:div w:id="822508184">
      <w:bodyDiv w:val="1"/>
      <w:marLeft w:val="0"/>
      <w:marRight w:val="0"/>
      <w:marTop w:val="0"/>
      <w:marBottom w:val="0"/>
      <w:divBdr>
        <w:top w:val="none" w:sz="0" w:space="0" w:color="auto"/>
        <w:left w:val="none" w:sz="0" w:space="0" w:color="auto"/>
        <w:bottom w:val="none" w:sz="0" w:space="0" w:color="auto"/>
        <w:right w:val="none" w:sz="0" w:space="0" w:color="auto"/>
      </w:divBdr>
    </w:div>
    <w:div w:id="822698470">
      <w:bodyDiv w:val="1"/>
      <w:marLeft w:val="0"/>
      <w:marRight w:val="0"/>
      <w:marTop w:val="0"/>
      <w:marBottom w:val="0"/>
      <w:divBdr>
        <w:top w:val="none" w:sz="0" w:space="0" w:color="auto"/>
        <w:left w:val="none" w:sz="0" w:space="0" w:color="auto"/>
        <w:bottom w:val="none" w:sz="0" w:space="0" w:color="auto"/>
        <w:right w:val="none" w:sz="0" w:space="0" w:color="auto"/>
      </w:divBdr>
    </w:div>
    <w:div w:id="82308660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
    <w:div w:id="826284272">
      <w:bodyDiv w:val="1"/>
      <w:marLeft w:val="0"/>
      <w:marRight w:val="0"/>
      <w:marTop w:val="0"/>
      <w:marBottom w:val="0"/>
      <w:divBdr>
        <w:top w:val="none" w:sz="0" w:space="0" w:color="auto"/>
        <w:left w:val="none" w:sz="0" w:space="0" w:color="auto"/>
        <w:bottom w:val="none" w:sz="0" w:space="0" w:color="auto"/>
        <w:right w:val="none" w:sz="0" w:space="0" w:color="auto"/>
      </w:divBdr>
    </w:div>
    <w:div w:id="827861507">
      <w:bodyDiv w:val="1"/>
      <w:marLeft w:val="0"/>
      <w:marRight w:val="0"/>
      <w:marTop w:val="0"/>
      <w:marBottom w:val="0"/>
      <w:divBdr>
        <w:top w:val="none" w:sz="0" w:space="0" w:color="auto"/>
        <w:left w:val="none" w:sz="0" w:space="0" w:color="auto"/>
        <w:bottom w:val="none" w:sz="0" w:space="0" w:color="auto"/>
        <w:right w:val="none" w:sz="0" w:space="0" w:color="auto"/>
      </w:divBdr>
    </w:div>
    <w:div w:id="838424124">
      <w:bodyDiv w:val="1"/>
      <w:marLeft w:val="0"/>
      <w:marRight w:val="0"/>
      <w:marTop w:val="0"/>
      <w:marBottom w:val="0"/>
      <w:divBdr>
        <w:top w:val="none" w:sz="0" w:space="0" w:color="auto"/>
        <w:left w:val="none" w:sz="0" w:space="0" w:color="auto"/>
        <w:bottom w:val="none" w:sz="0" w:space="0" w:color="auto"/>
        <w:right w:val="none" w:sz="0" w:space="0" w:color="auto"/>
      </w:divBdr>
    </w:div>
    <w:div w:id="842353181">
      <w:bodyDiv w:val="1"/>
      <w:marLeft w:val="0"/>
      <w:marRight w:val="0"/>
      <w:marTop w:val="0"/>
      <w:marBottom w:val="0"/>
      <w:divBdr>
        <w:top w:val="none" w:sz="0" w:space="0" w:color="auto"/>
        <w:left w:val="none" w:sz="0" w:space="0" w:color="auto"/>
        <w:bottom w:val="none" w:sz="0" w:space="0" w:color="auto"/>
        <w:right w:val="none" w:sz="0" w:space="0" w:color="auto"/>
      </w:divBdr>
    </w:div>
    <w:div w:id="846140768">
      <w:bodyDiv w:val="1"/>
      <w:marLeft w:val="0"/>
      <w:marRight w:val="0"/>
      <w:marTop w:val="0"/>
      <w:marBottom w:val="0"/>
      <w:divBdr>
        <w:top w:val="none" w:sz="0" w:space="0" w:color="auto"/>
        <w:left w:val="none" w:sz="0" w:space="0" w:color="auto"/>
        <w:bottom w:val="none" w:sz="0" w:space="0" w:color="auto"/>
        <w:right w:val="none" w:sz="0" w:space="0" w:color="auto"/>
      </w:divBdr>
      <w:divsChild>
        <w:div w:id="112453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9916">
      <w:bodyDiv w:val="1"/>
      <w:marLeft w:val="0"/>
      <w:marRight w:val="0"/>
      <w:marTop w:val="0"/>
      <w:marBottom w:val="0"/>
      <w:divBdr>
        <w:top w:val="none" w:sz="0" w:space="0" w:color="auto"/>
        <w:left w:val="none" w:sz="0" w:space="0" w:color="auto"/>
        <w:bottom w:val="none" w:sz="0" w:space="0" w:color="auto"/>
        <w:right w:val="none" w:sz="0" w:space="0" w:color="auto"/>
      </w:divBdr>
    </w:div>
    <w:div w:id="854153530">
      <w:bodyDiv w:val="1"/>
      <w:marLeft w:val="0"/>
      <w:marRight w:val="0"/>
      <w:marTop w:val="0"/>
      <w:marBottom w:val="0"/>
      <w:divBdr>
        <w:top w:val="none" w:sz="0" w:space="0" w:color="auto"/>
        <w:left w:val="none" w:sz="0" w:space="0" w:color="auto"/>
        <w:bottom w:val="none" w:sz="0" w:space="0" w:color="auto"/>
        <w:right w:val="none" w:sz="0" w:space="0" w:color="auto"/>
      </w:divBdr>
    </w:div>
    <w:div w:id="863250700">
      <w:bodyDiv w:val="1"/>
      <w:marLeft w:val="0"/>
      <w:marRight w:val="0"/>
      <w:marTop w:val="0"/>
      <w:marBottom w:val="0"/>
      <w:divBdr>
        <w:top w:val="none" w:sz="0" w:space="0" w:color="auto"/>
        <w:left w:val="none" w:sz="0" w:space="0" w:color="auto"/>
        <w:bottom w:val="none" w:sz="0" w:space="0" w:color="auto"/>
        <w:right w:val="none" w:sz="0" w:space="0" w:color="auto"/>
      </w:divBdr>
    </w:div>
    <w:div w:id="863787364">
      <w:bodyDiv w:val="1"/>
      <w:marLeft w:val="0"/>
      <w:marRight w:val="0"/>
      <w:marTop w:val="0"/>
      <w:marBottom w:val="0"/>
      <w:divBdr>
        <w:top w:val="none" w:sz="0" w:space="0" w:color="auto"/>
        <w:left w:val="none" w:sz="0" w:space="0" w:color="auto"/>
        <w:bottom w:val="none" w:sz="0" w:space="0" w:color="auto"/>
        <w:right w:val="none" w:sz="0" w:space="0" w:color="auto"/>
      </w:divBdr>
    </w:div>
    <w:div w:id="874124633">
      <w:bodyDiv w:val="1"/>
      <w:marLeft w:val="0"/>
      <w:marRight w:val="0"/>
      <w:marTop w:val="0"/>
      <w:marBottom w:val="0"/>
      <w:divBdr>
        <w:top w:val="none" w:sz="0" w:space="0" w:color="auto"/>
        <w:left w:val="none" w:sz="0" w:space="0" w:color="auto"/>
        <w:bottom w:val="none" w:sz="0" w:space="0" w:color="auto"/>
        <w:right w:val="none" w:sz="0" w:space="0" w:color="auto"/>
      </w:divBdr>
    </w:div>
    <w:div w:id="875578033">
      <w:bodyDiv w:val="1"/>
      <w:marLeft w:val="0"/>
      <w:marRight w:val="0"/>
      <w:marTop w:val="0"/>
      <w:marBottom w:val="0"/>
      <w:divBdr>
        <w:top w:val="none" w:sz="0" w:space="0" w:color="auto"/>
        <w:left w:val="none" w:sz="0" w:space="0" w:color="auto"/>
        <w:bottom w:val="none" w:sz="0" w:space="0" w:color="auto"/>
        <w:right w:val="none" w:sz="0" w:space="0" w:color="auto"/>
      </w:divBdr>
    </w:div>
    <w:div w:id="875889172">
      <w:bodyDiv w:val="1"/>
      <w:marLeft w:val="0"/>
      <w:marRight w:val="0"/>
      <w:marTop w:val="0"/>
      <w:marBottom w:val="0"/>
      <w:divBdr>
        <w:top w:val="none" w:sz="0" w:space="0" w:color="auto"/>
        <w:left w:val="none" w:sz="0" w:space="0" w:color="auto"/>
        <w:bottom w:val="none" w:sz="0" w:space="0" w:color="auto"/>
        <w:right w:val="none" w:sz="0" w:space="0" w:color="auto"/>
      </w:divBdr>
    </w:div>
    <w:div w:id="879824572">
      <w:bodyDiv w:val="1"/>
      <w:marLeft w:val="0"/>
      <w:marRight w:val="0"/>
      <w:marTop w:val="0"/>
      <w:marBottom w:val="0"/>
      <w:divBdr>
        <w:top w:val="none" w:sz="0" w:space="0" w:color="auto"/>
        <w:left w:val="none" w:sz="0" w:space="0" w:color="auto"/>
        <w:bottom w:val="none" w:sz="0" w:space="0" w:color="auto"/>
        <w:right w:val="none" w:sz="0" w:space="0" w:color="auto"/>
      </w:divBdr>
    </w:div>
    <w:div w:id="882668290">
      <w:bodyDiv w:val="1"/>
      <w:marLeft w:val="0"/>
      <w:marRight w:val="0"/>
      <w:marTop w:val="0"/>
      <w:marBottom w:val="0"/>
      <w:divBdr>
        <w:top w:val="none" w:sz="0" w:space="0" w:color="auto"/>
        <w:left w:val="none" w:sz="0" w:space="0" w:color="auto"/>
        <w:bottom w:val="none" w:sz="0" w:space="0" w:color="auto"/>
        <w:right w:val="none" w:sz="0" w:space="0" w:color="auto"/>
      </w:divBdr>
    </w:div>
    <w:div w:id="885067884">
      <w:bodyDiv w:val="1"/>
      <w:marLeft w:val="0"/>
      <w:marRight w:val="0"/>
      <w:marTop w:val="0"/>
      <w:marBottom w:val="0"/>
      <w:divBdr>
        <w:top w:val="none" w:sz="0" w:space="0" w:color="auto"/>
        <w:left w:val="none" w:sz="0" w:space="0" w:color="auto"/>
        <w:bottom w:val="none" w:sz="0" w:space="0" w:color="auto"/>
        <w:right w:val="none" w:sz="0" w:space="0" w:color="auto"/>
      </w:divBdr>
      <w:divsChild>
        <w:div w:id="2021545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448885">
      <w:bodyDiv w:val="1"/>
      <w:marLeft w:val="0"/>
      <w:marRight w:val="0"/>
      <w:marTop w:val="0"/>
      <w:marBottom w:val="0"/>
      <w:divBdr>
        <w:top w:val="none" w:sz="0" w:space="0" w:color="auto"/>
        <w:left w:val="none" w:sz="0" w:space="0" w:color="auto"/>
        <w:bottom w:val="none" w:sz="0" w:space="0" w:color="auto"/>
        <w:right w:val="none" w:sz="0" w:space="0" w:color="auto"/>
      </w:divBdr>
    </w:div>
    <w:div w:id="888420384">
      <w:bodyDiv w:val="1"/>
      <w:marLeft w:val="0"/>
      <w:marRight w:val="0"/>
      <w:marTop w:val="0"/>
      <w:marBottom w:val="0"/>
      <w:divBdr>
        <w:top w:val="none" w:sz="0" w:space="0" w:color="auto"/>
        <w:left w:val="none" w:sz="0" w:space="0" w:color="auto"/>
        <w:bottom w:val="none" w:sz="0" w:space="0" w:color="auto"/>
        <w:right w:val="none" w:sz="0" w:space="0" w:color="auto"/>
      </w:divBdr>
    </w:div>
    <w:div w:id="892037966">
      <w:bodyDiv w:val="1"/>
      <w:marLeft w:val="0"/>
      <w:marRight w:val="0"/>
      <w:marTop w:val="0"/>
      <w:marBottom w:val="0"/>
      <w:divBdr>
        <w:top w:val="none" w:sz="0" w:space="0" w:color="auto"/>
        <w:left w:val="none" w:sz="0" w:space="0" w:color="auto"/>
        <w:bottom w:val="none" w:sz="0" w:space="0" w:color="auto"/>
        <w:right w:val="none" w:sz="0" w:space="0" w:color="auto"/>
      </w:divBdr>
    </w:div>
    <w:div w:id="895044356">
      <w:bodyDiv w:val="1"/>
      <w:marLeft w:val="0"/>
      <w:marRight w:val="0"/>
      <w:marTop w:val="0"/>
      <w:marBottom w:val="0"/>
      <w:divBdr>
        <w:top w:val="none" w:sz="0" w:space="0" w:color="auto"/>
        <w:left w:val="none" w:sz="0" w:space="0" w:color="auto"/>
        <w:bottom w:val="none" w:sz="0" w:space="0" w:color="auto"/>
        <w:right w:val="none" w:sz="0" w:space="0" w:color="auto"/>
      </w:divBdr>
    </w:div>
    <w:div w:id="897013902">
      <w:bodyDiv w:val="1"/>
      <w:marLeft w:val="0"/>
      <w:marRight w:val="0"/>
      <w:marTop w:val="0"/>
      <w:marBottom w:val="0"/>
      <w:divBdr>
        <w:top w:val="none" w:sz="0" w:space="0" w:color="auto"/>
        <w:left w:val="none" w:sz="0" w:space="0" w:color="auto"/>
        <w:bottom w:val="none" w:sz="0" w:space="0" w:color="auto"/>
        <w:right w:val="none" w:sz="0" w:space="0" w:color="auto"/>
      </w:divBdr>
    </w:div>
    <w:div w:id="897980397">
      <w:bodyDiv w:val="1"/>
      <w:marLeft w:val="0"/>
      <w:marRight w:val="0"/>
      <w:marTop w:val="0"/>
      <w:marBottom w:val="0"/>
      <w:divBdr>
        <w:top w:val="none" w:sz="0" w:space="0" w:color="auto"/>
        <w:left w:val="none" w:sz="0" w:space="0" w:color="auto"/>
        <w:bottom w:val="none" w:sz="0" w:space="0" w:color="auto"/>
        <w:right w:val="none" w:sz="0" w:space="0" w:color="auto"/>
      </w:divBdr>
    </w:div>
    <w:div w:id="900290140">
      <w:bodyDiv w:val="1"/>
      <w:marLeft w:val="0"/>
      <w:marRight w:val="0"/>
      <w:marTop w:val="0"/>
      <w:marBottom w:val="0"/>
      <w:divBdr>
        <w:top w:val="none" w:sz="0" w:space="0" w:color="auto"/>
        <w:left w:val="none" w:sz="0" w:space="0" w:color="auto"/>
        <w:bottom w:val="none" w:sz="0" w:space="0" w:color="auto"/>
        <w:right w:val="none" w:sz="0" w:space="0" w:color="auto"/>
      </w:divBdr>
    </w:div>
    <w:div w:id="900478838">
      <w:bodyDiv w:val="1"/>
      <w:marLeft w:val="0"/>
      <w:marRight w:val="0"/>
      <w:marTop w:val="0"/>
      <w:marBottom w:val="0"/>
      <w:divBdr>
        <w:top w:val="none" w:sz="0" w:space="0" w:color="auto"/>
        <w:left w:val="none" w:sz="0" w:space="0" w:color="auto"/>
        <w:bottom w:val="none" w:sz="0" w:space="0" w:color="auto"/>
        <w:right w:val="none" w:sz="0" w:space="0" w:color="auto"/>
      </w:divBdr>
    </w:div>
    <w:div w:id="904485389">
      <w:bodyDiv w:val="1"/>
      <w:marLeft w:val="0"/>
      <w:marRight w:val="0"/>
      <w:marTop w:val="0"/>
      <w:marBottom w:val="0"/>
      <w:divBdr>
        <w:top w:val="none" w:sz="0" w:space="0" w:color="auto"/>
        <w:left w:val="none" w:sz="0" w:space="0" w:color="auto"/>
        <w:bottom w:val="none" w:sz="0" w:space="0" w:color="auto"/>
        <w:right w:val="none" w:sz="0" w:space="0" w:color="auto"/>
      </w:divBdr>
    </w:div>
    <w:div w:id="905380013">
      <w:bodyDiv w:val="1"/>
      <w:marLeft w:val="0"/>
      <w:marRight w:val="0"/>
      <w:marTop w:val="0"/>
      <w:marBottom w:val="0"/>
      <w:divBdr>
        <w:top w:val="none" w:sz="0" w:space="0" w:color="auto"/>
        <w:left w:val="none" w:sz="0" w:space="0" w:color="auto"/>
        <w:bottom w:val="none" w:sz="0" w:space="0" w:color="auto"/>
        <w:right w:val="none" w:sz="0" w:space="0" w:color="auto"/>
      </w:divBdr>
    </w:div>
    <w:div w:id="907306490">
      <w:bodyDiv w:val="1"/>
      <w:marLeft w:val="0"/>
      <w:marRight w:val="0"/>
      <w:marTop w:val="0"/>
      <w:marBottom w:val="0"/>
      <w:divBdr>
        <w:top w:val="none" w:sz="0" w:space="0" w:color="auto"/>
        <w:left w:val="none" w:sz="0" w:space="0" w:color="auto"/>
        <w:bottom w:val="none" w:sz="0" w:space="0" w:color="auto"/>
        <w:right w:val="none" w:sz="0" w:space="0" w:color="auto"/>
      </w:divBdr>
    </w:div>
    <w:div w:id="908736378">
      <w:bodyDiv w:val="1"/>
      <w:marLeft w:val="0"/>
      <w:marRight w:val="0"/>
      <w:marTop w:val="0"/>
      <w:marBottom w:val="0"/>
      <w:divBdr>
        <w:top w:val="none" w:sz="0" w:space="0" w:color="auto"/>
        <w:left w:val="none" w:sz="0" w:space="0" w:color="auto"/>
        <w:bottom w:val="none" w:sz="0" w:space="0" w:color="auto"/>
        <w:right w:val="none" w:sz="0" w:space="0" w:color="auto"/>
      </w:divBdr>
    </w:div>
    <w:div w:id="910164772">
      <w:bodyDiv w:val="1"/>
      <w:marLeft w:val="0"/>
      <w:marRight w:val="0"/>
      <w:marTop w:val="0"/>
      <w:marBottom w:val="0"/>
      <w:divBdr>
        <w:top w:val="none" w:sz="0" w:space="0" w:color="auto"/>
        <w:left w:val="none" w:sz="0" w:space="0" w:color="auto"/>
        <w:bottom w:val="none" w:sz="0" w:space="0" w:color="auto"/>
        <w:right w:val="none" w:sz="0" w:space="0" w:color="auto"/>
      </w:divBdr>
    </w:div>
    <w:div w:id="913473026">
      <w:bodyDiv w:val="1"/>
      <w:marLeft w:val="0"/>
      <w:marRight w:val="0"/>
      <w:marTop w:val="0"/>
      <w:marBottom w:val="0"/>
      <w:divBdr>
        <w:top w:val="none" w:sz="0" w:space="0" w:color="auto"/>
        <w:left w:val="none" w:sz="0" w:space="0" w:color="auto"/>
        <w:bottom w:val="none" w:sz="0" w:space="0" w:color="auto"/>
        <w:right w:val="none" w:sz="0" w:space="0" w:color="auto"/>
      </w:divBdr>
    </w:div>
    <w:div w:id="913511877">
      <w:bodyDiv w:val="1"/>
      <w:marLeft w:val="0"/>
      <w:marRight w:val="0"/>
      <w:marTop w:val="0"/>
      <w:marBottom w:val="0"/>
      <w:divBdr>
        <w:top w:val="none" w:sz="0" w:space="0" w:color="auto"/>
        <w:left w:val="none" w:sz="0" w:space="0" w:color="auto"/>
        <w:bottom w:val="none" w:sz="0" w:space="0" w:color="auto"/>
        <w:right w:val="none" w:sz="0" w:space="0" w:color="auto"/>
      </w:divBdr>
    </w:div>
    <w:div w:id="921380087">
      <w:bodyDiv w:val="1"/>
      <w:marLeft w:val="0"/>
      <w:marRight w:val="0"/>
      <w:marTop w:val="0"/>
      <w:marBottom w:val="0"/>
      <w:divBdr>
        <w:top w:val="none" w:sz="0" w:space="0" w:color="auto"/>
        <w:left w:val="none" w:sz="0" w:space="0" w:color="auto"/>
        <w:bottom w:val="none" w:sz="0" w:space="0" w:color="auto"/>
        <w:right w:val="none" w:sz="0" w:space="0" w:color="auto"/>
      </w:divBdr>
    </w:div>
    <w:div w:id="930430178">
      <w:bodyDiv w:val="1"/>
      <w:marLeft w:val="0"/>
      <w:marRight w:val="0"/>
      <w:marTop w:val="0"/>
      <w:marBottom w:val="0"/>
      <w:divBdr>
        <w:top w:val="none" w:sz="0" w:space="0" w:color="auto"/>
        <w:left w:val="none" w:sz="0" w:space="0" w:color="auto"/>
        <w:bottom w:val="none" w:sz="0" w:space="0" w:color="auto"/>
        <w:right w:val="none" w:sz="0" w:space="0" w:color="auto"/>
      </w:divBdr>
    </w:div>
    <w:div w:id="930431987">
      <w:bodyDiv w:val="1"/>
      <w:marLeft w:val="0"/>
      <w:marRight w:val="0"/>
      <w:marTop w:val="0"/>
      <w:marBottom w:val="0"/>
      <w:divBdr>
        <w:top w:val="none" w:sz="0" w:space="0" w:color="auto"/>
        <w:left w:val="none" w:sz="0" w:space="0" w:color="auto"/>
        <w:bottom w:val="none" w:sz="0" w:space="0" w:color="auto"/>
        <w:right w:val="none" w:sz="0" w:space="0" w:color="auto"/>
      </w:divBdr>
      <w:divsChild>
        <w:div w:id="174117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55071">
      <w:bodyDiv w:val="1"/>
      <w:marLeft w:val="0"/>
      <w:marRight w:val="0"/>
      <w:marTop w:val="0"/>
      <w:marBottom w:val="0"/>
      <w:divBdr>
        <w:top w:val="none" w:sz="0" w:space="0" w:color="auto"/>
        <w:left w:val="none" w:sz="0" w:space="0" w:color="auto"/>
        <w:bottom w:val="none" w:sz="0" w:space="0" w:color="auto"/>
        <w:right w:val="none" w:sz="0" w:space="0" w:color="auto"/>
      </w:divBdr>
    </w:div>
    <w:div w:id="934247621">
      <w:bodyDiv w:val="1"/>
      <w:marLeft w:val="0"/>
      <w:marRight w:val="0"/>
      <w:marTop w:val="0"/>
      <w:marBottom w:val="0"/>
      <w:divBdr>
        <w:top w:val="none" w:sz="0" w:space="0" w:color="auto"/>
        <w:left w:val="none" w:sz="0" w:space="0" w:color="auto"/>
        <w:bottom w:val="none" w:sz="0" w:space="0" w:color="auto"/>
        <w:right w:val="none" w:sz="0" w:space="0" w:color="auto"/>
      </w:divBdr>
    </w:div>
    <w:div w:id="934366753">
      <w:bodyDiv w:val="1"/>
      <w:marLeft w:val="0"/>
      <w:marRight w:val="0"/>
      <w:marTop w:val="0"/>
      <w:marBottom w:val="0"/>
      <w:divBdr>
        <w:top w:val="none" w:sz="0" w:space="0" w:color="auto"/>
        <w:left w:val="none" w:sz="0" w:space="0" w:color="auto"/>
        <w:bottom w:val="none" w:sz="0" w:space="0" w:color="auto"/>
        <w:right w:val="none" w:sz="0" w:space="0" w:color="auto"/>
      </w:divBdr>
    </w:div>
    <w:div w:id="936593667">
      <w:bodyDiv w:val="1"/>
      <w:marLeft w:val="0"/>
      <w:marRight w:val="0"/>
      <w:marTop w:val="0"/>
      <w:marBottom w:val="0"/>
      <w:divBdr>
        <w:top w:val="none" w:sz="0" w:space="0" w:color="auto"/>
        <w:left w:val="none" w:sz="0" w:space="0" w:color="auto"/>
        <w:bottom w:val="none" w:sz="0" w:space="0" w:color="auto"/>
        <w:right w:val="none" w:sz="0" w:space="0" w:color="auto"/>
      </w:divBdr>
    </w:div>
    <w:div w:id="938104730">
      <w:bodyDiv w:val="1"/>
      <w:marLeft w:val="0"/>
      <w:marRight w:val="0"/>
      <w:marTop w:val="0"/>
      <w:marBottom w:val="0"/>
      <w:divBdr>
        <w:top w:val="none" w:sz="0" w:space="0" w:color="auto"/>
        <w:left w:val="none" w:sz="0" w:space="0" w:color="auto"/>
        <w:bottom w:val="none" w:sz="0" w:space="0" w:color="auto"/>
        <w:right w:val="none" w:sz="0" w:space="0" w:color="auto"/>
      </w:divBdr>
    </w:div>
    <w:div w:id="947539723">
      <w:bodyDiv w:val="1"/>
      <w:marLeft w:val="0"/>
      <w:marRight w:val="0"/>
      <w:marTop w:val="0"/>
      <w:marBottom w:val="0"/>
      <w:divBdr>
        <w:top w:val="none" w:sz="0" w:space="0" w:color="auto"/>
        <w:left w:val="none" w:sz="0" w:space="0" w:color="auto"/>
        <w:bottom w:val="none" w:sz="0" w:space="0" w:color="auto"/>
        <w:right w:val="none" w:sz="0" w:space="0" w:color="auto"/>
      </w:divBdr>
    </w:div>
    <w:div w:id="952514555">
      <w:bodyDiv w:val="1"/>
      <w:marLeft w:val="0"/>
      <w:marRight w:val="0"/>
      <w:marTop w:val="0"/>
      <w:marBottom w:val="0"/>
      <w:divBdr>
        <w:top w:val="none" w:sz="0" w:space="0" w:color="auto"/>
        <w:left w:val="none" w:sz="0" w:space="0" w:color="auto"/>
        <w:bottom w:val="none" w:sz="0" w:space="0" w:color="auto"/>
        <w:right w:val="none" w:sz="0" w:space="0" w:color="auto"/>
      </w:divBdr>
    </w:div>
    <w:div w:id="956451627">
      <w:bodyDiv w:val="1"/>
      <w:marLeft w:val="0"/>
      <w:marRight w:val="0"/>
      <w:marTop w:val="0"/>
      <w:marBottom w:val="0"/>
      <w:divBdr>
        <w:top w:val="none" w:sz="0" w:space="0" w:color="auto"/>
        <w:left w:val="none" w:sz="0" w:space="0" w:color="auto"/>
        <w:bottom w:val="none" w:sz="0" w:space="0" w:color="auto"/>
        <w:right w:val="none" w:sz="0" w:space="0" w:color="auto"/>
      </w:divBdr>
    </w:div>
    <w:div w:id="965503915">
      <w:bodyDiv w:val="1"/>
      <w:marLeft w:val="0"/>
      <w:marRight w:val="0"/>
      <w:marTop w:val="0"/>
      <w:marBottom w:val="0"/>
      <w:divBdr>
        <w:top w:val="none" w:sz="0" w:space="0" w:color="auto"/>
        <w:left w:val="none" w:sz="0" w:space="0" w:color="auto"/>
        <w:bottom w:val="none" w:sz="0" w:space="0" w:color="auto"/>
        <w:right w:val="none" w:sz="0" w:space="0" w:color="auto"/>
      </w:divBdr>
    </w:div>
    <w:div w:id="972716697">
      <w:bodyDiv w:val="1"/>
      <w:marLeft w:val="0"/>
      <w:marRight w:val="0"/>
      <w:marTop w:val="0"/>
      <w:marBottom w:val="0"/>
      <w:divBdr>
        <w:top w:val="none" w:sz="0" w:space="0" w:color="auto"/>
        <w:left w:val="none" w:sz="0" w:space="0" w:color="auto"/>
        <w:bottom w:val="none" w:sz="0" w:space="0" w:color="auto"/>
        <w:right w:val="none" w:sz="0" w:space="0" w:color="auto"/>
      </w:divBdr>
    </w:div>
    <w:div w:id="973365756">
      <w:bodyDiv w:val="1"/>
      <w:marLeft w:val="0"/>
      <w:marRight w:val="0"/>
      <w:marTop w:val="0"/>
      <w:marBottom w:val="0"/>
      <w:divBdr>
        <w:top w:val="none" w:sz="0" w:space="0" w:color="auto"/>
        <w:left w:val="none" w:sz="0" w:space="0" w:color="auto"/>
        <w:bottom w:val="none" w:sz="0" w:space="0" w:color="auto"/>
        <w:right w:val="none" w:sz="0" w:space="0" w:color="auto"/>
      </w:divBdr>
    </w:div>
    <w:div w:id="984048822">
      <w:bodyDiv w:val="1"/>
      <w:marLeft w:val="0"/>
      <w:marRight w:val="0"/>
      <w:marTop w:val="0"/>
      <w:marBottom w:val="0"/>
      <w:divBdr>
        <w:top w:val="none" w:sz="0" w:space="0" w:color="auto"/>
        <w:left w:val="none" w:sz="0" w:space="0" w:color="auto"/>
        <w:bottom w:val="none" w:sz="0" w:space="0" w:color="auto"/>
        <w:right w:val="none" w:sz="0" w:space="0" w:color="auto"/>
      </w:divBdr>
    </w:div>
    <w:div w:id="984165022">
      <w:bodyDiv w:val="1"/>
      <w:marLeft w:val="0"/>
      <w:marRight w:val="0"/>
      <w:marTop w:val="0"/>
      <w:marBottom w:val="0"/>
      <w:divBdr>
        <w:top w:val="none" w:sz="0" w:space="0" w:color="auto"/>
        <w:left w:val="none" w:sz="0" w:space="0" w:color="auto"/>
        <w:bottom w:val="none" w:sz="0" w:space="0" w:color="auto"/>
        <w:right w:val="none" w:sz="0" w:space="0" w:color="auto"/>
      </w:divBdr>
    </w:div>
    <w:div w:id="985207286">
      <w:bodyDiv w:val="1"/>
      <w:marLeft w:val="0"/>
      <w:marRight w:val="0"/>
      <w:marTop w:val="0"/>
      <w:marBottom w:val="0"/>
      <w:divBdr>
        <w:top w:val="none" w:sz="0" w:space="0" w:color="auto"/>
        <w:left w:val="none" w:sz="0" w:space="0" w:color="auto"/>
        <w:bottom w:val="none" w:sz="0" w:space="0" w:color="auto"/>
        <w:right w:val="none" w:sz="0" w:space="0" w:color="auto"/>
      </w:divBdr>
      <w:divsChild>
        <w:div w:id="1915360949">
          <w:marLeft w:val="0"/>
          <w:marRight w:val="0"/>
          <w:marTop w:val="0"/>
          <w:marBottom w:val="0"/>
          <w:divBdr>
            <w:top w:val="none" w:sz="0" w:space="0" w:color="auto"/>
            <w:left w:val="none" w:sz="0" w:space="0" w:color="auto"/>
            <w:bottom w:val="none" w:sz="0" w:space="0" w:color="auto"/>
            <w:right w:val="none" w:sz="0" w:space="0" w:color="auto"/>
          </w:divBdr>
          <w:divsChild>
            <w:div w:id="933513801">
              <w:marLeft w:val="0"/>
              <w:marRight w:val="0"/>
              <w:marTop w:val="0"/>
              <w:marBottom w:val="0"/>
              <w:divBdr>
                <w:top w:val="none" w:sz="0" w:space="0" w:color="auto"/>
                <w:left w:val="none" w:sz="0" w:space="0" w:color="auto"/>
                <w:bottom w:val="none" w:sz="0" w:space="0" w:color="auto"/>
                <w:right w:val="none" w:sz="0" w:space="0" w:color="auto"/>
              </w:divBdr>
              <w:divsChild>
                <w:div w:id="1008020865">
                  <w:marLeft w:val="0"/>
                  <w:marRight w:val="0"/>
                  <w:marTop w:val="0"/>
                  <w:marBottom w:val="0"/>
                  <w:divBdr>
                    <w:top w:val="none" w:sz="0" w:space="0" w:color="auto"/>
                    <w:left w:val="none" w:sz="0" w:space="0" w:color="auto"/>
                    <w:bottom w:val="none" w:sz="0" w:space="0" w:color="auto"/>
                    <w:right w:val="none" w:sz="0" w:space="0" w:color="auto"/>
                  </w:divBdr>
                  <w:divsChild>
                    <w:div w:id="1199198926">
                      <w:marLeft w:val="0"/>
                      <w:marRight w:val="0"/>
                      <w:marTop w:val="0"/>
                      <w:marBottom w:val="0"/>
                      <w:divBdr>
                        <w:top w:val="none" w:sz="0" w:space="0" w:color="auto"/>
                        <w:left w:val="none" w:sz="0" w:space="0" w:color="auto"/>
                        <w:bottom w:val="none" w:sz="0" w:space="0" w:color="auto"/>
                        <w:right w:val="none" w:sz="0" w:space="0" w:color="auto"/>
                      </w:divBdr>
                      <w:divsChild>
                        <w:div w:id="736710940">
                          <w:marLeft w:val="0"/>
                          <w:marRight w:val="0"/>
                          <w:marTop w:val="0"/>
                          <w:marBottom w:val="0"/>
                          <w:divBdr>
                            <w:top w:val="none" w:sz="0" w:space="0" w:color="auto"/>
                            <w:left w:val="none" w:sz="0" w:space="0" w:color="auto"/>
                            <w:bottom w:val="none" w:sz="0" w:space="0" w:color="auto"/>
                            <w:right w:val="none" w:sz="0" w:space="0" w:color="auto"/>
                          </w:divBdr>
                          <w:divsChild>
                            <w:div w:id="162822641">
                              <w:marLeft w:val="0"/>
                              <w:marRight w:val="0"/>
                              <w:marTop w:val="0"/>
                              <w:marBottom w:val="0"/>
                              <w:divBdr>
                                <w:top w:val="none" w:sz="0" w:space="0" w:color="auto"/>
                                <w:left w:val="none" w:sz="0" w:space="0" w:color="auto"/>
                                <w:bottom w:val="none" w:sz="0" w:space="0" w:color="auto"/>
                                <w:right w:val="none" w:sz="0" w:space="0" w:color="auto"/>
                              </w:divBdr>
                              <w:divsChild>
                                <w:div w:id="3078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65259">
      <w:bodyDiv w:val="1"/>
      <w:marLeft w:val="0"/>
      <w:marRight w:val="0"/>
      <w:marTop w:val="0"/>
      <w:marBottom w:val="0"/>
      <w:divBdr>
        <w:top w:val="none" w:sz="0" w:space="0" w:color="auto"/>
        <w:left w:val="none" w:sz="0" w:space="0" w:color="auto"/>
        <w:bottom w:val="none" w:sz="0" w:space="0" w:color="auto"/>
        <w:right w:val="none" w:sz="0" w:space="0" w:color="auto"/>
      </w:divBdr>
    </w:div>
    <w:div w:id="990521673">
      <w:bodyDiv w:val="1"/>
      <w:marLeft w:val="0"/>
      <w:marRight w:val="0"/>
      <w:marTop w:val="0"/>
      <w:marBottom w:val="0"/>
      <w:divBdr>
        <w:top w:val="none" w:sz="0" w:space="0" w:color="auto"/>
        <w:left w:val="none" w:sz="0" w:space="0" w:color="auto"/>
        <w:bottom w:val="none" w:sz="0" w:space="0" w:color="auto"/>
        <w:right w:val="none" w:sz="0" w:space="0" w:color="auto"/>
      </w:divBdr>
    </w:div>
    <w:div w:id="993022729">
      <w:bodyDiv w:val="1"/>
      <w:marLeft w:val="0"/>
      <w:marRight w:val="0"/>
      <w:marTop w:val="0"/>
      <w:marBottom w:val="0"/>
      <w:divBdr>
        <w:top w:val="none" w:sz="0" w:space="0" w:color="auto"/>
        <w:left w:val="none" w:sz="0" w:space="0" w:color="auto"/>
        <w:bottom w:val="none" w:sz="0" w:space="0" w:color="auto"/>
        <w:right w:val="none" w:sz="0" w:space="0" w:color="auto"/>
      </w:divBdr>
    </w:div>
    <w:div w:id="993027826">
      <w:bodyDiv w:val="1"/>
      <w:marLeft w:val="0"/>
      <w:marRight w:val="0"/>
      <w:marTop w:val="0"/>
      <w:marBottom w:val="0"/>
      <w:divBdr>
        <w:top w:val="none" w:sz="0" w:space="0" w:color="auto"/>
        <w:left w:val="none" w:sz="0" w:space="0" w:color="auto"/>
        <w:bottom w:val="none" w:sz="0" w:space="0" w:color="auto"/>
        <w:right w:val="none" w:sz="0" w:space="0" w:color="auto"/>
      </w:divBdr>
    </w:div>
    <w:div w:id="997030711">
      <w:bodyDiv w:val="1"/>
      <w:marLeft w:val="0"/>
      <w:marRight w:val="0"/>
      <w:marTop w:val="0"/>
      <w:marBottom w:val="0"/>
      <w:divBdr>
        <w:top w:val="none" w:sz="0" w:space="0" w:color="auto"/>
        <w:left w:val="none" w:sz="0" w:space="0" w:color="auto"/>
        <w:bottom w:val="none" w:sz="0" w:space="0" w:color="auto"/>
        <w:right w:val="none" w:sz="0" w:space="0" w:color="auto"/>
      </w:divBdr>
    </w:div>
    <w:div w:id="999698102">
      <w:bodyDiv w:val="1"/>
      <w:marLeft w:val="0"/>
      <w:marRight w:val="0"/>
      <w:marTop w:val="0"/>
      <w:marBottom w:val="0"/>
      <w:divBdr>
        <w:top w:val="none" w:sz="0" w:space="0" w:color="auto"/>
        <w:left w:val="none" w:sz="0" w:space="0" w:color="auto"/>
        <w:bottom w:val="none" w:sz="0" w:space="0" w:color="auto"/>
        <w:right w:val="none" w:sz="0" w:space="0" w:color="auto"/>
      </w:divBdr>
    </w:div>
    <w:div w:id="1001811083">
      <w:bodyDiv w:val="1"/>
      <w:marLeft w:val="0"/>
      <w:marRight w:val="0"/>
      <w:marTop w:val="0"/>
      <w:marBottom w:val="0"/>
      <w:divBdr>
        <w:top w:val="none" w:sz="0" w:space="0" w:color="auto"/>
        <w:left w:val="none" w:sz="0" w:space="0" w:color="auto"/>
        <w:bottom w:val="none" w:sz="0" w:space="0" w:color="auto"/>
        <w:right w:val="none" w:sz="0" w:space="0" w:color="auto"/>
      </w:divBdr>
    </w:div>
    <w:div w:id="1007444457">
      <w:bodyDiv w:val="1"/>
      <w:marLeft w:val="0"/>
      <w:marRight w:val="0"/>
      <w:marTop w:val="0"/>
      <w:marBottom w:val="0"/>
      <w:divBdr>
        <w:top w:val="none" w:sz="0" w:space="0" w:color="auto"/>
        <w:left w:val="none" w:sz="0" w:space="0" w:color="auto"/>
        <w:bottom w:val="none" w:sz="0" w:space="0" w:color="auto"/>
        <w:right w:val="none" w:sz="0" w:space="0" w:color="auto"/>
      </w:divBdr>
    </w:div>
    <w:div w:id="1013845376">
      <w:bodyDiv w:val="1"/>
      <w:marLeft w:val="0"/>
      <w:marRight w:val="0"/>
      <w:marTop w:val="0"/>
      <w:marBottom w:val="0"/>
      <w:divBdr>
        <w:top w:val="none" w:sz="0" w:space="0" w:color="auto"/>
        <w:left w:val="none" w:sz="0" w:space="0" w:color="auto"/>
        <w:bottom w:val="none" w:sz="0" w:space="0" w:color="auto"/>
        <w:right w:val="none" w:sz="0" w:space="0" w:color="auto"/>
      </w:divBdr>
    </w:div>
    <w:div w:id="1017120684">
      <w:bodyDiv w:val="1"/>
      <w:marLeft w:val="0"/>
      <w:marRight w:val="0"/>
      <w:marTop w:val="0"/>
      <w:marBottom w:val="0"/>
      <w:divBdr>
        <w:top w:val="none" w:sz="0" w:space="0" w:color="auto"/>
        <w:left w:val="none" w:sz="0" w:space="0" w:color="auto"/>
        <w:bottom w:val="none" w:sz="0" w:space="0" w:color="auto"/>
        <w:right w:val="none" w:sz="0" w:space="0" w:color="auto"/>
      </w:divBdr>
    </w:div>
    <w:div w:id="1018238172">
      <w:bodyDiv w:val="1"/>
      <w:marLeft w:val="0"/>
      <w:marRight w:val="0"/>
      <w:marTop w:val="0"/>
      <w:marBottom w:val="0"/>
      <w:divBdr>
        <w:top w:val="none" w:sz="0" w:space="0" w:color="auto"/>
        <w:left w:val="none" w:sz="0" w:space="0" w:color="auto"/>
        <w:bottom w:val="none" w:sz="0" w:space="0" w:color="auto"/>
        <w:right w:val="none" w:sz="0" w:space="0" w:color="auto"/>
      </w:divBdr>
    </w:div>
    <w:div w:id="1026103805">
      <w:bodyDiv w:val="1"/>
      <w:marLeft w:val="0"/>
      <w:marRight w:val="0"/>
      <w:marTop w:val="0"/>
      <w:marBottom w:val="0"/>
      <w:divBdr>
        <w:top w:val="none" w:sz="0" w:space="0" w:color="auto"/>
        <w:left w:val="none" w:sz="0" w:space="0" w:color="auto"/>
        <w:bottom w:val="none" w:sz="0" w:space="0" w:color="auto"/>
        <w:right w:val="none" w:sz="0" w:space="0" w:color="auto"/>
      </w:divBdr>
    </w:div>
    <w:div w:id="1027828502">
      <w:bodyDiv w:val="1"/>
      <w:marLeft w:val="0"/>
      <w:marRight w:val="0"/>
      <w:marTop w:val="0"/>
      <w:marBottom w:val="0"/>
      <w:divBdr>
        <w:top w:val="none" w:sz="0" w:space="0" w:color="auto"/>
        <w:left w:val="none" w:sz="0" w:space="0" w:color="auto"/>
        <w:bottom w:val="none" w:sz="0" w:space="0" w:color="auto"/>
        <w:right w:val="none" w:sz="0" w:space="0" w:color="auto"/>
      </w:divBdr>
    </w:div>
    <w:div w:id="1028723210">
      <w:bodyDiv w:val="1"/>
      <w:marLeft w:val="0"/>
      <w:marRight w:val="0"/>
      <w:marTop w:val="0"/>
      <w:marBottom w:val="0"/>
      <w:divBdr>
        <w:top w:val="none" w:sz="0" w:space="0" w:color="auto"/>
        <w:left w:val="none" w:sz="0" w:space="0" w:color="auto"/>
        <w:bottom w:val="none" w:sz="0" w:space="0" w:color="auto"/>
        <w:right w:val="none" w:sz="0" w:space="0" w:color="auto"/>
      </w:divBdr>
    </w:div>
    <w:div w:id="1032070105">
      <w:bodyDiv w:val="1"/>
      <w:marLeft w:val="0"/>
      <w:marRight w:val="0"/>
      <w:marTop w:val="0"/>
      <w:marBottom w:val="0"/>
      <w:divBdr>
        <w:top w:val="none" w:sz="0" w:space="0" w:color="auto"/>
        <w:left w:val="none" w:sz="0" w:space="0" w:color="auto"/>
        <w:bottom w:val="none" w:sz="0" w:space="0" w:color="auto"/>
        <w:right w:val="none" w:sz="0" w:space="0" w:color="auto"/>
      </w:divBdr>
      <w:divsChild>
        <w:div w:id="1334145267">
          <w:marLeft w:val="0"/>
          <w:marRight w:val="0"/>
          <w:marTop w:val="0"/>
          <w:marBottom w:val="0"/>
          <w:divBdr>
            <w:top w:val="none" w:sz="0" w:space="0" w:color="auto"/>
            <w:left w:val="none" w:sz="0" w:space="0" w:color="auto"/>
            <w:bottom w:val="none" w:sz="0" w:space="0" w:color="auto"/>
            <w:right w:val="none" w:sz="0" w:space="0" w:color="auto"/>
          </w:divBdr>
          <w:divsChild>
            <w:div w:id="885486675">
              <w:marLeft w:val="0"/>
              <w:marRight w:val="0"/>
              <w:marTop w:val="0"/>
              <w:marBottom w:val="0"/>
              <w:divBdr>
                <w:top w:val="none" w:sz="0" w:space="0" w:color="auto"/>
                <w:left w:val="none" w:sz="0" w:space="0" w:color="auto"/>
                <w:bottom w:val="none" w:sz="0" w:space="0" w:color="auto"/>
                <w:right w:val="none" w:sz="0" w:space="0" w:color="auto"/>
              </w:divBdr>
              <w:divsChild>
                <w:div w:id="561327369">
                  <w:marLeft w:val="0"/>
                  <w:marRight w:val="0"/>
                  <w:marTop w:val="0"/>
                  <w:marBottom w:val="0"/>
                  <w:divBdr>
                    <w:top w:val="none" w:sz="0" w:space="0" w:color="auto"/>
                    <w:left w:val="none" w:sz="0" w:space="0" w:color="auto"/>
                    <w:bottom w:val="none" w:sz="0" w:space="0" w:color="auto"/>
                    <w:right w:val="none" w:sz="0" w:space="0" w:color="auto"/>
                  </w:divBdr>
                  <w:divsChild>
                    <w:div w:id="1777870555">
                      <w:marLeft w:val="0"/>
                      <w:marRight w:val="0"/>
                      <w:marTop w:val="0"/>
                      <w:marBottom w:val="0"/>
                      <w:divBdr>
                        <w:top w:val="none" w:sz="0" w:space="0" w:color="auto"/>
                        <w:left w:val="none" w:sz="0" w:space="0" w:color="auto"/>
                        <w:bottom w:val="none" w:sz="0" w:space="0" w:color="auto"/>
                        <w:right w:val="none" w:sz="0" w:space="0" w:color="auto"/>
                      </w:divBdr>
                      <w:divsChild>
                        <w:div w:id="1198814232">
                          <w:marLeft w:val="0"/>
                          <w:marRight w:val="0"/>
                          <w:marTop w:val="0"/>
                          <w:marBottom w:val="0"/>
                          <w:divBdr>
                            <w:top w:val="none" w:sz="0" w:space="0" w:color="auto"/>
                            <w:left w:val="none" w:sz="0" w:space="0" w:color="auto"/>
                            <w:bottom w:val="none" w:sz="0" w:space="0" w:color="auto"/>
                            <w:right w:val="none" w:sz="0" w:space="0" w:color="auto"/>
                          </w:divBdr>
                          <w:divsChild>
                            <w:div w:id="707072984">
                              <w:marLeft w:val="0"/>
                              <w:marRight w:val="0"/>
                              <w:marTop w:val="0"/>
                              <w:marBottom w:val="0"/>
                              <w:divBdr>
                                <w:top w:val="none" w:sz="0" w:space="0" w:color="auto"/>
                                <w:left w:val="none" w:sz="0" w:space="0" w:color="auto"/>
                                <w:bottom w:val="none" w:sz="0" w:space="0" w:color="auto"/>
                                <w:right w:val="none" w:sz="0" w:space="0" w:color="auto"/>
                              </w:divBdr>
                              <w:divsChild>
                                <w:div w:id="9152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63766">
      <w:bodyDiv w:val="1"/>
      <w:marLeft w:val="0"/>
      <w:marRight w:val="0"/>
      <w:marTop w:val="0"/>
      <w:marBottom w:val="0"/>
      <w:divBdr>
        <w:top w:val="none" w:sz="0" w:space="0" w:color="auto"/>
        <w:left w:val="none" w:sz="0" w:space="0" w:color="auto"/>
        <w:bottom w:val="none" w:sz="0" w:space="0" w:color="auto"/>
        <w:right w:val="none" w:sz="0" w:space="0" w:color="auto"/>
      </w:divBdr>
    </w:div>
    <w:div w:id="1038627739">
      <w:bodyDiv w:val="1"/>
      <w:marLeft w:val="0"/>
      <w:marRight w:val="0"/>
      <w:marTop w:val="0"/>
      <w:marBottom w:val="0"/>
      <w:divBdr>
        <w:top w:val="none" w:sz="0" w:space="0" w:color="auto"/>
        <w:left w:val="none" w:sz="0" w:space="0" w:color="auto"/>
        <w:bottom w:val="none" w:sz="0" w:space="0" w:color="auto"/>
        <w:right w:val="none" w:sz="0" w:space="0" w:color="auto"/>
      </w:divBdr>
      <w:divsChild>
        <w:div w:id="328560449">
          <w:marLeft w:val="0"/>
          <w:marRight w:val="0"/>
          <w:marTop w:val="0"/>
          <w:marBottom w:val="0"/>
          <w:divBdr>
            <w:top w:val="none" w:sz="0" w:space="0" w:color="auto"/>
            <w:left w:val="none" w:sz="0" w:space="0" w:color="auto"/>
            <w:bottom w:val="none" w:sz="0" w:space="0" w:color="auto"/>
            <w:right w:val="none" w:sz="0" w:space="0" w:color="auto"/>
          </w:divBdr>
          <w:divsChild>
            <w:div w:id="15887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758">
      <w:bodyDiv w:val="1"/>
      <w:marLeft w:val="0"/>
      <w:marRight w:val="0"/>
      <w:marTop w:val="0"/>
      <w:marBottom w:val="0"/>
      <w:divBdr>
        <w:top w:val="none" w:sz="0" w:space="0" w:color="auto"/>
        <w:left w:val="none" w:sz="0" w:space="0" w:color="auto"/>
        <w:bottom w:val="none" w:sz="0" w:space="0" w:color="auto"/>
        <w:right w:val="none" w:sz="0" w:space="0" w:color="auto"/>
      </w:divBdr>
    </w:div>
    <w:div w:id="1039479528">
      <w:bodyDiv w:val="1"/>
      <w:marLeft w:val="0"/>
      <w:marRight w:val="0"/>
      <w:marTop w:val="0"/>
      <w:marBottom w:val="0"/>
      <w:divBdr>
        <w:top w:val="none" w:sz="0" w:space="0" w:color="auto"/>
        <w:left w:val="none" w:sz="0" w:space="0" w:color="auto"/>
        <w:bottom w:val="none" w:sz="0" w:space="0" w:color="auto"/>
        <w:right w:val="none" w:sz="0" w:space="0" w:color="auto"/>
      </w:divBdr>
    </w:div>
    <w:div w:id="1044138850">
      <w:bodyDiv w:val="1"/>
      <w:marLeft w:val="0"/>
      <w:marRight w:val="0"/>
      <w:marTop w:val="0"/>
      <w:marBottom w:val="0"/>
      <w:divBdr>
        <w:top w:val="none" w:sz="0" w:space="0" w:color="auto"/>
        <w:left w:val="none" w:sz="0" w:space="0" w:color="auto"/>
        <w:bottom w:val="none" w:sz="0" w:space="0" w:color="auto"/>
        <w:right w:val="none" w:sz="0" w:space="0" w:color="auto"/>
      </w:divBdr>
      <w:divsChild>
        <w:div w:id="79660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126731">
      <w:bodyDiv w:val="1"/>
      <w:marLeft w:val="0"/>
      <w:marRight w:val="0"/>
      <w:marTop w:val="0"/>
      <w:marBottom w:val="0"/>
      <w:divBdr>
        <w:top w:val="none" w:sz="0" w:space="0" w:color="auto"/>
        <w:left w:val="none" w:sz="0" w:space="0" w:color="auto"/>
        <w:bottom w:val="none" w:sz="0" w:space="0" w:color="auto"/>
        <w:right w:val="none" w:sz="0" w:space="0" w:color="auto"/>
      </w:divBdr>
    </w:div>
    <w:div w:id="1061102785">
      <w:bodyDiv w:val="1"/>
      <w:marLeft w:val="0"/>
      <w:marRight w:val="0"/>
      <w:marTop w:val="0"/>
      <w:marBottom w:val="0"/>
      <w:divBdr>
        <w:top w:val="none" w:sz="0" w:space="0" w:color="auto"/>
        <w:left w:val="none" w:sz="0" w:space="0" w:color="auto"/>
        <w:bottom w:val="none" w:sz="0" w:space="0" w:color="auto"/>
        <w:right w:val="none" w:sz="0" w:space="0" w:color="auto"/>
      </w:divBdr>
    </w:div>
    <w:div w:id="1061439797">
      <w:bodyDiv w:val="1"/>
      <w:marLeft w:val="0"/>
      <w:marRight w:val="0"/>
      <w:marTop w:val="0"/>
      <w:marBottom w:val="0"/>
      <w:divBdr>
        <w:top w:val="none" w:sz="0" w:space="0" w:color="auto"/>
        <w:left w:val="none" w:sz="0" w:space="0" w:color="auto"/>
        <w:bottom w:val="none" w:sz="0" w:space="0" w:color="auto"/>
        <w:right w:val="none" w:sz="0" w:space="0" w:color="auto"/>
      </w:divBdr>
    </w:div>
    <w:div w:id="1066563238">
      <w:bodyDiv w:val="1"/>
      <w:marLeft w:val="0"/>
      <w:marRight w:val="0"/>
      <w:marTop w:val="0"/>
      <w:marBottom w:val="0"/>
      <w:divBdr>
        <w:top w:val="none" w:sz="0" w:space="0" w:color="auto"/>
        <w:left w:val="none" w:sz="0" w:space="0" w:color="auto"/>
        <w:bottom w:val="none" w:sz="0" w:space="0" w:color="auto"/>
        <w:right w:val="none" w:sz="0" w:space="0" w:color="auto"/>
      </w:divBdr>
    </w:div>
    <w:div w:id="1069576933">
      <w:bodyDiv w:val="1"/>
      <w:marLeft w:val="0"/>
      <w:marRight w:val="0"/>
      <w:marTop w:val="0"/>
      <w:marBottom w:val="0"/>
      <w:divBdr>
        <w:top w:val="none" w:sz="0" w:space="0" w:color="auto"/>
        <w:left w:val="none" w:sz="0" w:space="0" w:color="auto"/>
        <w:bottom w:val="none" w:sz="0" w:space="0" w:color="auto"/>
        <w:right w:val="none" w:sz="0" w:space="0" w:color="auto"/>
      </w:divBdr>
    </w:div>
    <w:div w:id="1071847636">
      <w:bodyDiv w:val="1"/>
      <w:marLeft w:val="0"/>
      <w:marRight w:val="0"/>
      <w:marTop w:val="0"/>
      <w:marBottom w:val="0"/>
      <w:divBdr>
        <w:top w:val="none" w:sz="0" w:space="0" w:color="auto"/>
        <w:left w:val="none" w:sz="0" w:space="0" w:color="auto"/>
        <w:bottom w:val="none" w:sz="0" w:space="0" w:color="auto"/>
        <w:right w:val="none" w:sz="0" w:space="0" w:color="auto"/>
      </w:divBdr>
    </w:div>
    <w:div w:id="1073815757">
      <w:bodyDiv w:val="1"/>
      <w:marLeft w:val="0"/>
      <w:marRight w:val="0"/>
      <w:marTop w:val="0"/>
      <w:marBottom w:val="0"/>
      <w:divBdr>
        <w:top w:val="none" w:sz="0" w:space="0" w:color="auto"/>
        <w:left w:val="none" w:sz="0" w:space="0" w:color="auto"/>
        <w:bottom w:val="none" w:sz="0" w:space="0" w:color="auto"/>
        <w:right w:val="none" w:sz="0" w:space="0" w:color="auto"/>
      </w:divBdr>
    </w:div>
    <w:div w:id="1074014719">
      <w:bodyDiv w:val="1"/>
      <w:marLeft w:val="0"/>
      <w:marRight w:val="0"/>
      <w:marTop w:val="0"/>
      <w:marBottom w:val="0"/>
      <w:divBdr>
        <w:top w:val="none" w:sz="0" w:space="0" w:color="auto"/>
        <w:left w:val="none" w:sz="0" w:space="0" w:color="auto"/>
        <w:bottom w:val="none" w:sz="0" w:space="0" w:color="auto"/>
        <w:right w:val="none" w:sz="0" w:space="0" w:color="auto"/>
      </w:divBdr>
    </w:div>
    <w:div w:id="1083532406">
      <w:bodyDiv w:val="1"/>
      <w:marLeft w:val="0"/>
      <w:marRight w:val="0"/>
      <w:marTop w:val="0"/>
      <w:marBottom w:val="0"/>
      <w:divBdr>
        <w:top w:val="none" w:sz="0" w:space="0" w:color="auto"/>
        <w:left w:val="none" w:sz="0" w:space="0" w:color="auto"/>
        <w:bottom w:val="none" w:sz="0" w:space="0" w:color="auto"/>
        <w:right w:val="none" w:sz="0" w:space="0" w:color="auto"/>
      </w:divBdr>
    </w:div>
    <w:div w:id="1088817548">
      <w:bodyDiv w:val="1"/>
      <w:marLeft w:val="0"/>
      <w:marRight w:val="0"/>
      <w:marTop w:val="0"/>
      <w:marBottom w:val="0"/>
      <w:divBdr>
        <w:top w:val="none" w:sz="0" w:space="0" w:color="auto"/>
        <w:left w:val="none" w:sz="0" w:space="0" w:color="auto"/>
        <w:bottom w:val="none" w:sz="0" w:space="0" w:color="auto"/>
        <w:right w:val="none" w:sz="0" w:space="0" w:color="auto"/>
      </w:divBdr>
    </w:div>
    <w:div w:id="1088884585">
      <w:bodyDiv w:val="1"/>
      <w:marLeft w:val="0"/>
      <w:marRight w:val="0"/>
      <w:marTop w:val="0"/>
      <w:marBottom w:val="0"/>
      <w:divBdr>
        <w:top w:val="none" w:sz="0" w:space="0" w:color="auto"/>
        <w:left w:val="none" w:sz="0" w:space="0" w:color="auto"/>
        <w:bottom w:val="none" w:sz="0" w:space="0" w:color="auto"/>
        <w:right w:val="none" w:sz="0" w:space="0" w:color="auto"/>
      </w:divBdr>
    </w:div>
    <w:div w:id="1089737514">
      <w:bodyDiv w:val="1"/>
      <w:marLeft w:val="0"/>
      <w:marRight w:val="0"/>
      <w:marTop w:val="0"/>
      <w:marBottom w:val="0"/>
      <w:divBdr>
        <w:top w:val="none" w:sz="0" w:space="0" w:color="auto"/>
        <w:left w:val="none" w:sz="0" w:space="0" w:color="auto"/>
        <w:bottom w:val="none" w:sz="0" w:space="0" w:color="auto"/>
        <w:right w:val="none" w:sz="0" w:space="0" w:color="auto"/>
      </w:divBdr>
    </w:div>
    <w:div w:id="1095007570">
      <w:bodyDiv w:val="1"/>
      <w:marLeft w:val="0"/>
      <w:marRight w:val="0"/>
      <w:marTop w:val="0"/>
      <w:marBottom w:val="0"/>
      <w:divBdr>
        <w:top w:val="none" w:sz="0" w:space="0" w:color="auto"/>
        <w:left w:val="none" w:sz="0" w:space="0" w:color="auto"/>
        <w:bottom w:val="none" w:sz="0" w:space="0" w:color="auto"/>
        <w:right w:val="none" w:sz="0" w:space="0" w:color="auto"/>
      </w:divBdr>
    </w:div>
    <w:div w:id="1097482405">
      <w:bodyDiv w:val="1"/>
      <w:marLeft w:val="0"/>
      <w:marRight w:val="0"/>
      <w:marTop w:val="0"/>
      <w:marBottom w:val="0"/>
      <w:divBdr>
        <w:top w:val="none" w:sz="0" w:space="0" w:color="auto"/>
        <w:left w:val="none" w:sz="0" w:space="0" w:color="auto"/>
        <w:bottom w:val="none" w:sz="0" w:space="0" w:color="auto"/>
        <w:right w:val="none" w:sz="0" w:space="0" w:color="auto"/>
      </w:divBdr>
    </w:div>
    <w:div w:id="1104106511">
      <w:bodyDiv w:val="1"/>
      <w:marLeft w:val="0"/>
      <w:marRight w:val="0"/>
      <w:marTop w:val="0"/>
      <w:marBottom w:val="0"/>
      <w:divBdr>
        <w:top w:val="none" w:sz="0" w:space="0" w:color="auto"/>
        <w:left w:val="none" w:sz="0" w:space="0" w:color="auto"/>
        <w:bottom w:val="none" w:sz="0" w:space="0" w:color="auto"/>
        <w:right w:val="none" w:sz="0" w:space="0" w:color="auto"/>
      </w:divBdr>
    </w:div>
    <w:div w:id="1105081835">
      <w:bodyDiv w:val="1"/>
      <w:marLeft w:val="0"/>
      <w:marRight w:val="0"/>
      <w:marTop w:val="0"/>
      <w:marBottom w:val="0"/>
      <w:divBdr>
        <w:top w:val="none" w:sz="0" w:space="0" w:color="auto"/>
        <w:left w:val="none" w:sz="0" w:space="0" w:color="auto"/>
        <w:bottom w:val="none" w:sz="0" w:space="0" w:color="auto"/>
        <w:right w:val="none" w:sz="0" w:space="0" w:color="auto"/>
      </w:divBdr>
      <w:divsChild>
        <w:div w:id="1117219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966355">
      <w:bodyDiv w:val="1"/>
      <w:marLeft w:val="0"/>
      <w:marRight w:val="0"/>
      <w:marTop w:val="0"/>
      <w:marBottom w:val="0"/>
      <w:divBdr>
        <w:top w:val="none" w:sz="0" w:space="0" w:color="auto"/>
        <w:left w:val="none" w:sz="0" w:space="0" w:color="auto"/>
        <w:bottom w:val="none" w:sz="0" w:space="0" w:color="auto"/>
        <w:right w:val="none" w:sz="0" w:space="0" w:color="auto"/>
      </w:divBdr>
      <w:divsChild>
        <w:div w:id="1982996724">
          <w:marLeft w:val="0"/>
          <w:marRight w:val="0"/>
          <w:marTop w:val="0"/>
          <w:marBottom w:val="0"/>
          <w:divBdr>
            <w:top w:val="none" w:sz="0" w:space="0" w:color="auto"/>
            <w:left w:val="none" w:sz="0" w:space="0" w:color="auto"/>
            <w:bottom w:val="none" w:sz="0" w:space="0" w:color="auto"/>
            <w:right w:val="none" w:sz="0" w:space="0" w:color="auto"/>
          </w:divBdr>
          <w:divsChild>
            <w:div w:id="632828501">
              <w:marLeft w:val="0"/>
              <w:marRight w:val="0"/>
              <w:marTop w:val="0"/>
              <w:marBottom w:val="0"/>
              <w:divBdr>
                <w:top w:val="none" w:sz="0" w:space="0" w:color="auto"/>
                <w:left w:val="none" w:sz="0" w:space="0" w:color="auto"/>
                <w:bottom w:val="none" w:sz="0" w:space="0" w:color="auto"/>
                <w:right w:val="none" w:sz="0" w:space="0" w:color="auto"/>
              </w:divBdr>
              <w:divsChild>
                <w:div w:id="1040666257">
                  <w:marLeft w:val="0"/>
                  <w:marRight w:val="0"/>
                  <w:marTop w:val="0"/>
                  <w:marBottom w:val="0"/>
                  <w:divBdr>
                    <w:top w:val="none" w:sz="0" w:space="0" w:color="auto"/>
                    <w:left w:val="none" w:sz="0" w:space="0" w:color="auto"/>
                    <w:bottom w:val="none" w:sz="0" w:space="0" w:color="auto"/>
                    <w:right w:val="none" w:sz="0" w:space="0" w:color="auto"/>
                  </w:divBdr>
                  <w:divsChild>
                    <w:div w:id="960186952">
                      <w:marLeft w:val="0"/>
                      <w:marRight w:val="0"/>
                      <w:marTop w:val="0"/>
                      <w:marBottom w:val="0"/>
                      <w:divBdr>
                        <w:top w:val="none" w:sz="0" w:space="0" w:color="auto"/>
                        <w:left w:val="none" w:sz="0" w:space="0" w:color="auto"/>
                        <w:bottom w:val="none" w:sz="0" w:space="0" w:color="auto"/>
                        <w:right w:val="none" w:sz="0" w:space="0" w:color="auto"/>
                      </w:divBdr>
                      <w:divsChild>
                        <w:div w:id="28453629">
                          <w:marLeft w:val="0"/>
                          <w:marRight w:val="0"/>
                          <w:marTop w:val="0"/>
                          <w:marBottom w:val="0"/>
                          <w:divBdr>
                            <w:top w:val="none" w:sz="0" w:space="0" w:color="auto"/>
                            <w:left w:val="none" w:sz="0" w:space="0" w:color="auto"/>
                            <w:bottom w:val="none" w:sz="0" w:space="0" w:color="auto"/>
                            <w:right w:val="none" w:sz="0" w:space="0" w:color="auto"/>
                          </w:divBdr>
                          <w:divsChild>
                            <w:div w:id="1259288423">
                              <w:marLeft w:val="0"/>
                              <w:marRight w:val="0"/>
                              <w:marTop w:val="0"/>
                              <w:marBottom w:val="0"/>
                              <w:divBdr>
                                <w:top w:val="none" w:sz="0" w:space="0" w:color="auto"/>
                                <w:left w:val="none" w:sz="0" w:space="0" w:color="auto"/>
                                <w:bottom w:val="none" w:sz="0" w:space="0" w:color="auto"/>
                                <w:right w:val="none" w:sz="0" w:space="0" w:color="auto"/>
                              </w:divBdr>
                              <w:divsChild>
                                <w:div w:id="564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39145">
      <w:bodyDiv w:val="1"/>
      <w:marLeft w:val="0"/>
      <w:marRight w:val="0"/>
      <w:marTop w:val="0"/>
      <w:marBottom w:val="0"/>
      <w:divBdr>
        <w:top w:val="none" w:sz="0" w:space="0" w:color="auto"/>
        <w:left w:val="none" w:sz="0" w:space="0" w:color="auto"/>
        <w:bottom w:val="none" w:sz="0" w:space="0" w:color="auto"/>
        <w:right w:val="none" w:sz="0" w:space="0" w:color="auto"/>
      </w:divBdr>
    </w:div>
    <w:div w:id="1115826724">
      <w:bodyDiv w:val="1"/>
      <w:marLeft w:val="0"/>
      <w:marRight w:val="0"/>
      <w:marTop w:val="0"/>
      <w:marBottom w:val="0"/>
      <w:divBdr>
        <w:top w:val="none" w:sz="0" w:space="0" w:color="auto"/>
        <w:left w:val="none" w:sz="0" w:space="0" w:color="auto"/>
        <w:bottom w:val="none" w:sz="0" w:space="0" w:color="auto"/>
        <w:right w:val="none" w:sz="0" w:space="0" w:color="auto"/>
      </w:divBdr>
    </w:div>
    <w:div w:id="1116876323">
      <w:bodyDiv w:val="1"/>
      <w:marLeft w:val="0"/>
      <w:marRight w:val="0"/>
      <w:marTop w:val="0"/>
      <w:marBottom w:val="0"/>
      <w:divBdr>
        <w:top w:val="none" w:sz="0" w:space="0" w:color="auto"/>
        <w:left w:val="none" w:sz="0" w:space="0" w:color="auto"/>
        <w:bottom w:val="none" w:sz="0" w:space="0" w:color="auto"/>
        <w:right w:val="none" w:sz="0" w:space="0" w:color="auto"/>
      </w:divBdr>
    </w:div>
    <w:div w:id="1117288723">
      <w:bodyDiv w:val="1"/>
      <w:marLeft w:val="0"/>
      <w:marRight w:val="0"/>
      <w:marTop w:val="0"/>
      <w:marBottom w:val="0"/>
      <w:divBdr>
        <w:top w:val="none" w:sz="0" w:space="0" w:color="auto"/>
        <w:left w:val="none" w:sz="0" w:space="0" w:color="auto"/>
        <w:bottom w:val="none" w:sz="0" w:space="0" w:color="auto"/>
        <w:right w:val="none" w:sz="0" w:space="0" w:color="auto"/>
      </w:divBdr>
    </w:div>
    <w:div w:id="1117720751">
      <w:bodyDiv w:val="1"/>
      <w:marLeft w:val="0"/>
      <w:marRight w:val="0"/>
      <w:marTop w:val="0"/>
      <w:marBottom w:val="0"/>
      <w:divBdr>
        <w:top w:val="none" w:sz="0" w:space="0" w:color="auto"/>
        <w:left w:val="none" w:sz="0" w:space="0" w:color="auto"/>
        <w:bottom w:val="none" w:sz="0" w:space="0" w:color="auto"/>
        <w:right w:val="none" w:sz="0" w:space="0" w:color="auto"/>
      </w:divBdr>
    </w:div>
    <w:div w:id="1121454429">
      <w:bodyDiv w:val="1"/>
      <w:marLeft w:val="0"/>
      <w:marRight w:val="0"/>
      <w:marTop w:val="0"/>
      <w:marBottom w:val="0"/>
      <w:divBdr>
        <w:top w:val="none" w:sz="0" w:space="0" w:color="auto"/>
        <w:left w:val="none" w:sz="0" w:space="0" w:color="auto"/>
        <w:bottom w:val="none" w:sz="0" w:space="0" w:color="auto"/>
        <w:right w:val="none" w:sz="0" w:space="0" w:color="auto"/>
      </w:divBdr>
    </w:div>
    <w:div w:id="1121461788">
      <w:bodyDiv w:val="1"/>
      <w:marLeft w:val="0"/>
      <w:marRight w:val="0"/>
      <w:marTop w:val="0"/>
      <w:marBottom w:val="0"/>
      <w:divBdr>
        <w:top w:val="none" w:sz="0" w:space="0" w:color="auto"/>
        <w:left w:val="none" w:sz="0" w:space="0" w:color="auto"/>
        <w:bottom w:val="none" w:sz="0" w:space="0" w:color="auto"/>
        <w:right w:val="none" w:sz="0" w:space="0" w:color="auto"/>
      </w:divBdr>
    </w:div>
    <w:div w:id="1138259118">
      <w:bodyDiv w:val="1"/>
      <w:marLeft w:val="0"/>
      <w:marRight w:val="0"/>
      <w:marTop w:val="0"/>
      <w:marBottom w:val="0"/>
      <w:divBdr>
        <w:top w:val="none" w:sz="0" w:space="0" w:color="auto"/>
        <w:left w:val="none" w:sz="0" w:space="0" w:color="auto"/>
        <w:bottom w:val="none" w:sz="0" w:space="0" w:color="auto"/>
        <w:right w:val="none" w:sz="0" w:space="0" w:color="auto"/>
      </w:divBdr>
    </w:div>
    <w:div w:id="1138378753">
      <w:bodyDiv w:val="1"/>
      <w:marLeft w:val="0"/>
      <w:marRight w:val="0"/>
      <w:marTop w:val="0"/>
      <w:marBottom w:val="0"/>
      <w:divBdr>
        <w:top w:val="none" w:sz="0" w:space="0" w:color="auto"/>
        <w:left w:val="none" w:sz="0" w:space="0" w:color="auto"/>
        <w:bottom w:val="none" w:sz="0" w:space="0" w:color="auto"/>
        <w:right w:val="none" w:sz="0" w:space="0" w:color="auto"/>
      </w:divBdr>
      <w:divsChild>
        <w:div w:id="772167134">
          <w:marLeft w:val="0"/>
          <w:marRight w:val="0"/>
          <w:marTop w:val="0"/>
          <w:marBottom w:val="0"/>
          <w:divBdr>
            <w:top w:val="none" w:sz="0" w:space="0" w:color="auto"/>
            <w:left w:val="none" w:sz="0" w:space="0" w:color="auto"/>
            <w:bottom w:val="none" w:sz="0" w:space="0" w:color="auto"/>
            <w:right w:val="none" w:sz="0" w:space="0" w:color="auto"/>
          </w:divBdr>
          <w:divsChild>
            <w:div w:id="1846633010">
              <w:marLeft w:val="0"/>
              <w:marRight w:val="0"/>
              <w:marTop w:val="0"/>
              <w:marBottom w:val="0"/>
              <w:divBdr>
                <w:top w:val="none" w:sz="0" w:space="0" w:color="auto"/>
                <w:left w:val="none" w:sz="0" w:space="0" w:color="auto"/>
                <w:bottom w:val="none" w:sz="0" w:space="0" w:color="auto"/>
                <w:right w:val="none" w:sz="0" w:space="0" w:color="auto"/>
              </w:divBdr>
              <w:divsChild>
                <w:div w:id="2107575787">
                  <w:marLeft w:val="0"/>
                  <w:marRight w:val="0"/>
                  <w:marTop w:val="0"/>
                  <w:marBottom w:val="0"/>
                  <w:divBdr>
                    <w:top w:val="none" w:sz="0" w:space="0" w:color="auto"/>
                    <w:left w:val="none" w:sz="0" w:space="0" w:color="auto"/>
                    <w:bottom w:val="none" w:sz="0" w:space="0" w:color="auto"/>
                    <w:right w:val="none" w:sz="0" w:space="0" w:color="auto"/>
                  </w:divBdr>
                  <w:divsChild>
                    <w:div w:id="884148104">
                      <w:marLeft w:val="0"/>
                      <w:marRight w:val="0"/>
                      <w:marTop w:val="0"/>
                      <w:marBottom w:val="0"/>
                      <w:divBdr>
                        <w:top w:val="none" w:sz="0" w:space="0" w:color="auto"/>
                        <w:left w:val="none" w:sz="0" w:space="0" w:color="auto"/>
                        <w:bottom w:val="none" w:sz="0" w:space="0" w:color="auto"/>
                        <w:right w:val="none" w:sz="0" w:space="0" w:color="auto"/>
                      </w:divBdr>
                      <w:divsChild>
                        <w:div w:id="1720201758">
                          <w:marLeft w:val="0"/>
                          <w:marRight w:val="0"/>
                          <w:marTop w:val="0"/>
                          <w:marBottom w:val="0"/>
                          <w:divBdr>
                            <w:top w:val="none" w:sz="0" w:space="0" w:color="auto"/>
                            <w:left w:val="none" w:sz="0" w:space="0" w:color="auto"/>
                            <w:bottom w:val="none" w:sz="0" w:space="0" w:color="auto"/>
                            <w:right w:val="none" w:sz="0" w:space="0" w:color="auto"/>
                          </w:divBdr>
                          <w:divsChild>
                            <w:div w:id="116801496">
                              <w:marLeft w:val="0"/>
                              <w:marRight w:val="0"/>
                              <w:marTop w:val="0"/>
                              <w:marBottom w:val="0"/>
                              <w:divBdr>
                                <w:top w:val="none" w:sz="0" w:space="0" w:color="auto"/>
                                <w:left w:val="none" w:sz="0" w:space="0" w:color="auto"/>
                                <w:bottom w:val="none" w:sz="0" w:space="0" w:color="auto"/>
                                <w:right w:val="none" w:sz="0" w:space="0" w:color="auto"/>
                              </w:divBdr>
                              <w:divsChild>
                                <w:div w:id="6699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50096411">
      <w:bodyDiv w:val="1"/>
      <w:marLeft w:val="0"/>
      <w:marRight w:val="0"/>
      <w:marTop w:val="0"/>
      <w:marBottom w:val="0"/>
      <w:divBdr>
        <w:top w:val="none" w:sz="0" w:space="0" w:color="auto"/>
        <w:left w:val="none" w:sz="0" w:space="0" w:color="auto"/>
        <w:bottom w:val="none" w:sz="0" w:space="0" w:color="auto"/>
        <w:right w:val="none" w:sz="0" w:space="0" w:color="auto"/>
      </w:divBdr>
    </w:div>
    <w:div w:id="1160803915">
      <w:bodyDiv w:val="1"/>
      <w:marLeft w:val="0"/>
      <w:marRight w:val="0"/>
      <w:marTop w:val="0"/>
      <w:marBottom w:val="0"/>
      <w:divBdr>
        <w:top w:val="none" w:sz="0" w:space="0" w:color="auto"/>
        <w:left w:val="none" w:sz="0" w:space="0" w:color="auto"/>
        <w:bottom w:val="none" w:sz="0" w:space="0" w:color="auto"/>
        <w:right w:val="none" w:sz="0" w:space="0" w:color="auto"/>
      </w:divBdr>
    </w:div>
    <w:div w:id="1162238343">
      <w:bodyDiv w:val="1"/>
      <w:marLeft w:val="0"/>
      <w:marRight w:val="0"/>
      <w:marTop w:val="0"/>
      <w:marBottom w:val="0"/>
      <w:divBdr>
        <w:top w:val="none" w:sz="0" w:space="0" w:color="auto"/>
        <w:left w:val="none" w:sz="0" w:space="0" w:color="auto"/>
        <w:bottom w:val="none" w:sz="0" w:space="0" w:color="auto"/>
        <w:right w:val="none" w:sz="0" w:space="0" w:color="auto"/>
      </w:divBdr>
    </w:div>
    <w:div w:id="1162814024">
      <w:bodyDiv w:val="1"/>
      <w:marLeft w:val="0"/>
      <w:marRight w:val="0"/>
      <w:marTop w:val="0"/>
      <w:marBottom w:val="0"/>
      <w:divBdr>
        <w:top w:val="none" w:sz="0" w:space="0" w:color="auto"/>
        <w:left w:val="none" w:sz="0" w:space="0" w:color="auto"/>
        <w:bottom w:val="none" w:sz="0" w:space="0" w:color="auto"/>
        <w:right w:val="none" w:sz="0" w:space="0" w:color="auto"/>
      </w:divBdr>
    </w:div>
    <w:div w:id="1166894267">
      <w:bodyDiv w:val="1"/>
      <w:marLeft w:val="0"/>
      <w:marRight w:val="0"/>
      <w:marTop w:val="0"/>
      <w:marBottom w:val="0"/>
      <w:divBdr>
        <w:top w:val="none" w:sz="0" w:space="0" w:color="auto"/>
        <w:left w:val="none" w:sz="0" w:space="0" w:color="auto"/>
        <w:bottom w:val="none" w:sz="0" w:space="0" w:color="auto"/>
        <w:right w:val="none" w:sz="0" w:space="0" w:color="auto"/>
      </w:divBdr>
    </w:div>
    <w:div w:id="1173452980">
      <w:bodyDiv w:val="1"/>
      <w:marLeft w:val="0"/>
      <w:marRight w:val="0"/>
      <w:marTop w:val="0"/>
      <w:marBottom w:val="0"/>
      <w:divBdr>
        <w:top w:val="none" w:sz="0" w:space="0" w:color="auto"/>
        <w:left w:val="none" w:sz="0" w:space="0" w:color="auto"/>
        <w:bottom w:val="none" w:sz="0" w:space="0" w:color="auto"/>
        <w:right w:val="none" w:sz="0" w:space="0" w:color="auto"/>
      </w:divBdr>
      <w:divsChild>
        <w:div w:id="2035422178">
          <w:marLeft w:val="0"/>
          <w:marRight w:val="0"/>
          <w:marTop w:val="0"/>
          <w:marBottom w:val="0"/>
          <w:divBdr>
            <w:top w:val="none" w:sz="0" w:space="0" w:color="auto"/>
            <w:left w:val="none" w:sz="0" w:space="0" w:color="auto"/>
            <w:bottom w:val="none" w:sz="0" w:space="0" w:color="auto"/>
            <w:right w:val="none" w:sz="0" w:space="0" w:color="auto"/>
          </w:divBdr>
          <w:divsChild>
            <w:div w:id="411247161">
              <w:marLeft w:val="0"/>
              <w:marRight w:val="0"/>
              <w:marTop w:val="0"/>
              <w:marBottom w:val="0"/>
              <w:divBdr>
                <w:top w:val="none" w:sz="0" w:space="0" w:color="auto"/>
                <w:left w:val="none" w:sz="0" w:space="0" w:color="auto"/>
                <w:bottom w:val="none" w:sz="0" w:space="0" w:color="auto"/>
                <w:right w:val="none" w:sz="0" w:space="0" w:color="auto"/>
              </w:divBdr>
              <w:divsChild>
                <w:div w:id="728770420">
                  <w:marLeft w:val="0"/>
                  <w:marRight w:val="0"/>
                  <w:marTop w:val="0"/>
                  <w:marBottom w:val="0"/>
                  <w:divBdr>
                    <w:top w:val="none" w:sz="0" w:space="0" w:color="auto"/>
                    <w:left w:val="none" w:sz="0" w:space="0" w:color="auto"/>
                    <w:bottom w:val="none" w:sz="0" w:space="0" w:color="auto"/>
                    <w:right w:val="none" w:sz="0" w:space="0" w:color="auto"/>
                  </w:divBdr>
                  <w:divsChild>
                    <w:div w:id="544415410">
                      <w:marLeft w:val="0"/>
                      <w:marRight w:val="0"/>
                      <w:marTop w:val="0"/>
                      <w:marBottom w:val="0"/>
                      <w:divBdr>
                        <w:top w:val="none" w:sz="0" w:space="0" w:color="auto"/>
                        <w:left w:val="none" w:sz="0" w:space="0" w:color="auto"/>
                        <w:bottom w:val="none" w:sz="0" w:space="0" w:color="auto"/>
                        <w:right w:val="none" w:sz="0" w:space="0" w:color="auto"/>
                      </w:divBdr>
                      <w:divsChild>
                        <w:div w:id="1712725448">
                          <w:marLeft w:val="0"/>
                          <w:marRight w:val="0"/>
                          <w:marTop w:val="0"/>
                          <w:marBottom w:val="0"/>
                          <w:divBdr>
                            <w:top w:val="none" w:sz="0" w:space="0" w:color="auto"/>
                            <w:left w:val="none" w:sz="0" w:space="0" w:color="auto"/>
                            <w:bottom w:val="none" w:sz="0" w:space="0" w:color="auto"/>
                            <w:right w:val="none" w:sz="0" w:space="0" w:color="auto"/>
                          </w:divBdr>
                          <w:divsChild>
                            <w:div w:id="1391688699">
                              <w:marLeft w:val="0"/>
                              <w:marRight w:val="0"/>
                              <w:marTop w:val="0"/>
                              <w:marBottom w:val="0"/>
                              <w:divBdr>
                                <w:top w:val="none" w:sz="0" w:space="0" w:color="auto"/>
                                <w:left w:val="none" w:sz="0" w:space="0" w:color="auto"/>
                                <w:bottom w:val="none" w:sz="0" w:space="0" w:color="auto"/>
                                <w:right w:val="none" w:sz="0" w:space="0" w:color="auto"/>
                              </w:divBdr>
                              <w:divsChild>
                                <w:div w:id="12345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0233">
      <w:bodyDiv w:val="1"/>
      <w:marLeft w:val="0"/>
      <w:marRight w:val="0"/>
      <w:marTop w:val="0"/>
      <w:marBottom w:val="0"/>
      <w:divBdr>
        <w:top w:val="none" w:sz="0" w:space="0" w:color="auto"/>
        <w:left w:val="none" w:sz="0" w:space="0" w:color="auto"/>
        <w:bottom w:val="none" w:sz="0" w:space="0" w:color="auto"/>
        <w:right w:val="none" w:sz="0" w:space="0" w:color="auto"/>
      </w:divBdr>
    </w:div>
    <w:div w:id="1178035543">
      <w:bodyDiv w:val="1"/>
      <w:marLeft w:val="0"/>
      <w:marRight w:val="0"/>
      <w:marTop w:val="0"/>
      <w:marBottom w:val="0"/>
      <w:divBdr>
        <w:top w:val="none" w:sz="0" w:space="0" w:color="auto"/>
        <w:left w:val="none" w:sz="0" w:space="0" w:color="auto"/>
        <w:bottom w:val="none" w:sz="0" w:space="0" w:color="auto"/>
        <w:right w:val="none" w:sz="0" w:space="0" w:color="auto"/>
      </w:divBdr>
      <w:divsChild>
        <w:div w:id="138583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545919">
      <w:bodyDiv w:val="1"/>
      <w:marLeft w:val="0"/>
      <w:marRight w:val="0"/>
      <w:marTop w:val="0"/>
      <w:marBottom w:val="0"/>
      <w:divBdr>
        <w:top w:val="none" w:sz="0" w:space="0" w:color="auto"/>
        <w:left w:val="none" w:sz="0" w:space="0" w:color="auto"/>
        <w:bottom w:val="none" w:sz="0" w:space="0" w:color="auto"/>
        <w:right w:val="none" w:sz="0" w:space="0" w:color="auto"/>
      </w:divBdr>
    </w:div>
    <w:div w:id="1188176342">
      <w:bodyDiv w:val="1"/>
      <w:marLeft w:val="0"/>
      <w:marRight w:val="0"/>
      <w:marTop w:val="0"/>
      <w:marBottom w:val="0"/>
      <w:divBdr>
        <w:top w:val="none" w:sz="0" w:space="0" w:color="auto"/>
        <w:left w:val="none" w:sz="0" w:space="0" w:color="auto"/>
        <w:bottom w:val="none" w:sz="0" w:space="0" w:color="auto"/>
        <w:right w:val="none" w:sz="0" w:space="0" w:color="auto"/>
      </w:divBdr>
    </w:div>
    <w:div w:id="1189955585">
      <w:bodyDiv w:val="1"/>
      <w:marLeft w:val="0"/>
      <w:marRight w:val="0"/>
      <w:marTop w:val="0"/>
      <w:marBottom w:val="0"/>
      <w:divBdr>
        <w:top w:val="none" w:sz="0" w:space="0" w:color="auto"/>
        <w:left w:val="none" w:sz="0" w:space="0" w:color="auto"/>
        <w:bottom w:val="none" w:sz="0" w:space="0" w:color="auto"/>
        <w:right w:val="none" w:sz="0" w:space="0" w:color="auto"/>
      </w:divBdr>
    </w:div>
    <w:div w:id="1191147363">
      <w:bodyDiv w:val="1"/>
      <w:marLeft w:val="0"/>
      <w:marRight w:val="0"/>
      <w:marTop w:val="0"/>
      <w:marBottom w:val="0"/>
      <w:divBdr>
        <w:top w:val="none" w:sz="0" w:space="0" w:color="auto"/>
        <w:left w:val="none" w:sz="0" w:space="0" w:color="auto"/>
        <w:bottom w:val="none" w:sz="0" w:space="0" w:color="auto"/>
        <w:right w:val="none" w:sz="0" w:space="0" w:color="auto"/>
      </w:divBdr>
    </w:div>
    <w:div w:id="1194534408">
      <w:bodyDiv w:val="1"/>
      <w:marLeft w:val="0"/>
      <w:marRight w:val="0"/>
      <w:marTop w:val="0"/>
      <w:marBottom w:val="0"/>
      <w:divBdr>
        <w:top w:val="none" w:sz="0" w:space="0" w:color="auto"/>
        <w:left w:val="none" w:sz="0" w:space="0" w:color="auto"/>
        <w:bottom w:val="none" w:sz="0" w:space="0" w:color="auto"/>
        <w:right w:val="none" w:sz="0" w:space="0" w:color="auto"/>
      </w:divBdr>
      <w:divsChild>
        <w:div w:id="282201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58653">
      <w:bodyDiv w:val="1"/>
      <w:marLeft w:val="0"/>
      <w:marRight w:val="0"/>
      <w:marTop w:val="0"/>
      <w:marBottom w:val="0"/>
      <w:divBdr>
        <w:top w:val="none" w:sz="0" w:space="0" w:color="auto"/>
        <w:left w:val="none" w:sz="0" w:space="0" w:color="auto"/>
        <w:bottom w:val="none" w:sz="0" w:space="0" w:color="auto"/>
        <w:right w:val="none" w:sz="0" w:space="0" w:color="auto"/>
      </w:divBdr>
    </w:div>
    <w:div w:id="1200630954">
      <w:bodyDiv w:val="1"/>
      <w:marLeft w:val="0"/>
      <w:marRight w:val="0"/>
      <w:marTop w:val="0"/>
      <w:marBottom w:val="0"/>
      <w:divBdr>
        <w:top w:val="none" w:sz="0" w:space="0" w:color="auto"/>
        <w:left w:val="none" w:sz="0" w:space="0" w:color="auto"/>
        <w:bottom w:val="none" w:sz="0" w:space="0" w:color="auto"/>
        <w:right w:val="none" w:sz="0" w:space="0" w:color="auto"/>
      </w:divBdr>
    </w:div>
    <w:div w:id="1202789663">
      <w:bodyDiv w:val="1"/>
      <w:marLeft w:val="0"/>
      <w:marRight w:val="0"/>
      <w:marTop w:val="0"/>
      <w:marBottom w:val="0"/>
      <w:divBdr>
        <w:top w:val="none" w:sz="0" w:space="0" w:color="auto"/>
        <w:left w:val="none" w:sz="0" w:space="0" w:color="auto"/>
        <w:bottom w:val="none" w:sz="0" w:space="0" w:color="auto"/>
        <w:right w:val="none" w:sz="0" w:space="0" w:color="auto"/>
      </w:divBdr>
    </w:div>
    <w:div w:id="1210412079">
      <w:bodyDiv w:val="1"/>
      <w:marLeft w:val="0"/>
      <w:marRight w:val="0"/>
      <w:marTop w:val="0"/>
      <w:marBottom w:val="0"/>
      <w:divBdr>
        <w:top w:val="none" w:sz="0" w:space="0" w:color="auto"/>
        <w:left w:val="none" w:sz="0" w:space="0" w:color="auto"/>
        <w:bottom w:val="none" w:sz="0" w:space="0" w:color="auto"/>
        <w:right w:val="none" w:sz="0" w:space="0" w:color="auto"/>
      </w:divBdr>
    </w:div>
    <w:div w:id="1216576978">
      <w:bodyDiv w:val="1"/>
      <w:marLeft w:val="0"/>
      <w:marRight w:val="0"/>
      <w:marTop w:val="0"/>
      <w:marBottom w:val="0"/>
      <w:divBdr>
        <w:top w:val="none" w:sz="0" w:space="0" w:color="auto"/>
        <w:left w:val="none" w:sz="0" w:space="0" w:color="auto"/>
        <w:bottom w:val="none" w:sz="0" w:space="0" w:color="auto"/>
        <w:right w:val="none" w:sz="0" w:space="0" w:color="auto"/>
      </w:divBdr>
    </w:div>
    <w:div w:id="1220049446">
      <w:bodyDiv w:val="1"/>
      <w:marLeft w:val="0"/>
      <w:marRight w:val="0"/>
      <w:marTop w:val="0"/>
      <w:marBottom w:val="0"/>
      <w:divBdr>
        <w:top w:val="none" w:sz="0" w:space="0" w:color="auto"/>
        <w:left w:val="none" w:sz="0" w:space="0" w:color="auto"/>
        <w:bottom w:val="none" w:sz="0" w:space="0" w:color="auto"/>
        <w:right w:val="none" w:sz="0" w:space="0" w:color="auto"/>
      </w:divBdr>
    </w:div>
    <w:div w:id="1226259561">
      <w:bodyDiv w:val="1"/>
      <w:marLeft w:val="0"/>
      <w:marRight w:val="0"/>
      <w:marTop w:val="0"/>
      <w:marBottom w:val="0"/>
      <w:divBdr>
        <w:top w:val="none" w:sz="0" w:space="0" w:color="auto"/>
        <w:left w:val="none" w:sz="0" w:space="0" w:color="auto"/>
        <w:bottom w:val="none" w:sz="0" w:space="0" w:color="auto"/>
        <w:right w:val="none" w:sz="0" w:space="0" w:color="auto"/>
      </w:divBdr>
    </w:div>
    <w:div w:id="1227304571">
      <w:bodyDiv w:val="1"/>
      <w:marLeft w:val="0"/>
      <w:marRight w:val="0"/>
      <w:marTop w:val="0"/>
      <w:marBottom w:val="0"/>
      <w:divBdr>
        <w:top w:val="none" w:sz="0" w:space="0" w:color="auto"/>
        <w:left w:val="none" w:sz="0" w:space="0" w:color="auto"/>
        <w:bottom w:val="none" w:sz="0" w:space="0" w:color="auto"/>
        <w:right w:val="none" w:sz="0" w:space="0" w:color="auto"/>
      </w:divBdr>
    </w:div>
    <w:div w:id="1234779752">
      <w:bodyDiv w:val="1"/>
      <w:marLeft w:val="0"/>
      <w:marRight w:val="0"/>
      <w:marTop w:val="0"/>
      <w:marBottom w:val="0"/>
      <w:divBdr>
        <w:top w:val="none" w:sz="0" w:space="0" w:color="auto"/>
        <w:left w:val="none" w:sz="0" w:space="0" w:color="auto"/>
        <w:bottom w:val="none" w:sz="0" w:space="0" w:color="auto"/>
        <w:right w:val="none" w:sz="0" w:space="0" w:color="auto"/>
      </w:divBdr>
      <w:divsChild>
        <w:div w:id="41451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025795">
      <w:bodyDiv w:val="1"/>
      <w:marLeft w:val="0"/>
      <w:marRight w:val="0"/>
      <w:marTop w:val="0"/>
      <w:marBottom w:val="0"/>
      <w:divBdr>
        <w:top w:val="none" w:sz="0" w:space="0" w:color="auto"/>
        <w:left w:val="none" w:sz="0" w:space="0" w:color="auto"/>
        <w:bottom w:val="none" w:sz="0" w:space="0" w:color="auto"/>
        <w:right w:val="none" w:sz="0" w:space="0" w:color="auto"/>
      </w:divBdr>
    </w:div>
    <w:div w:id="1243026105">
      <w:bodyDiv w:val="1"/>
      <w:marLeft w:val="0"/>
      <w:marRight w:val="0"/>
      <w:marTop w:val="0"/>
      <w:marBottom w:val="0"/>
      <w:divBdr>
        <w:top w:val="none" w:sz="0" w:space="0" w:color="auto"/>
        <w:left w:val="none" w:sz="0" w:space="0" w:color="auto"/>
        <w:bottom w:val="none" w:sz="0" w:space="0" w:color="auto"/>
        <w:right w:val="none" w:sz="0" w:space="0" w:color="auto"/>
      </w:divBdr>
    </w:div>
    <w:div w:id="1243446421">
      <w:bodyDiv w:val="1"/>
      <w:marLeft w:val="0"/>
      <w:marRight w:val="0"/>
      <w:marTop w:val="0"/>
      <w:marBottom w:val="0"/>
      <w:divBdr>
        <w:top w:val="none" w:sz="0" w:space="0" w:color="auto"/>
        <w:left w:val="none" w:sz="0" w:space="0" w:color="auto"/>
        <w:bottom w:val="none" w:sz="0" w:space="0" w:color="auto"/>
        <w:right w:val="none" w:sz="0" w:space="0" w:color="auto"/>
      </w:divBdr>
      <w:divsChild>
        <w:div w:id="7103357">
          <w:marLeft w:val="0"/>
          <w:marRight w:val="0"/>
          <w:marTop w:val="0"/>
          <w:marBottom w:val="0"/>
          <w:divBdr>
            <w:top w:val="none" w:sz="0" w:space="0" w:color="auto"/>
            <w:left w:val="none" w:sz="0" w:space="0" w:color="auto"/>
            <w:bottom w:val="none" w:sz="0" w:space="0" w:color="auto"/>
            <w:right w:val="none" w:sz="0" w:space="0" w:color="auto"/>
          </w:divBdr>
          <w:divsChild>
            <w:div w:id="900017659">
              <w:marLeft w:val="0"/>
              <w:marRight w:val="0"/>
              <w:marTop w:val="0"/>
              <w:marBottom w:val="0"/>
              <w:divBdr>
                <w:top w:val="none" w:sz="0" w:space="0" w:color="auto"/>
                <w:left w:val="none" w:sz="0" w:space="0" w:color="auto"/>
                <w:bottom w:val="none" w:sz="0" w:space="0" w:color="auto"/>
                <w:right w:val="none" w:sz="0" w:space="0" w:color="auto"/>
              </w:divBdr>
              <w:divsChild>
                <w:div w:id="1353995681">
                  <w:marLeft w:val="0"/>
                  <w:marRight w:val="0"/>
                  <w:marTop w:val="0"/>
                  <w:marBottom w:val="0"/>
                  <w:divBdr>
                    <w:top w:val="none" w:sz="0" w:space="0" w:color="auto"/>
                    <w:left w:val="none" w:sz="0" w:space="0" w:color="auto"/>
                    <w:bottom w:val="none" w:sz="0" w:space="0" w:color="auto"/>
                    <w:right w:val="none" w:sz="0" w:space="0" w:color="auto"/>
                  </w:divBdr>
                  <w:divsChild>
                    <w:div w:id="269046341">
                      <w:marLeft w:val="0"/>
                      <w:marRight w:val="0"/>
                      <w:marTop w:val="0"/>
                      <w:marBottom w:val="0"/>
                      <w:divBdr>
                        <w:top w:val="none" w:sz="0" w:space="0" w:color="auto"/>
                        <w:left w:val="none" w:sz="0" w:space="0" w:color="auto"/>
                        <w:bottom w:val="none" w:sz="0" w:space="0" w:color="auto"/>
                        <w:right w:val="none" w:sz="0" w:space="0" w:color="auto"/>
                      </w:divBdr>
                      <w:divsChild>
                        <w:div w:id="2109739567">
                          <w:marLeft w:val="0"/>
                          <w:marRight w:val="0"/>
                          <w:marTop w:val="0"/>
                          <w:marBottom w:val="0"/>
                          <w:divBdr>
                            <w:top w:val="none" w:sz="0" w:space="0" w:color="auto"/>
                            <w:left w:val="none" w:sz="0" w:space="0" w:color="auto"/>
                            <w:bottom w:val="none" w:sz="0" w:space="0" w:color="auto"/>
                            <w:right w:val="none" w:sz="0" w:space="0" w:color="auto"/>
                          </w:divBdr>
                          <w:divsChild>
                            <w:div w:id="65151966">
                              <w:marLeft w:val="0"/>
                              <w:marRight w:val="0"/>
                              <w:marTop w:val="0"/>
                              <w:marBottom w:val="0"/>
                              <w:divBdr>
                                <w:top w:val="none" w:sz="0" w:space="0" w:color="auto"/>
                                <w:left w:val="none" w:sz="0" w:space="0" w:color="auto"/>
                                <w:bottom w:val="none" w:sz="0" w:space="0" w:color="auto"/>
                                <w:right w:val="none" w:sz="0" w:space="0" w:color="auto"/>
                              </w:divBdr>
                              <w:divsChild>
                                <w:div w:id="4636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753618">
      <w:bodyDiv w:val="1"/>
      <w:marLeft w:val="0"/>
      <w:marRight w:val="0"/>
      <w:marTop w:val="0"/>
      <w:marBottom w:val="0"/>
      <w:divBdr>
        <w:top w:val="none" w:sz="0" w:space="0" w:color="auto"/>
        <w:left w:val="none" w:sz="0" w:space="0" w:color="auto"/>
        <w:bottom w:val="none" w:sz="0" w:space="0" w:color="auto"/>
        <w:right w:val="none" w:sz="0" w:space="0" w:color="auto"/>
      </w:divBdr>
    </w:div>
    <w:div w:id="1246456453">
      <w:bodyDiv w:val="1"/>
      <w:marLeft w:val="0"/>
      <w:marRight w:val="0"/>
      <w:marTop w:val="0"/>
      <w:marBottom w:val="0"/>
      <w:divBdr>
        <w:top w:val="none" w:sz="0" w:space="0" w:color="auto"/>
        <w:left w:val="none" w:sz="0" w:space="0" w:color="auto"/>
        <w:bottom w:val="none" w:sz="0" w:space="0" w:color="auto"/>
        <w:right w:val="none" w:sz="0" w:space="0" w:color="auto"/>
      </w:divBdr>
    </w:div>
    <w:div w:id="1247764587">
      <w:bodyDiv w:val="1"/>
      <w:marLeft w:val="0"/>
      <w:marRight w:val="0"/>
      <w:marTop w:val="0"/>
      <w:marBottom w:val="0"/>
      <w:divBdr>
        <w:top w:val="none" w:sz="0" w:space="0" w:color="auto"/>
        <w:left w:val="none" w:sz="0" w:space="0" w:color="auto"/>
        <w:bottom w:val="none" w:sz="0" w:space="0" w:color="auto"/>
        <w:right w:val="none" w:sz="0" w:space="0" w:color="auto"/>
      </w:divBdr>
    </w:div>
    <w:div w:id="1260720798">
      <w:bodyDiv w:val="1"/>
      <w:marLeft w:val="0"/>
      <w:marRight w:val="0"/>
      <w:marTop w:val="0"/>
      <w:marBottom w:val="0"/>
      <w:divBdr>
        <w:top w:val="none" w:sz="0" w:space="0" w:color="auto"/>
        <w:left w:val="none" w:sz="0" w:space="0" w:color="auto"/>
        <w:bottom w:val="none" w:sz="0" w:space="0" w:color="auto"/>
        <w:right w:val="none" w:sz="0" w:space="0" w:color="auto"/>
      </w:divBdr>
      <w:divsChild>
        <w:div w:id="195462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00622">
      <w:bodyDiv w:val="1"/>
      <w:marLeft w:val="0"/>
      <w:marRight w:val="0"/>
      <w:marTop w:val="0"/>
      <w:marBottom w:val="0"/>
      <w:divBdr>
        <w:top w:val="none" w:sz="0" w:space="0" w:color="auto"/>
        <w:left w:val="none" w:sz="0" w:space="0" w:color="auto"/>
        <w:bottom w:val="none" w:sz="0" w:space="0" w:color="auto"/>
        <w:right w:val="none" w:sz="0" w:space="0" w:color="auto"/>
      </w:divBdr>
    </w:div>
    <w:div w:id="1264025345">
      <w:bodyDiv w:val="1"/>
      <w:marLeft w:val="0"/>
      <w:marRight w:val="0"/>
      <w:marTop w:val="0"/>
      <w:marBottom w:val="0"/>
      <w:divBdr>
        <w:top w:val="none" w:sz="0" w:space="0" w:color="auto"/>
        <w:left w:val="none" w:sz="0" w:space="0" w:color="auto"/>
        <w:bottom w:val="none" w:sz="0" w:space="0" w:color="auto"/>
        <w:right w:val="none" w:sz="0" w:space="0" w:color="auto"/>
      </w:divBdr>
    </w:div>
    <w:div w:id="1265069857">
      <w:bodyDiv w:val="1"/>
      <w:marLeft w:val="0"/>
      <w:marRight w:val="0"/>
      <w:marTop w:val="0"/>
      <w:marBottom w:val="0"/>
      <w:divBdr>
        <w:top w:val="none" w:sz="0" w:space="0" w:color="auto"/>
        <w:left w:val="none" w:sz="0" w:space="0" w:color="auto"/>
        <w:bottom w:val="none" w:sz="0" w:space="0" w:color="auto"/>
        <w:right w:val="none" w:sz="0" w:space="0" w:color="auto"/>
      </w:divBdr>
    </w:div>
    <w:div w:id="1266376696">
      <w:bodyDiv w:val="1"/>
      <w:marLeft w:val="0"/>
      <w:marRight w:val="0"/>
      <w:marTop w:val="0"/>
      <w:marBottom w:val="0"/>
      <w:divBdr>
        <w:top w:val="none" w:sz="0" w:space="0" w:color="auto"/>
        <w:left w:val="none" w:sz="0" w:space="0" w:color="auto"/>
        <w:bottom w:val="none" w:sz="0" w:space="0" w:color="auto"/>
        <w:right w:val="none" w:sz="0" w:space="0" w:color="auto"/>
      </w:divBdr>
    </w:div>
    <w:div w:id="1273248040">
      <w:bodyDiv w:val="1"/>
      <w:marLeft w:val="0"/>
      <w:marRight w:val="0"/>
      <w:marTop w:val="0"/>
      <w:marBottom w:val="0"/>
      <w:divBdr>
        <w:top w:val="none" w:sz="0" w:space="0" w:color="auto"/>
        <w:left w:val="none" w:sz="0" w:space="0" w:color="auto"/>
        <w:bottom w:val="none" w:sz="0" w:space="0" w:color="auto"/>
        <w:right w:val="none" w:sz="0" w:space="0" w:color="auto"/>
      </w:divBdr>
    </w:div>
    <w:div w:id="1276982796">
      <w:bodyDiv w:val="1"/>
      <w:marLeft w:val="0"/>
      <w:marRight w:val="0"/>
      <w:marTop w:val="0"/>
      <w:marBottom w:val="0"/>
      <w:divBdr>
        <w:top w:val="none" w:sz="0" w:space="0" w:color="auto"/>
        <w:left w:val="none" w:sz="0" w:space="0" w:color="auto"/>
        <w:bottom w:val="none" w:sz="0" w:space="0" w:color="auto"/>
        <w:right w:val="none" w:sz="0" w:space="0" w:color="auto"/>
      </w:divBdr>
      <w:divsChild>
        <w:div w:id="18352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299103">
      <w:bodyDiv w:val="1"/>
      <w:marLeft w:val="0"/>
      <w:marRight w:val="0"/>
      <w:marTop w:val="0"/>
      <w:marBottom w:val="0"/>
      <w:divBdr>
        <w:top w:val="none" w:sz="0" w:space="0" w:color="auto"/>
        <w:left w:val="none" w:sz="0" w:space="0" w:color="auto"/>
        <w:bottom w:val="none" w:sz="0" w:space="0" w:color="auto"/>
        <w:right w:val="none" w:sz="0" w:space="0" w:color="auto"/>
      </w:divBdr>
    </w:div>
    <w:div w:id="1277326029">
      <w:bodyDiv w:val="1"/>
      <w:marLeft w:val="0"/>
      <w:marRight w:val="0"/>
      <w:marTop w:val="0"/>
      <w:marBottom w:val="0"/>
      <w:divBdr>
        <w:top w:val="none" w:sz="0" w:space="0" w:color="auto"/>
        <w:left w:val="none" w:sz="0" w:space="0" w:color="auto"/>
        <w:bottom w:val="none" w:sz="0" w:space="0" w:color="auto"/>
        <w:right w:val="none" w:sz="0" w:space="0" w:color="auto"/>
      </w:divBdr>
    </w:div>
    <w:div w:id="1284922149">
      <w:bodyDiv w:val="1"/>
      <w:marLeft w:val="0"/>
      <w:marRight w:val="0"/>
      <w:marTop w:val="0"/>
      <w:marBottom w:val="0"/>
      <w:divBdr>
        <w:top w:val="none" w:sz="0" w:space="0" w:color="auto"/>
        <w:left w:val="none" w:sz="0" w:space="0" w:color="auto"/>
        <w:bottom w:val="none" w:sz="0" w:space="0" w:color="auto"/>
        <w:right w:val="none" w:sz="0" w:space="0" w:color="auto"/>
      </w:divBdr>
    </w:div>
    <w:div w:id="1286696103">
      <w:bodyDiv w:val="1"/>
      <w:marLeft w:val="0"/>
      <w:marRight w:val="0"/>
      <w:marTop w:val="0"/>
      <w:marBottom w:val="0"/>
      <w:divBdr>
        <w:top w:val="none" w:sz="0" w:space="0" w:color="auto"/>
        <w:left w:val="none" w:sz="0" w:space="0" w:color="auto"/>
        <w:bottom w:val="none" w:sz="0" w:space="0" w:color="auto"/>
        <w:right w:val="none" w:sz="0" w:space="0" w:color="auto"/>
      </w:divBdr>
      <w:divsChild>
        <w:div w:id="130515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93704">
      <w:bodyDiv w:val="1"/>
      <w:marLeft w:val="0"/>
      <w:marRight w:val="0"/>
      <w:marTop w:val="0"/>
      <w:marBottom w:val="0"/>
      <w:divBdr>
        <w:top w:val="none" w:sz="0" w:space="0" w:color="auto"/>
        <w:left w:val="none" w:sz="0" w:space="0" w:color="auto"/>
        <w:bottom w:val="none" w:sz="0" w:space="0" w:color="auto"/>
        <w:right w:val="none" w:sz="0" w:space="0" w:color="auto"/>
      </w:divBdr>
    </w:div>
    <w:div w:id="1291590219">
      <w:bodyDiv w:val="1"/>
      <w:marLeft w:val="0"/>
      <w:marRight w:val="0"/>
      <w:marTop w:val="0"/>
      <w:marBottom w:val="0"/>
      <w:divBdr>
        <w:top w:val="none" w:sz="0" w:space="0" w:color="auto"/>
        <w:left w:val="none" w:sz="0" w:space="0" w:color="auto"/>
        <w:bottom w:val="none" w:sz="0" w:space="0" w:color="auto"/>
        <w:right w:val="none" w:sz="0" w:space="0" w:color="auto"/>
      </w:divBdr>
    </w:div>
    <w:div w:id="1291593493">
      <w:bodyDiv w:val="1"/>
      <w:marLeft w:val="0"/>
      <w:marRight w:val="0"/>
      <w:marTop w:val="0"/>
      <w:marBottom w:val="0"/>
      <w:divBdr>
        <w:top w:val="none" w:sz="0" w:space="0" w:color="auto"/>
        <w:left w:val="none" w:sz="0" w:space="0" w:color="auto"/>
        <w:bottom w:val="none" w:sz="0" w:space="0" w:color="auto"/>
        <w:right w:val="none" w:sz="0" w:space="0" w:color="auto"/>
      </w:divBdr>
    </w:div>
    <w:div w:id="1293175791">
      <w:bodyDiv w:val="1"/>
      <w:marLeft w:val="0"/>
      <w:marRight w:val="0"/>
      <w:marTop w:val="0"/>
      <w:marBottom w:val="0"/>
      <w:divBdr>
        <w:top w:val="none" w:sz="0" w:space="0" w:color="auto"/>
        <w:left w:val="none" w:sz="0" w:space="0" w:color="auto"/>
        <w:bottom w:val="none" w:sz="0" w:space="0" w:color="auto"/>
        <w:right w:val="none" w:sz="0" w:space="0" w:color="auto"/>
      </w:divBdr>
    </w:div>
    <w:div w:id="1295671205">
      <w:bodyDiv w:val="1"/>
      <w:marLeft w:val="0"/>
      <w:marRight w:val="0"/>
      <w:marTop w:val="0"/>
      <w:marBottom w:val="0"/>
      <w:divBdr>
        <w:top w:val="none" w:sz="0" w:space="0" w:color="auto"/>
        <w:left w:val="none" w:sz="0" w:space="0" w:color="auto"/>
        <w:bottom w:val="none" w:sz="0" w:space="0" w:color="auto"/>
        <w:right w:val="none" w:sz="0" w:space="0" w:color="auto"/>
      </w:divBdr>
    </w:div>
    <w:div w:id="1300112573">
      <w:bodyDiv w:val="1"/>
      <w:marLeft w:val="0"/>
      <w:marRight w:val="0"/>
      <w:marTop w:val="0"/>
      <w:marBottom w:val="0"/>
      <w:divBdr>
        <w:top w:val="none" w:sz="0" w:space="0" w:color="auto"/>
        <w:left w:val="none" w:sz="0" w:space="0" w:color="auto"/>
        <w:bottom w:val="none" w:sz="0" w:space="0" w:color="auto"/>
        <w:right w:val="none" w:sz="0" w:space="0" w:color="auto"/>
      </w:divBdr>
    </w:div>
    <w:div w:id="1305892280">
      <w:bodyDiv w:val="1"/>
      <w:marLeft w:val="0"/>
      <w:marRight w:val="0"/>
      <w:marTop w:val="0"/>
      <w:marBottom w:val="0"/>
      <w:divBdr>
        <w:top w:val="none" w:sz="0" w:space="0" w:color="auto"/>
        <w:left w:val="none" w:sz="0" w:space="0" w:color="auto"/>
        <w:bottom w:val="none" w:sz="0" w:space="0" w:color="auto"/>
        <w:right w:val="none" w:sz="0" w:space="0" w:color="auto"/>
      </w:divBdr>
    </w:div>
    <w:div w:id="1310944489">
      <w:bodyDiv w:val="1"/>
      <w:marLeft w:val="0"/>
      <w:marRight w:val="0"/>
      <w:marTop w:val="0"/>
      <w:marBottom w:val="0"/>
      <w:divBdr>
        <w:top w:val="none" w:sz="0" w:space="0" w:color="auto"/>
        <w:left w:val="none" w:sz="0" w:space="0" w:color="auto"/>
        <w:bottom w:val="none" w:sz="0" w:space="0" w:color="auto"/>
        <w:right w:val="none" w:sz="0" w:space="0" w:color="auto"/>
      </w:divBdr>
    </w:div>
    <w:div w:id="1311399243">
      <w:bodyDiv w:val="1"/>
      <w:marLeft w:val="0"/>
      <w:marRight w:val="0"/>
      <w:marTop w:val="0"/>
      <w:marBottom w:val="0"/>
      <w:divBdr>
        <w:top w:val="none" w:sz="0" w:space="0" w:color="auto"/>
        <w:left w:val="none" w:sz="0" w:space="0" w:color="auto"/>
        <w:bottom w:val="none" w:sz="0" w:space="0" w:color="auto"/>
        <w:right w:val="none" w:sz="0" w:space="0" w:color="auto"/>
      </w:divBdr>
    </w:div>
    <w:div w:id="1316252741">
      <w:bodyDiv w:val="1"/>
      <w:marLeft w:val="0"/>
      <w:marRight w:val="0"/>
      <w:marTop w:val="0"/>
      <w:marBottom w:val="0"/>
      <w:divBdr>
        <w:top w:val="none" w:sz="0" w:space="0" w:color="auto"/>
        <w:left w:val="none" w:sz="0" w:space="0" w:color="auto"/>
        <w:bottom w:val="none" w:sz="0" w:space="0" w:color="auto"/>
        <w:right w:val="none" w:sz="0" w:space="0" w:color="auto"/>
      </w:divBdr>
    </w:div>
    <w:div w:id="1341085899">
      <w:bodyDiv w:val="1"/>
      <w:marLeft w:val="0"/>
      <w:marRight w:val="0"/>
      <w:marTop w:val="0"/>
      <w:marBottom w:val="0"/>
      <w:divBdr>
        <w:top w:val="none" w:sz="0" w:space="0" w:color="auto"/>
        <w:left w:val="none" w:sz="0" w:space="0" w:color="auto"/>
        <w:bottom w:val="none" w:sz="0" w:space="0" w:color="auto"/>
        <w:right w:val="none" w:sz="0" w:space="0" w:color="auto"/>
      </w:divBdr>
    </w:div>
    <w:div w:id="1355688144">
      <w:bodyDiv w:val="1"/>
      <w:marLeft w:val="0"/>
      <w:marRight w:val="0"/>
      <w:marTop w:val="0"/>
      <w:marBottom w:val="0"/>
      <w:divBdr>
        <w:top w:val="none" w:sz="0" w:space="0" w:color="auto"/>
        <w:left w:val="none" w:sz="0" w:space="0" w:color="auto"/>
        <w:bottom w:val="none" w:sz="0" w:space="0" w:color="auto"/>
        <w:right w:val="none" w:sz="0" w:space="0" w:color="auto"/>
      </w:divBdr>
    </w:div>
    <w:div w:id="1361204121">
      <w:bodyDiv w:val="1"/>
      <w:marLeft w:val="0"/>
      <w:marRight w:val="0"/>
      <w:marTop w:val="0"/>
      <w:marBottom w:val="0"/>
      <w:divBdr>
        <w:top w:val="none" w:sz="0" w:space="0" w:color="auto"/>
        <w:left w:val="none" w:sz="0" w:space="0" w:color="auto"/>
        <w:bottom w:val="none" w:sz="0" w:space="0" w:color="auto"/>
        <w:right w:val="none" w:sz="0" w:space="0" w:color="auto"/>
      </w:divBdr>
      <w:divsChild>
        <w:div w:id="80373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66677">
      <w:bodyDiv w:val="1"/>
      <w:marLeft w:val="0"/>
      <w:marRight w:val="0"/>
      <w:marTop w:val="0"/>
      <w:marBottom w:val="0"/>
      <w:divBdr>
        <w:top w:val="none" w:sz="0" w:space="0" w:color="auto"/>
        <w:left w:val="none" w:sz="0" w:space="0" w:color="auto"/>
        <w:bottom w:val="none" w:sz="0" w:space="0" w:color="auto"/>
        <w:right w:val="none" w:sz="0" w:space="0" w:color="auto"/>
      </w:divBdr>
    </w:div>
    <w:div w:id="1363673491">
      <w:bodyDiv w:val="1"/>
      <w:marLeft w:val="0"/>
      <w:marRight w:val="0"/>
      <w:marTop w:val="0"/>
      <w:marBottom w:val="0"/>
      <w:divBdr>
        <w:top w:val="none" w:sz="0" w:space="0" w:color="auto"/>
        <w:left w:val="none" w:sz="0" w:space="0" w:color="auto"/>
        <w:bottom w:val="none" w:sz="0" w:space="0" w:color="auto"/>
        <w:right w:val="none" w:sz="0" w:space="0" w:color="auto"/>
      </w:divBdr>
    </w:div>
    <w:div w:id="1364094592">
      <w:bodyDiv w:val="1"/>
      <w:marLeft w:val="0"/>
      <w:marRight w:val="0"/>
      <w:marTop w:val="0"/>
      <w:marBottom w:val="0"/>
      <w:divBdr>
        <w:top w:val="none" w:sz="0" w:space="0" w:color="auto"/>
        <w:left w:val="none" w:sz="0" w:space="0" w:color="auto"/>
        <w:bottom w:val="none" w:sz="0" w:space="0" w:color="auto"/>
        <w:right w:val="none" w:sz="0" w:space="0" w:color="auto"/>
      </w:divBdr>
    </w:div>
    <w:div w:id="1369137088">
      <w:bodyDiv w:val="1"/>
      <w:marLeft w:val="0"/>
      <w:marRight w:val="0"/>
      <w:marTop w:val="0"/>
      <w:marBottom w:val="0"/>
      <w:divBdr>
        <w:top w:val="none" w:sz="0" w:space="0" w:color="auto"/>
        <w:left w:val="none" w:sz="0" w:space="0" w:color="auto"/>
        <w:bottom w:val="none" w:sz="0" w:space="0" w:color="auto"/>
        <w:right w:val="none" w:sz="0" w:space="0" w:color="auto"/>
      </w:divBdr>
    </w:div>
    <w:div w:id="1371537978">
      <w:bodyDiv w:val="1"/>
      <w:marLeft w:val="0"/>
      <w:marRight w:val="0"/>
      <w:marTop w:val="0"/>
      <w:marBottom w:val="0"/>
      <w:divBdr>
        <w:top w:val="none" w:sz="0" w:space="0" w:color="auto"/>
        <w:left w:val="none" w:sz="0" w:space="0" w:color="auto"/>
        <w:bottom w:val="none" w:sz="0" w:space="0" w:color="auto"/>
        <w:right w:val="none" w:sz="0" w:space="0" w:color="auto"/>
      </w:divBdr>
    </w:div>
    <w:div w:id="1371882782">
      <w:bodyDiv w:val="1"/>
      <w:marLeft w:val="0"/>
      <w:marRight w:val="0"/>
      <w:marTop w:val="0"/>
      <w:marBottom w:val="0"/>
      <w:divBdr>
        <w:top w:val="none" w:sz="0" w:space="0" w:color="auto"/>
        <w:left w:val="none" w:sz="0" w:space="0" w:color="auto"/>
        <w:bottom w:val="none" w:sz="0" w:space="0" w:color="auto"/>
        <w:right w:val="none" w:sz="0" w:space="0" w:color="auto"/>
      </w:divBdr>
    </w:div>
    <w:div w:id="1379743493">
      <w:bodyDiv w:val="1"/>
      <w:marLeft w:val="0"/>
      <w:marRight w:val="0"/>
      <w:marTop w:val="0"/>
      <w:marBottom w:val="0"/>
      <w:divBdr>
        <w:top w:val="none" w:sz="0" w:space="0" w:color="auto"/>
        <w:left w:val="none" w:sz="0" w:space="0" w:color="auto"/>
        <w:bottom w:val="none" w:sz="0" w:space="0" w:color="auto"/>
        <w:right w:val="none" w:sz="0" w:space="0" w:color="auto"/>
      </w:divBdr>
    </w:div>
    <w:div w:id="1383601428">
      <w:bodyDiv w:val="1"/>
      <w:marLeft w:val="0"/>
      <w:marRight w:val="0"/>
      <w:marTop w:val="0"/>
      <w:marBottom w:val="0"/>
      <w:divBdr>
        <w:top w:val="none" w:sz="0" w:space="0" w:color="auto"/>
        <w:left w:val="none" w:sz="0" w:space="0" w:color="auto"/>
        <w:bottom w:val="none" w:sz="0" w:space="0" w:color="auto"/>
        <w:right w:val="none" w:sz="0" w:space="0" w:color="auto"/>
      </w:divBdr>
    </w:div>
    <w:div w:id="1386023062">
      <w:bodyDiv w:val="1"/>
      <w:marLeft w:val="0"/>
      <w:marRight w:val="0"/>
      <w:marTop w:val="0"/>
      <w:marBottom w:val="0"/>
      <w:divBdr>
        <w:top w:val="none" w:sz="0" w:space="0" w:color="auto"/>
        <w:left w:val="none" w:sz="0" w:space="0" w:color="auto"/>
        <w:bottom w:val="none" w:sz="0" w:space="0" w:color="auto"/>
        <w:right w:val="none" w:sz="0" w:space="0" w:color="auto"/>
      </w:divBdr>
    </w:div>
    <w:div w:id="1386442810">
      <w:bodyDiv w:val="1"/>
      <w:marLeft w:val="0"/>
      <w:marRight w:val="0"/>
      <w:marTop w:val="0"/>
      <w:marBottom w:val="0"/>
      <w:divBdr>
        <w:top w:val="none" w:sz="0" w:space="0" w:color="auto"/>
        <w:left w:val="none" w:sz="0" w:space="0" w:color="auto"/>
        <w:bottom w:val="none" w:sz="0" w:space="0" w:color="auto"/>
        <w:right w:val="none" w:sz="0" w:space="0" w:color="auto"/>
      </w:divBdr>
    </w:div>
    <w:div w:id="1386753313">
      <w:bodyDiv w:val="1"/>
      <w:marLeft w:val="0"/>
      <w:marRight w:val="0"/>
      <w:marTop w:val="0"/>
      <w:marBottom w:val="0"/>
      <w:divBdr>
        <w:top w:val="none" w:sz="0" w:space="0" w:color="auto"/>
        <w:left w:val="none" w:sz="0" w:space="0" w:color="auto"/>
        <w:bottom w:val="none" w:sz="0" w:space="0" w:color="auto"/>
        <w:right w:val="none" w:sz="0" w:space="0" w:color="auto"/>
      </w:divBdr>
    </w:div>
    <w:div w:id="1397581681">
      <w:bodyDiv w:val="1"/>
      <w:marLeft w:val="0"/>
      <w:marRight w:val="0"/>
      <w:marTop w:val="0"/>
      <w:marBottom w:val="0"/>
      <w:divBdr>
        <w:top w:val="none" w:sz="0" w:space="0" w:color="auto"/>
        <w:left w:val="none" w:sz="0" w:space="0" w:color="auto"/>
        <w:bottom w:val="none" w:sz="0" w:space="0" w:color="auto"/>
        <w:right w:val="none" w:sz="0" w:space="0" w:color="auto"/>
      </w:divBdr>
    </w:div>
    <w:div w:id="1402751845">
      <w:bodyDiv w:val="1"/>
      <w:marLeft w:val="0"/>
      <w:marRight w:val="0"/>
      <w:marTop w:val="0"/>
      <w:marBottom w:val="0"/>
      <w:divBdr>
        <w:top w:val="none" w:sz="0" w:space="0" w:color="auto"/>
        <w:left w:val="none" w:sz="0" w:space="0" w:color="auto"/>
        <w:bottom w:val="none" w:sz="0" w:space="0" w:color="auto"/>
        <w:right w:val="none" w:sz="0" w:space="0" w:color="auto"/>
      </w:divBdr>
    </w:div>
    <w:div w:id="1406150657">
      <w:bodyDiv w:val="1"/>
      <w:marLeft w:val="0"/>
      <w:marRight w:val="0"/>
      <w:marTop w:val="0"/>
      <w:marBottom w:val="0"/>
      <w:divBdr>
        <w:top w:val="none" w:sz="0" w:space="0" w:color="auto"/>
        <w:left w:val="none" w:sz="0" w:space="0" w:color="auto"/>
        <w:bottom w:val="none" w:sz="0" w:space="0" w:color="auto"/>
        <w:right w:val="none" w:sz="0" w:space="0" w:color="auto"/>
      </w:divBdr>
      <w:divsChild>
        <w:div w:id="1609727948">
          <w:marLeft w:val="0"/>
          <w:marRight w:val="0"/>
          <w:marTop w:val="0"/>
          <w:marBottom w:val="0"/>
          <w:divBdr>
            <w:top w:val="none" w:sz="0" w:space="0" w:color="auto"/>
            <w:left w:val="none" w:sz="0" w:space="0" w:color="auto"/>
            <w:bottom w:val="none" w:sz="0" w:space="0" w:color="auto"/>
            <w:right w:val="none" w:sz="0" w:space="0" w:color="auto"/>
          </w:divBdr>
          <w:divsChild>
            <w:div w:id="1658143427">
              <w:marLeft w:val="0"/>
              <w:marRight w:val="0"/>
              <w:marTop w:val="0"/>
              <w:marBottom w:val="0"/>
              <w:divBdr>
                <w:top w:val="none" w:sz="0" w:space="0" w:color="auto"/>
                <w:left w:val="none" w:sz="0" w:space="0" w:color="auto"/>
                <w:bottom w:val="none" w:sz="0" w:space="0" w:color="auto"/>
                <w:right w:val="none" w:sz="0" w:space="0" w:color="auto"/>
              </w:divBdr>
              <w:divsChild>
                <w:div w:id="1713115577">
                  <w:marLeft w:val="0"/>
                  <w:marRight w:val="0"/>
                  <w:marTop w:val="0"/>
                  <w:marBottom w:val="0"/>
                  <w:divBdr>
                    <w:top w:val="none" w:sz="0" w:space="0" w:color="auto"/>
                    <w:left w:val="none" w:sz="0" w:space="0" w:color="auto"/>
                    <w:bottom w:val="none" w:sz="0" w:space="0" w:color="auto"/>
                    <w:right w:val="none" w:sz="0" w:space="0" w:color="auto"/>
                  </w:divBdr>
                  <w:divsChild>
                    <w:div w:id="1051423521">
                      <w:marLeft w:val="0"/>
                      <w:marRight w:val="0"/>
                      <w:marTop w:val="0"/>
                      <w:marBottom w:val="0"/>
                      <w:divBdr>
                        <w:top w:val="none" w:sz="0" w:space="0" w:color="auto"/>
                        <w:left w:val="none" w:sz="0" w:space="0" w:color="auto"/>
                        <w:bottom w:val="none" w:sz="0" w:space="0" w:color="auto"/>
                        <w:right w:val="none" w:sz="0" w:space="0" w:color="auto"/>
                      </w:divBdr>
                      <w:divsChild>
                        <w:div w:id="1476024041">
                          <w:marLeft w:val="0"/>
                          <w:marRight w:val="0"/>
                          <w:marTop w:val="0"/>
                          <w:marBottom w:val="0"/>
                          <w:divBdr>
                            <w:top w:val="none" w:sz="0" w:space="0" w:color="auto"/>
                            <w:left w:val="none" w:sz="0" w:space="0" w:color="auto"/>
                            <w:bottom w:val="none" w:sz="0" w:space="0" w:color="auto"/>
                            <w:right w:val="none" w:sz="0" w:space="0" w:color="auto"/>
                          </w:divBdr>
                          <w:divsChild>
                            <w:div w:id="1849713963">
                              <w:marLeft w:val="0"/>
                              <w:marRight w:val="0"/>
                              <w:marTop w:val="0"/>
                              <w:marBottom w:val="0"/>
                              <w:divBdr>
                                <w:top w:val="none" w:sz="0" w:space="0" w:color="auto"/>
                                <w:left w:val="none" w:sz="0" w:space="0" w:color="auto"/>
                                <w:bottom w:val="none" w:sz="0" w:space="0" w:color="auto"/>
                                <w:right w:val="none" w:sz="0" w:space="0" w:color="auto"/>
                              </w:divBdr>
                              <w:divsChild>
                                <w:div w:id="6247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522473">
      <w:bodyDiv w:val="1"/>
      <w:marLeft w:val="0"/>
      <w:marRight w:val="0"/>
      <w:marTop w:val="0"/>
      <w:marBottom w:val="0"/>
      <w:divBdr>
        <w:top w:val="none" w:sz="0" w:space="0" w:color="auto"/>
        <w:left w:val="none" w:sz="0" w:space="0" w:color="auto"/>
        <w:bottom w:val="none" w:sz="0" w:space="0" w:color="auto"/>
        <w:right w:val="none" w:sz="0" w:space="0" w:color="auto"/>
      </w:divBdr>
    </w:div>
    <w:div w:id="1422867894">
      <w:bodyDiv w:val="1"/>
      <w:marLeft w:val="0"/>
      <w:marRight w:val="0"/>
      <w:marTop w:val="0"/>
      <w:marBottom w:val="0"/>
      <w:divBdr>
        <w:top w:val="none" w:sz="0" w:space="0" w:color="auto"/>
        <w:left w:val="none" w:sz="0" w:space="0" w:color="auto"/>
        <w:bottom w:val="none" w:sz="0" w:space="0" w:color="auto"/>
        <w:right w:val="none" w:sz="0" w:space="0" w:color="auto"/>
      </w:divBdr>
    </w:div>
    <w:div w:id="1425686528">
      <w:bodyDiv w:val="1"/>
      <w:marLeft w:val="0"/>
      <w:marRight w:val="0"/>
      <w:marTop w:val="0"/>
      <w:marBottom w:val="0"/>
      <w:divBdr>
        <w:top w:val="none" w:sz="0" w:space="0" w:color="auto"/>
        <w:left w:val="none" w:sz="0" w:space="0" w:color="auto"/>
        <w:bottom w:val="none" w:sz="0" w:space="0" w:color="auto"/>
        <w:right w:val="none" w:sz="0" w:space="0" w:color="auto"/>
      </w:divBdr>
    </w:div>
    <w:div w:id="1426724334">
      <w:bodyDiv w:val="1"/>
      <w:marLeft w:val="0"/>
      <w:marRight w:val="0"/>
      <w:marTop w:val="0"/>
      <w:marBottom w:val="0"/>
      <w:divBdr>
        <w:top w:val="none" w:sz="0" w:space="0" w:color="auto"/>
        <w:left w:val="none" w:sz="0" w:space="0" w:color="auto"/>
        <w:bottom w:val="none" w:sz="0" w:space="0" w:color="auto"/>
        <w:right w:val="none" w:sz="0" w:space="0" w:color="auto"/>
      </w:divBdr>
    </w:div>
    <w:div w:id="1433091468">
      <w:bodyDiv w:val="1"/>
      <w:marLeft w:val="0"/>
      <w:marRight w:val="0"/>
      <w:marTop w:val="0"/>
      <w:marBottom w:val="0"/>
      <w:divBdr>
        <w:top w:val="none" w:sz="0" w:space="0" w:color="auto"/>
        <w:left w:val="none" w:sz="0" w:space="0" w:color="auto"/>
        <w:bottom w:val="none" w:sz="0" w:space="0" w:color="auto"/>
        <w:right w:val="none" w:sz="0" w:space="0" w:color="auto"/>
      </w:divBdr>
    </w:div>
    <w:div w:id="1438449741">
      <w:bodyDiv w:val="1"/>
      <w:marLeft w:val="0"/>
      <w:marRight w:val="0"/>
      <w:marTop w:val="0"/>
      <w:marBottom w:val="0"/>
      <w:divBdr>
        <w:top w:val="none" w:sz="0" w:space="0" w:color="auto"/>
        <w:left w:val="none" w:sz="0" w:space="0" w:color="auto"/>
        <w:bottom w:val="none" w:sz="0" w:space="0" w:color="auto"/>
        <w:right w:val="none" w:sz="0" w:space="0" w:color="auto"/>
      </w:divBdr>
    </w:div>
    <w:div w:id="1439595234">
      <w:bodyDiv w:val="1"/>
      <w:marLeft w:val="0"/>
      <w:marRight w:val="0"/>
      <w:marTop w:val="0"/>
      <w:marBottom w:val="0"/>
      <w:divBdr>
        <w:top w:val="none" w:sz="0" w:space="0" w:color="auto"/>
        <w:left w:val="none" w:sz="0" w:space="0" w:color="auto"/>
        <w:bottom w:val="none" w:sz="0" w:space="0" w:color="auto"/>
        <w:right w:val="none" w:sz="0" w:space="0" w:color="auto"/>
      </w:divBdr>
    </w:div>
    <w:div w:id="1439907469">
      <w:bodyDiv w:val="1"/>
      <w:marLeft w:val="0"/>
      <w:marRight w:val="0"/>
      <w:marTop w:val="0"/>
      <w:marBottom w:val="0"/>
      <w:divBdr>
        <w:top w:val="none" w:sz="0" w:space="0" w:color="auto"/>
        <w:left w:val="none" w:sz="0" w:space="0" w:color="auto"/>
        <w:bottom w:val="none" w:sz="0" w:space="0" w:color="auto"/>
        <w:right w:val="none" w:sz="0" w:space="0" w:color="auto"/>
      </w:divBdr>
    </w:div>
    <w:div w:id="1441560330">
      <w:bodyDiv w:val="1"/>
      <w:marLeft w:val="0"/>
      <w:marRight w:val="0"/>
      <w:marTop w:val="0"/>
      <w:marBottom w:val="0"/>
      <w:divBdr>
        <w:top w:val="none" w:sz="0" w:space="0" w:color="auto"/>
        <w:left w:val="none" w:sz="0" w:space="0" w:color="auto"/>
        <w:bottom w:val="none" w:sz="0" w:space="0" w:color="auto"/>
        <w:right w:val="none" w:sz="0" w:space="0" w:color="auto"/>
      </w:divBdr>
    </w:div>
    <w:div w:id="1454129647">
      <w:bodyDiv w:val="1"/>
      <w:marLeft w:val="0"/>
      <w:marRight w:val="0"/>
      <w:marTop w:val="0"/>
      <w:marBottom w:val="0"/>
      <w:divBdr>
        <w:top w:val="none" w:sz="0" w:space="0" w:color="auto"/>
        <w:left w:val="none" w:sz="0" w:space="0" w:color="auto"/>
        <w:bottom w:val="none" w:sz="0" w:space="0" w:color="auto"/>
        <w:right w:val="none" w:sz="0" w:space="0" w:color="auto"/>
      </w:divBdr>
    </w:div>
    <w:div w:id="1457139971">
      <w:bodyDiv w:val="1"/>
      <w:marLeft w:val="0"/>
      <w:marRight w:val="0"/>
      <w:marTop w:val="0"/>
      <w:marBottom w:val="0"/>
      <w:divBdr>
        <w:top w:val="none" w:sz="0" w:space="0" w:color="auto"/>
        <w:left w:val="none" w:sz="0" w:space="0" w:color="auto"/>
        <w:bottom w:val="none" w:sz="0" w:space="0" w:color="auto"/>
        <w:right w:val="none" w:sz="0" w:space="0" w:color="auto"/>
      </w:divBdr>
    </w:div>
    <w:div w:id="1457916759">
      <w:bodyDiv w:val="1"/>
      <w:marLeft w:val="0"/>
      <w:marRight w:val="0"/>
      <w:marTop w:val="0"/>
      <w:marBottom w:val="0"/>
      <w:divBdr>
        <w:top w:val="none" w:sz="0" w:space="0" w:color="auto"/>
        <w:left w:val="none" w:sz="0" w:space="0" w:color="auto"/>
        <w:bottom w:val="none" w:sz="0" w:space="0" w:color="auto"/>
        <w:right w:val="none" w:sz="0" w:space="0" w:color="auto"/>
      </w:divBdr>
    </w:div>
    <w:div w:id="1461653985">
      <w:bodyDiv w:val="1"/>
      <w:marLeft w:val="0"/>
      <w:marRight w:val="0"/>
      <w:marTop w:val="0"/>
      <w:marBottom w:val="0"/>
      <w:divBdr>
        <w:top w:val="none" w:sz="0" w:space="0" w:color="auto"/>
        <w:left w:val="none" w:sz="0" w:space="0" w:color="auto"/>
        <w:bottom w:val="none" w:sz="0" w:space="0" w:color="auto"/>
        <w:right w:val="none" w:sz="0" w:space="0" w:color="auto"/>
      </w:divBdr>
    </w:div>
    <w:div w:id="1465662853">
      <w:bodyDiv w:val="1"/>
      <w:marLeft w:val="0"/>
      <w:marRight w:val="0"/>
      <w:marTop w:val="0"/>
      <w:marBottom w:val="0"/>
      <w:divBdr>
        <w:top w:val="none" w:sz="0" w:space="0" w:color="auto"/>
        <w:left w:val="none" w:sz="0" w:space="0" w:color="auto"/>
        <w:bottom w:val="none" w:sz="0" w:space="0" w:color="auto"/>
        <w:right w:val="none" w:sz="0" w:space="0" w:color="auto"/>
      </w:divBdr>
    </w:div>
    <w:div w:id="1468669680">
      <w:bodyDiv w:val="1"/>
      <w:marLeft w:val="0"/>
      <w:marRight w:val="0"/>
      <w:marTop w:val="0"/>
      <w:marBottom w:val="0"/>
      <w:divBdr>
        <w:top w:val="none" w:sz="0" w:space="0" w:color="auto"/>
        <w:left w:val="none" w:sz="0" w:space="0" w:color="auto"/>
        <w:bottom w:val="none" w:sz="0" w:space="0" w:color="auto"/>
        <w:right w:val="none" w:sz="0" w:space="0" w:color="auto"/>
      </w:divBdr>
    </w:div>
    <w:div w:id="1471439895">
      <w:bodyDiv w:val="1"/>
      <w:marLeft w:val="0"/>
      <w:marRight w:val="0"/>
      <w:marTop w:val="0"/>
      <w:marBottom w:val="0"/>
      <w:divBdr>
        <w:top w:val="none" w:sz="0" w:space="0" w:color="auto"/>
        <w:left w:val="none" w:sz="0" w:space="0" w:color="auto"/>
        <w:bottom w:val="none" w:sz="0" w:space="0" w:color="auto"/>
        <w:right w:val="none" w:sz="0" w:space="0" w:color="auto"/>
      </w:divBdr>
    </w:div>
    <w:div w:id="1476289503">
      <w:bodyDiv w:val="1"/>
      <w:marLeft w:val="0"/>
      <w:marRight w:val="0"/>
      <w:marTop w:val="0"/>
      <w:marBottom w:val="0"/>
      <w:divBdr>
        <w:top w:val="none" w:sz="0" w:space="0" w:color="auto"/>
        <w:left w:val="none" w:sz="0" w:space="0" w:color="auto"/>
        <w:bottom w:val="none" w:sz="0" w:space="0" w:color="auto"/>
        <w:right w:val="none" w:sz="0" w:space="0" w:color="auto"/>
      </w:divBdr>
    </w:div>
    <w:div w:id="1477382215">
      <w:bodyDiv w:val="1"/>
      <w:marLeft w:val="0"/>
      <w:marRight w:val="0"/>
      <w:marTop w:val="0"/>
      <w:marBottom w:val="0"/>
      <w:divBdr>
        <w:top w:val="none" w:sz="0" w:space="0" w:color="auto"/>
        <w:left w:val="none" w:sz="0" w:space="0" w:color="auto"/>
        <w:bottom w:val="none" w:sz="0" w:space="0" w:color="auto"/>
        <w:right w:val="none" w:sz="0" w:space="0" w:color="auto"/>
      </w:divBdr>
      <w:divsChild>
        <w:div w:id="83519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539017">
      <w:bodyDiv w:val="1"/>
      <w:marLeft w:val="0"/>
      <w:marRight w:val="0"/>
      <w:marTop w:val="0"/>
      <w:marBottom w:val="0"/>
      <w:divBdr>
        <w:top w:val="none" w:sz="0" w:space="0" w:color="auto"/>
        <w:left w:val="none" w:sz="0" w:space="0" w:color="auto"/>
        <w:bottom w:val="none" w:sz="0" w:space="0" w:color="auto"/>
        <w:right w:val="none" w:sz="0" w:space="0" w:color="auto"/>
      </w:divBdr>
    </w:div>
    <w:div w:id="1487280385">
      <w:bodyDiv w:val="1"/>
      <w:marLeft w:val="0"/>
      <w:marRight w:val="0"/>
      <w:marTop w:val="0"/>
      <w:marBottom w:val="0"/>
      <w:divBdr>
        <w:top w:val="none" w:sz="0" w:space="0" w:color="auto"/>
        <w:left w:val="none" w:sz="0" w:space="0" w:color="auto"/>
        <w:bottom w:val="none" w:sz="0" w:space="0" w:color="auto"/>
        <w:right w:val="none" w:sz="0" w:space="0" w:color="auto"/>
      </w:divBdr>
    </w:div>
    <w:div w:id="1490168848">
      <w:bodyDiv w:val="1"/>
      <w:marLeft w:val="0"/>
      <w:marRight w:val="0"/>
      <w:marTop w:val="0"/>
      <w:marBottom w:val="0"/>
      <w:divBdr>
        <w:top w:val="none" w:sz="0" w:space="0" w:color="auto"/>
        <w:left w:val="none" w:sz="0" w:space="0" w:color="auto"/>
        <w:bottom w:val="none" w:sz="0" w:space="0" w:color="auto"/>
        <w:right w:val="none" w:sz="0" w:space="0" w:color="auto"/>
      </w:divBdr>
    </w:div>
    <w:div w:id="1491750374">
      <w:bodyDiv w:val="1"/>
      <w:marLeft w:val="0"/>
      <w:marRight w:val="0"/>
      <w:marTop w:val="0"/>
      <w:marBottom w:val="0"/>
      <w:divBdr>
        <w:top w:val="none" w:sz="0" w:space="0" w:color="auto"/>
        <w:left w:val="none" w:sz="0" w:space="0" w:color="auto"/>
        <w:bottom w:val="none" w:sz="0" w:space="0" w:color="auto"/>
        <w:right w:val="none" w:sz="0" w:space="0" w:color="auto"/>
      </w:divBdr>
    </w:div>
    <w:div w:id="1494952974">
      <w:bodyDiv w:val="1"/>
      <w:marLeft w:val="0"/>
      <w:marRight w:val="0"/>
      <w:marTop w:val="0"/>
      <w:marBottom w:val="0"/>
      <w:divBdr>
        <w:top w:val="none" w:sz="0" w:space="0" w:color="auto"/>
        <w:left w:val="none" w:sz="0" w:space="0" w:color="auto"/>
        <w:bottom w:val="none" w:sz="0" w:space="0" w:color="auto"/>
        <w:right w:val="none" w:sz="0" w:space="0" w:color="auto"/>
      </w:divBdr>
    </w:div>
    <w:div w:id="1495679242">
      <w:bodyDiv w:val="1"/>
      <w:marLeft w:val="0"/>
      <w:marRight w:val="0"/>
      <w:marTop w:val="0"/>
      <w:marBottom w:val="0"/>
      <w:divBdr>
        <w:top w:val="none" w:sz="0" w:space="0" w:color="auto"/>
        <w:left w:val="none" w:sz="0" w:space="0" w:color="auto"/>
        <w:bottom w:val="none" w:sz="0" w:space="0" w:color="auto"/>
        <w:right w:val="none" w:sz="0" w:space="0" w:color="auto"/>
      </w:divBdr>
    </w:div>
    <w:div w:id="1496724958">
      <w:bodyDiv w:val="1"/>
      <w:marLeft w:val="0"/>
      <w:marRight w:val="0"/>
      <w:marTop w:val="0"/>
      <w:marBottom w:val="0"/>
      <w:divBdr>
        <w:top w:val="none" w:sz="0" w:space="0" w:color="auto"/>
        <w:left w:val="none" w:sz="0" w:space="0" w:color="auto"/>
        <w:bottom w:val="none" w:sz="0" w:space="0" w:color="auto"/>
        <w:right w:val="none" w:sz="0" w:space="0" w:color="auto"/>
      </w:divBdr>
    </w:div>
    <w:div w:id="1501194303">
      <w:bodyDiv w:val="1"/>
      <w:marLeft w:val="0"/>
      <w:marRight w:val="0"/>
      <w:marTop w:val="0"/>
      <w:marBottom w:val="0"/>
      <w:divBdr>
        <w:top w:val="none" w:sz="0" w:space="0" w:color="auto"/>
        <w:left w:val="none" w:sz="0" w:space="0" w:color="auto"/>
        <w:bottom w:val="none" w:sz="0" w:space="0" w:color="auto"/>
        <w:right w:val="none" w:sz="0" w:space="0" w:color="auto"/>
      </w:divBdr>
    </w:div>
    <w:div w:id="1501848275">
      <w:bodyDiv w:val="1"/>
      <w:marLeft w:val="0"/>
      <w:marRight w:val="0"/>
      <w:marTop w:val="0"/>
      <w:marBottom w:val="0"/>
      <w:divBdr>
        <w:top w:val="none" w:sz="0" w:space="0" w:color="auto"/>
        <w:left w:val="none" w:sz="0" w:space="0" w:color="auto"/>
        <w:bottom w:val="none" w:sz="0" w:space="0" w:color="auto"/>
        <w:right w:val="none" w:sz="0" w:space="0" w:color="auto"/>
      </w:divBdr>
    </w:div>
    <w:div w:id="1503886151">
      <w:bodyDiv w:val="1"/>
      <w:marLeft w:val="0"/>
      <w:marRight w:val="0"/>
      <w:marTop w:val="0"/>
      <w:marBottom w:val="0"/>
      <w:divBdr>
        <w:top w:val="none" w:sz="0" w:space="0" w:color="auto"/>
        <w:left w:val="none" w:sz="0" w:space="0" w:color="auto"/>
        <w:bottom w:val="none" w:sz="0" w:space="0" w:color="auto"/>
        <w:right w:val="none" w:sz="0" w:space="0" w:color="auto"/>
      </w:divBdr>
    </w:div>
    <w:div w:id="1506245855">
      <w:bodyDiv w:val="1"/>
      <w:marLeft w:val="0"/>
      <w:marRight w:val="0"/>
      <w:marTop w:val="0"/>
      <w:marBottom w:val="0"/>
      <w:divBdr>
        <w:top w:val="none" w:sz="0" w:space="0" w:color="auto"/>
        <w:left w:val="none" w:sz="0" w:space="0" w:color="auto"/>
        <w:bottom w:val="none" w:sz="0" w:space="0" w:color="auto"/>
        <w:right w:val="none" w:sz="0" w:space="0" w:color="auto"/>
      </w:divBdr>
    </w:div>
    <w:div w:id="1511217521">
      <w:bodyDiv w:val="1"/>
      <w:marLeft w:val="0"/>
      <w:marRight w:val="0"/>
      <w:marTop w:val="0"/>
      <w:marBottom w:val="0"/>
      <w:divBdr>
        <w:top w:val="none" w:sz="0" w:space="0" w:color="auto"/>
        <w:left w:val="none" w:sz="0" w:space="0" w:color="auto"/>
        <w:bottom w:val="none" w:sz="0" w:space="0" w:color="auto"/>
        <w:right w:val="none" w:sz="0" w:space="0" w:color="auto"/>
      </w:divBdr>
    </w:div>
    <w:div w:id="1512260358">
      <w:bodyDiv w:val="1"/>
      <w:marLeft w:val="0"/>
      <w:marRight w:val="0"/>
      <w:marTop w:val="0"/>
      <w:marBottom w:val="0"/>
      <w:divBdr>
        <w:top w:val="none" w:sz="0" w:space="0" w:color="auto"/>
        <w:left w:val="none" w:sz="0" w:space="0" w:color="auto"/>
        <w:bottom w:val="none" w:sz="0" w:space="0" w:color="auto"/>
        <w:right w:val="none" w:sz="0" w:space="0" w:color="auto"/>
      </w:divBdr>
    </w:div>
    <w:div w:id="1513648782">
      <w:bodyDiv w:val="1"/>
      <w:marLeft w:val="0"/>
      <w:marRight w:val="0"/>
      <w:marTop w:val="0"/>
      <w:marBottom w:val="0"/>
      <w:divBdr>
        <w:top w:val="none" w:sz="0" w:space="0" w:color="auto"/>
        <w:left w:val="none" w:sz="0" w:space="0" w:color="auto"/>
        <w:bottom w:val="none" w:sz="0" w:space="0" w:color="auto"/>
        <w:right w:val="none" w:sz="0" w:space="0" w:color="auto"/>
      </w:divBdr>
    </w:div>
    <w:div w:id="1523788793">
      <w:bodyDiv w:val="1"/>
      <w:marLeft w:val="0"/>
      <w:marRight w:val="0"/>
      <w:marTop w:val="0"/>
      <w:marBottom w:val="0"/>
      <w:divBdr>
        <w:top w:val="none" w:sz="0" w:space="0" w:color="auto"/>
        <w:left w:val="none" w:sz="0" w:space="0" w:color="auto"/>
        <w:bottom w:val="none" w:sz="0" w:space="0" w:color="auto"/>
        <w:right w:val="none" w:sz="0" w:space="0" w:color="auto"/>
      </w:divBdr>
    </w:div>
    <w:div w:id="1526284963">
      <w:bodyDiv w:val="1"/>
      <w:marLeft w:val="0"/>
      <w:marRight w:val="0"/>
      <w:marTop w:val="0"/>
      <w:marBottom w:val="0"/>
      <w:divBdr>
        <w:top w:val="none" w:sz="0" w:space="0" w:color="auto"/>
        <w:left w:val="none" w:sz="0" w:space="0" w:color="auto"/>
        <w:bottom w:val="none" w:sz="0" w:space="0" w:color="auto"/>
        <w:right w:val="none" w:sz="0" w:space="0" w:color="auto"/>
      </w:divBdr>
    </w:div>
    <w:div w:id="1526479138">
      <w:bodyDiv w:val="1"/>
      <w:marLeft w:val="0"/>
      <w:marRight w:val="0"/>
      <w:marTop w:val="0"/>
      <w:marBottom w:val="0"/>
      <w:divBdr>
        <w:top w:val="none" w:sz="0" w:space="0" w:color="auto"/>
        <w:left w:val="none" w:sz="0" w:space="0" w:color="auto"/>
        <w:bottom w:val="none" w:sz="0" w:space="0" w:color="auto"/>
        <w:right w:val="none" w:sz="0" w:space="0" w:color="auto"/>
      </w:divBdr>
    </w:div>
    <w:div w:id="1531644150">
      <w:bodyDiv w:val="1"/>
      <w:marLeft w:val="0"/>
      <w:marRight w:val="0"/>
      <w:marTop w:val="0"/>
      <w:marBottom w:val="0"/>
      <w:divBdr>
        <w:top w:val="none" w:sz="0" w:space="0" w:color="auto"/>
        <w:left w:val="none" w:sz="0" w:space="0" w:color="auto"/>
        <w:bottom w:val="none" w:sz="0" w:space="0" w:color="auto"/>
        <w:right w:val="none" w:sz="0" w:space="0" w:color="auto"/>
      </w:divBdr>
    </w:div>
    <w:div w:id="1531840322">
      <w:bodyDiv w:val="1"/>
      <w:marLeft w:val="0"/>
      <w:marRight w:val="0"/>
      <w:marTop w:val="0"/>
      <w:marBottom w:val="0"/>
      <w:divBdr>
        <w:top w:val="none" w:sz="0" w:space="0" w:color="auto"/>
        <w:left w:val="none" w:sz="0" w:space="0" w:color="auto"/>
        <w:bottom w:val="none" w:sz="0" w:space="0" w:color="auto"/>
        <w:right w:val="none" w:sz="0" w:space="0" w:color="auto"/>
      </w:divBdr>
    </w:div>
    <w:div w:id="1533149365">
      <w:bodyDiv w:val="1"/>
      <w:marLeft w:val="0"/>
      <w:marRight w:val="0"/>
      <w:marTop w:val="0"/>
      <w:marBottom w:val="0"/>
      <w:divBdr>
        <w:top w:val="none" w:sz="0" w:space="0" w:color="auto"/>
        <w:left w:val="none" w:sz="0" w:space="0" w:color="auto"/>
        <w:bottom w:val="none" w:sz="0" w:space="0" w:color="auto"/>
        <w:right w:val="none" w:sz="0" w:space="0" w:color="auto"/>
      </w:divBdr>
    </w:div>
    <w:div w:id="1549341748">
      <w:bodyDiv w:val="1"/>
      <w:marLeft w:val="0"/>
      <w:marRight w:val="0"/>
      <w:marTop w:val="0"/>
      <w:marBottom w:val="0"/>
      <w:divBdr>
        <w:top w:val="none" w:sz="0" w:space="0" w:color="auto"/>
        <w:left w:val="none" w:sz="0" w:space="0" w:color="auto"/>
        <w:bottom w:val="none" w:sz="0" w:space="0" w:color="auto"/>
        <w:right w:val="none" w:sz="0" w:space="0" w:color="auto"/>
      </w:divBdr>
    </w:div>
    <w:div w:id="1560163710">
      <w:bodyDiv w:val="1"/>
      <w:marLeft w:val="0"/>
      <w:marRight w:val="0"/>
      <w:marTop w:val="0"/>
      <w:marBottom w:val="0"/>
      <w:divBdr>
        <w:top w:val="none" w:sz="0" w:space="0" w:color="auto"/>
        <w:left w:val="none" w:sz="0" w:space="0" w:color="auto"/>
        <w:bottom w:val="none" w:sz="0" w:space="0" w:color="auto"/>
        <w:right w:val="none" w:sz="0" w:space="0" w:color="auto"/>
      </w:divBdr>
    </w:div>
    <w:div w:id="1567063161">
      <w:bodyDiv w:val="1"/>
      <w:marLeft w:val="0"/>
      <w:marRight w:val="0"/>
      <w:marTop w:val="0"/>
      <w:marBottom w:val="0"/>
      <w:divBdr>
        <w:top w:val="none" w:sz="0" w:space="0" w:color="auto"/>
        <w:left w:val="none" w:sz="0" w:space="0" w:color="auto"/>
        <w:bottom w:val="none" w:sz="0" w:space="0" w:color="auto"/>
        <w:right w:val="none" w:sz="0" w:space="0" w:color="auto"/>
      </w:divBdr>
    </w:div>
    <w:div w:id="1569144252">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653637">
      <w:bodyDiv w:val="1"/>
      <w:marLeft w:val="0"/>
      <w:marRight w:val="0"/>
      <w:marTop w:val="0"/>
      <w:marBottom w:val="0"/>
      <w:divBdr>
        <w:top w:val="none" w:sz="0" w:space="0" w:color="auto"/>
        <w:left w:val="none" w:sz="0" w:space="0" w:color="auto"/>
        <w:bottom w:val="none" w:sz="0" w:space="0" w:color="auto"/>
        <w:right w:val="none" w:sz="0" w:space="0" w:color="auto"/>
      </w:divBdr>
    </w:div>
    <w:div w:id="1571573925">
      <w:bodyDiv w:val="1"/>
      <w:marLeft w:val="0"/>
      <w:marRight w:val="0"/>
      <w:marTop w:val="0"/>
      <w:marBottom w:val="0"/>
      <w:divBdr>
        <w:top w:val="none" w:sz="0" w:space="0" w:color="auto"/>
        <w:left w:val="none" w:sz="0" w:space="0" w:color="auto"/>
        <w:bottom w:val="none" w:sz="0" w:space="0" w:color="auto"/>
        <w:right w:val="none" w:sz="0" w:space="0" w:color="auto"/>
      </w:divBdr>
    </w:div>
    <w:div w:id="1572155764">
      <w:bodyDiv w:val="1"/>
      <w:marLeft w:val="0"/>
      <w:marRight w:val="0"/>
      <w:marTop w:val="0"/>
      <w:marBottom w:val="0"/>
      <w:divBdr>
        <w:top w:val="none" w:sz="0" w:space="0" w:color="auto"/>
        <w:left w:val="none" w:sz="0" w:space="0" w:color="auto"/>
        <w:bottom w:val="none" w:sz="0" w:space="0" w:color="auto"/>
        <w:right w:val="none" w:sz="0" w:space="0" w:color="auto"/>
      </w:divBdr>
    </w:div>
    <w:div w:id="1572543695">
      <w:bodyDiv w:val="1"/>
      <w:marLeft w:val="0"/>
      <w:marRight w:val="0"/>
      <w:marTop w:val="0"/>
      <w:marBottom w:val="0"/>
      <w:divBdr>
        <w:top w:val="none" w:sz="0" w:space="0" w:color="auto"/>
        <w:left w:val="none" w:sz="0" w:space="0" w:color="auto"/>
        <w:bottom w:val="none" w:sz="0" w:space="0" w:color="auto"/>
        <w:right w:val="none" w:sz="0" w:space="0" w:color="auto"/>
      </w:divBdr>
      <w:divsChild>
        <w:div w:id="381027080">
          <w:marLeft w:val="0"/>
          <w:marRight w:val="0"/>
          <w:marTop w:val="0"/>
          <w:marBottom w:val="0"/>
          <w:divBdr>
            <w:top w:val="none" w:sz="0" w:space="0" w:color="auto"/>
            <w:left w:val="none" w:sz="0" w:space="0" w:color="auto"/>
            <w:bottom w:val="none" w:sz="0" w:space="0" w:color="auto"/>
            <w:right w:val="none" w:sz="0" w:space="0" w:color="auto"/>
          </w:divBdr>
          <w:divsChild>
            <w:div w:id="1714111083">
              <w:marLeft w:val="0"/>
              <w:marRight w:val="0"/>
              <w:marTop w:val="0"/>
              <w:marBottom w:val="0"/>
              <w:divBdr>
                <w:top w:val="none" w:sz="0" w:space="0" w:color="auto"/>
                <w:left w:val="none" w:sz="0" w:space="0" w:color="auto"/>
                <w:bottom w:val="none" w:sz="0" w:space="0" w:color="auto"/>
                <w:right w:val="none" w:sz="0" w:space="0" w:color="auto"/>
              </w:divBdr>
              <w:divsChild>
                <w:div w:id="996542624">
                  <w:marLeft w:val="0"/>
                  <w:marRight w:val="0"/>
                  <w:marTop w:val="0"/>
                  <w:marBottom w:val="0"/>
                  <w:divBdr>
                    <w:top w:val="none" w:sz="0" w:space="0" w:color="auto"/>
                    <w:left w:val="none" w:sz="0" w:space="0" w:color="auto"/>
                    <w:bottom w:val="none" w:sz="0" w:space="0" w:color="auto"/>
                    <w:right w:val="none" w:sz="0" w:space="0" w:color="auto"/>
                  </w:divBdr>
                  <w:divsChild>
                    <w:div w:id="1069618426">
                      <w:marLeft w:val="0"/>
                      <w:marRight w:val="0"/>
                      <w:marTop w:val="0"/>
                      <w:marBottom w:val="0"/>
                      <w:divBdr>
                        <w:top w:val="none" w:sz="0" w:space="0" w:color="auto"/>
                        <w:left w:val="none" w:sz="0" w:space="0" w:color="auto"/>
                        <w:bottom w:val="none" w:sz="0" w:space="0" w:color="auto"/>
                        <w:right w:val="none" w:sz="0" w:space="0" w:color="auto"/>
                      </w:divBdr>
                      <w:divsChild>
                        <w:div w:id="89131604">
                          <w:marLeft w:val="0"/>
                          <w:marRight w:val="0"/>
                          <w:marTop w:val="0"/>
                          <w:marBottom w:val="0"/>
                          <w:divBdr>
                            <w:top w:val="none" w:sz="0" w:space="0" w:color="auto"/>
                            <w:left w:val="none" w:sz="0" w:space="0" w:color="auto"/>
                            <w:bottom w:val="none" w:sz="0" w:space="0" w:color="auto"/>
                            <w:right w:val="none" w:sz="0" w:space="0" w:color="auto"/>
                          </w:divBdr>
                          <w:divsChild>
                            <w:div w:id="1615480650">
                              <w:marLeft w:val="0"/>
                              <w:marRight w:val="0"/>
                              <w:marTop w:val="0"/>
                              <w:marBottom w:val="0"/>
                              <w:divBdr>
                                <w:top w:val="none" w:sz="0" w:space="0" w:color="auto"/>
                                <w:left w:val="none" w:sz="0" w:space="0" w:color="auto"/>
                                <w:bottom w:val="none" w:sz="0" w:space="0" w:color="auto"/>
                                <w:right w:val="none" w:sz="0" w:space="0" w:color="auto"/>
                              </w:divBdr>
                              <w:divsChild>
                                <w:div w:id="9952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924788">
      <w:bodyDiv w:val="1"/>
      <w:marLeft w:val="0"/>
      <w:marRight w:val="0"/>
      <w:marTop w:val="0"/>
      <w:marBottom w:val="0"/>
      <w:divBdr>
        <w:top w:val="none" w:sz="0" w:space="0" w:color="auto"/>
        <w:left w:val="none" w:sz="0" w:space="0" w:color="auto"/>
        <w:bottom w:val="none" w:sz="0" w:space="0" w:color="auto"/>
        <w:right w:val="none" w:sz="0" w:space="0" w:color="auto"/>
      </w:divBdr>
    </w:div>
    <w:div w:id="1576745391">
      <w:bodyDiv w:val="1"/>
      <w:marLeft w:val="0"/>
      <w:marRight w:val="0"/>
      <w:marTop w:val="0"/>
      <w:marBottom w:val="0"/>
      <w:divBdr>
        <w:top w:val="none" w:sz="0" w:space="0" w:color="auto"/>
        <w:left w:val="none" w:sz="0" w:space="0" w:color="auto"/>
        <w:bottom w:val="none" w:sz="0" w:space="0" w:color="auto"/>
        <w:right w:val="none" w:sz="0" w:space="0" w:color="auto"/>
      </w:divBdr>
    </w:div>
    <w:div w:id="1579629326">
      <w:bodyDiv w:val="1"/>
      <w:marLeft w:val="0"/>
      <w:marRight w:val="0"/>
      <w:marTop w:val="0"/>
      <w:marBottom w:val="0"/>
      <w:divBdr>
        <w:top w:val="none" w:sz="0" w:space="0" w:color="auto"/>
        <w:left w:val="none" w:sz="0" w:space="0" w:color="auto"/>
        <w:bottom w:val="none" w:sz="0" w:space="0" w:color="auto"/>
        <w:right w:val="none" w:sz="0" w:space="0" w:color="auto"/>
      </w:divBdr>
    </w:div>
    <w:div w:id="1583445721">
      <w:bodyDiv w:val="1"/>
      <w:marLeft w:val="0"/>
      <w:marRight w:val="0"/>
      <w:marTop w:val="0"/>
      <w:marBottom w:val="0"/>
      <w:divBdr>
        <w:top w:val="none" w:sz="0" w:space="0" w:color="auto"/>
        <w:left w:val="none" w:sz="0" w:space="0" w:color="auto"/>
        <w:bottom w:val="none" w:sz="0" w:space="0" w:color="auto"/>
        <w:right w:val="none" w:sz="0" w:space="0" w:color="auto"/>
      </w:divBdr>
    </w:div>
    <w:div w:id="1593584237">
      <w:bodyDiv w:val="1"/>
      <w:marLeft w:val="0"/>
      <w:marRight w:val="0"/>
      <w:marTop w:val="0"/>
      <w:marBottom w:val="0"/>
      <w:divBdr>
        <w:top w:val="none" w:sz="0" w:space="0" w:color="auto"/>
        <w:left w:val="none" w:sz="0" w:space="0" w:color="auto"/>
        <w:bottom w:val="none" w:sz="0" w:space="0" w:color="auto"/>
        <w:right w:val="none" w:sz="0" w:space="0" w:color="auto"/>
      </w:divBdr>
    </w:div>
    <w:div w:id="1596328254">
      <w:bodyDiv w:val="1"/>
      <w:marLeft w:val="0"/>
      <w:marRight w:val="0"/>
      <w:marTop w:val="0"/>
      <w:marBottom w:val="0"/>
      <w:divBdr>
        <w:top w:val="none" w:sz="0" w:space="0" w:color="auto"/>
        <w:left w:val="none" w:sz="0" w:space="0" w:color="auto"/>
        <w:bottom w:val="none" w:sz="0" w:space="0" w:color="auto"/>
        <w:right w:val="none" w:sz="0" w:space="0" w:color="auto"/>
      </w:divBdr>
    </w:div>
    <w:div w:id="1596749710">
      <w:bodyDiv w:val="1"/>
      <w:marLeft w:val="0"/>
      <w:marRight w:val="0"/>
      <w:marTop w:val="0"/>
      <w:marBottom w:val="0"/>
      <w:divBdr>
        <w:top w:val="none" w:sz="0" w:space="0" w:color="auto"/>
        <w:left w:val="none" w:sz="0" w:space="0" w:color="auto"/>
        <w:bottom w:val="none" w:sz="0" w:space="0" w:color="auto"/>
        <w:right w:val="none" w:sz="0" w:space="0" w:color="auto"/>
      </w:divBdr>
    </w:div>
    <w:div w:id="1601110807">
      <w:bodyDiv w:val="1"/>
      <w:marLeft w:val="0"/>
      <w:marRight w:val="0"/>
      <w:marTop w:val="0"/>
      <w:marBottom w:val="0"/>
      <w:divBdr>
        <w:top w:val="none" w:sz="0" w:space="0" w:color="auto"/>
        <w:left w:val="none" w:sz="0" w:space="0" w:color="auto"/>
        <w:bottom w:val="none" w:sz="0" w:space="0" w:color="auto"/>
        <w:right w:val="none" w:sz="0" w:space="0" w:color="auto"/>
      </w:divBdr>
    </w:div>
    <w:div w:id="1603076202">
      <w:bodyDiv w:val="1"/>
      <w:marLeft w:val="0"/>
      <w:marRight w:val="0"/>
      <w:marTop w:val="0"/>
      <w:marBottom w:val="0"/>
      <w:divBdr>
        <w:top w:val="none" w:sz="0" w:space="0" w:color="auto"/>
        <w:left w:val="none" w:sz="0" w:space="0" w:color="auto"/>
        <w:bottom w:val="none" w:sz="0" w:space="0" w:color="auto"/>
        <w:right w:val="none" w:sz="0" w:space="0" w:color="auto"/>
      </w:divBdr>
    </w:div>
    <w:div w:id="1605380859">
      <w:bodyDiv w:val="1"/>
      <w:marLeft w:val="0"/>
      <w:marRight w:val="0"/>
      <w:marTop w:val="0"/>
      <w:marBottom w:val="0"/>
      <w:divBdr>
        <w:top w:val="none" w:sz="0" w:space="0" w:color="auto"/>
        <w:left w:val="none" w:sz="0" w:space="0" w:color="auto"/>
        <w:bottom w:val="none" w:sz="0" w:space="0" w:color="auto"/>
        <w:right w:val="none" w:sz="0" w:space="0" w:color="auto"/>
      </w:divBdr>
    </w:div>
    <w:div w:id="1605570567">
      <w:bodyDiv w:val="1"/>
      <w:marLeft w:val="0"/>
      <w:marRight w:val="0"/>
      <w:marTop w:val="0"/>
      <w:marBottom w:val="0"/>
      <w:divBdr>
        <w:top w:val="none" w:sz="0" w:space="0" w:color="auto"/>
        <w:left w:val="none" w:sz="0" w:space="0" w:color="auto"/>
        <w:bottom w:val="none" w:sz="0" w:space="0" w:color="auto"/>
        <w:right w:val="none" w:sz="0" w:space="0" w:color="auto"/>
      </w:divBdr>
    </w:div>
    <w:div w:id="1606572359">
      <w:bodyDiv w:val="1"/>
      <w:marLeft w:val="0"/>
      <w:marRight w:val="0"/>
      <w:marTop w:val="0"/>
      <w:marBottom w:val="0"/>
      <w:divBdr>
        <w:top w:val="none" w:sz="0" w:space="0" w:color="auto"/>
        <w:left w:val="none" w:sz="0" w:space="0" w:color="auto"/>
        <w:bottom w:val="none" w:sz="0" w:space="0" w:color="auto"/>
        <w:right w:val="none" w:sz="0" w:space="0" w:color="auto"/>
      </w:divBdr>
    </w:div>
    <w:div w:id="1606645578">
      <w:bodyDiv w:val="1"/>
      <w:marLeft w:val="0"/>
      <w:marRight w:val="0"/>
      <w:marTop w:val="0"/>
      <w:marBottom w:val="0"/>
      <w:divBdr>
        <w:top w:val="none" w:sz="0" w:space="0" w:color="auto"/>
        <w:left w:val="none" w:sz="0" w:space="0" w:color="auto"/>
        <w:bottom w:val="none" w:sz="0" w:space="0" w:color="auto"/>
        <w:right w:val="none" w:sz="0" w:space="0" w:color="auto"/>
      </w:divBdr>
    </w:div>
    <w:div w:id="1610434381">
      <w:bodyDiv w:val="1"/>
      <w:marLeft w:val="0"/>
      <w:marRight w:val="0"/>
      <w:marTop w:val="0"/>
      <w:marBottom w:val="0"/>
      <w:divBdr>
        <w:top w:val="none" w:sz="0" w:space="0" w:color="auto"/>
        <w:left w:val="none" w:sz="0" w:space="0" w:color="auto"/>
        <w:bottom w:val="none" w:sz="0" w:space="0" w:color="auto"/>
        <w:right w:val="none" w:sz="0" w:space="0" w:color="auto"/>
      </w:divBdr>
      <w:divsChild>
        <w:div w:id="6956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821616">
      <w:bodyDiv w:val="1"/>
      <w:marLeft w:val="0"/>
      <w:marRight w:val="0"/>
      <w:marTop w:val="0"/>
      <w:marBottom w:val="0"/>
      <w:divBdr>
        <w:top w:val="none" w:sz="0" w:space="0" w:color="auto"/>
        <w:left w:val="none" w:sz="0" w:space="0" w:color="auto"/>
        <w:bottom w:val="none" w:sz="0" w:space="0" w:color="auto"/>
        <w:right w:val="none" w:sz="0" w:space="0" w:color="auto"/>
      </w:divBdr>
    </w:div>
    <w:div w:id="1615138399">
      <w:bodyDiv w:val="1"/>
      <w:marLeft w:val="0"/>
      <w:marRight w:val="0"/>
      <w:marTop w:val="0"/>
      <w:marBottom w:val="0"/>
      <w:divBdr>
        <w:top w:val="none" w:sz="0" w:space="0" w:color="auto"/>
        <w:left w:val="none" w:sz="0" w:space="0" w:color="auto"/>
        <w:bottom w:val="none" w:sz="0" w:space="0" w:color="auto"/>
        <w:right w:val="none" w:sz="0" w:space="0" w:color="auto"/>
      </w:divBdr>
    </w:div>
    <w:div w:id="1615559323">
      <w:bodyDiv w:val="1"/>
      <w:marLeft w:val="0"/>
      <w:marRight w:val="0"/>
      <w:marTop w:val="0"/>
      <w:marBottom w:val="0"/>
      <w:divBdr>
        <w:top w:val="none" w:sz="0" w:space="0" w:color="auto"/>
        <w:left w:val="none" w:sz="0" w:space="0" w:color="auto"/>
        <w:bottom w:val="none" w:sz="0" w:space="0" w:color="auto"/>
        <w:right w:val="none" w:sz="0" w:space="0" w:color="auto"/>
      </w:divBdr>
    </w:div>
    <w:div w:id="1615672190">
      <w:bodyDiv w:val="1"/>
      <w:marLeft w:val="0"/>
      <w:marRight w:val="0"/>
      <w:marTop w:val="0"/>
      <w:marBottom w:val="0"/>
      <w:divBdr>
        <w:top w:val="none" w:sz="0" w:space="0" w:color="auto"/>
        <w:left w:val="none" w:sz="0" w:space="0" w:color="auto"/>
        <w:bottom w:val="none" w:sz="0" w:space="0" w:color="auto"/>
        <w:right w:val="none" w:sz="0" w:space="0" w:color="auto"/>
      </w:divBdr>
    </w:div>
    <w:div w:id="1618952067">
      <w:bodyDiv w:val="1"/>
      <w:marLeft w:val="0"/>
      <w:marRight w:val="0"/>
      <w:marTop w:val="0"/>
      <w:marBottom w:val="0"/>
      <w:divBdr>
        <w:top w:val="none" w:sz="0" w:space="0" w:color="auto"/>
        <w:left w:val="none" w:sz="0" w:space="0" w:color="auto"/>
        <w:bottom w:val="none" w:sz="0" w:space="0" w:color="auto"/>
        <w:right w:val="none" w:sz="0" w:space="0" w:color="auto"/>
      </w:divBdr>
    </w:div>
    <w:div w:id="1620841064">
      <w:bodyDiv w:val="1"/>
      <w:marLeft w:val="0"/>
      <w:marRight w:val="0"/>
      <w:marTop w:val="0"/>
      <w:marBottom w:val="0"/>
      <w:divBdr>
        <w:top w:val="none" w:sz="0" w:space="0" w:color="auto"/>
        <w:left w:val="none" w:sz="0" w:space="0" w:color="auto"/>
        <w:bottom w:val="none" w:sz="0" w:space="0" w:color="auto"/>
        <w:right w:val="none" w:sz="0" w:space="0" w:color="auto"/>
      </w:divBdr>
    </w:div>
    <w:div w:id="1621454534">
      <w:bodyDiv w:val="1"/>
      <w:marLeft w:val="0"/>
      <w:marRight w:val="0"/>
      <w:marTop w:val="0"/>
      <w:marBottom w:val="0"/>
      <w:divBdr>
        <w:top w:val="none" w:sz="0" w:space="0" w:color="auto"/>
        <w:left w:val="none" w:sz="0" w:space="0" w:color="auto"/>
        <w:bottom w:val="none" w:sz="0" w:space="0" w:color="auto"/>
        <w:right w:val="none" w:sz="0" w:space="0" w:color="auto"/>
      </w:divBdr>
    </w:div>
    <w:div w:id="1623924400">
      <w:bodyDiv w:val="1"/>
      <w:marLeft w:val="0"/>
      <w:marRight w:val="0"/>
      <w:marTop w:val="0"/>
      <w:marBottom w:val="0"/>
      <w:divBdr>
        <w:top w:val="none" w:sz="0" w:space="0" w:color="auto"/>
        <w:left w:val="none" w:sz="0" w:space="0" w:color="auto"/>
        <w:bottom w:val="none" w:sz="0" w:space="0" w:color="auto"/>
        <w:right w:val="none" w:sz="0" w:space="0" w:color="auto"/>
      </w:divBdr>
    </w:div>
    <w:div w:id="1627081754">
      <w:bodyDiv w:val="1"/>
      <w:marLeft w:val="0"/>
      <w:marRight w:val="0"/>
      <w:marTop w:val="0"/>
      <w:marBottom w:val="0"/>
      <w:divBdr>
        <w:top w:val="none" w:sz="0" w:space="0" w:color="auto"/>
        <w:left w:val="none" w:sz="0" w:space="0" w:color="auto"/>
        <w:bottom w:val="none" w:sz="0" w:space="0" w:color="auto"/>
        <w:right w:val="none" w:sz="0" w:space="0" w:color="auto"/>
      </w:divBdr>
      <w:divsChild>
        <w:div w:id="2147315275">
          <w:marLeft w:val="0"/>
          <w:marRight w:val="0"/>
          <w:marTop w:val="0"/>
          <w:marBottom w:val="0"/>
          <w:divBdr>
            <w:top w:val="none" w:sz="0" w:space="0" w:color="auto"/>
            <w:left w:val="none" w:sz="0" w:space="0" w:color="auto"/>
            <w:bottom w:val="none" w:sz="0" w:space="0" w:color="auto"/>
            <w:right w:val="none" w:sz="0" w:space="0" w:color="auto"/>
          </w:divBdr>
          <w:divsChild>
            <w:div w:id="1929850393">
              <w:marLeft w:val="0"/>
              <w:marRight w:val="0"/>
              <w:marTop w:val="0"/>
              <w:marBottom w:val="0"/>
              <w:divBdr>
                <w:top w:val="none" w:sz="0" w:space="0" w:color="auto"/>
                <w:left w:val="none" w:sz="0" w:space="0" w:color="auto"/>
                <w:bottom w:val="none" w:sz="0" w:space="0" w:color="auto"/>
                <w:right w:val="none" w:sz="0" w:space="0" w:color="auto"/>
              </w:divBdr>
              <w:divsChild>
                <w:div w:id="1476490565">
                  <w:marLeft w:val="0"/>
                  <w:marRight w:val="0"/>
                  <w:marTop w:val="0"/>
                  <w:marBottom w:val="0"/>
                  <w:divBdr>
                    <w:top w:val="none" w:sz="0" w:space="0" w:color="auto"/>
                    <w:left w:val="none" w:sz="0" w:space="0" w:color="auto"/>
                    <w:bottom w:val="none" w:sz="0" w:space="0" w:color="auto"/>
                    <w:right w:val="none" w:sz="0" w:space="0" w:color="auto"/>
                  </w:divBdr>
                  <w:divsChild>
                    <w:div w:id="370541337">
                      <w:marLeft w:val="0"/>
                      <w:marRight w:val="0"/>
                      <w:marTop w:val="0"/>
                      <w:marBottom w:val="0"/>
                      <w:divBdr>
                        <w:top w:val="none" w:sz="0" w:space="0" w:color="auto"/>
                        <w:left w:val="none" w:sz="0" w:space="0" w:color="auto"/>
                        <w:bottom w:val="none" w:sz="0" w:space="0" w:color="auto"/>
                        <w:right w:val="none" w:sz="0" w:space="0" w:color="auto"/>
                      </w:divBdr>
                      <w:divsChild>
                        <w:div w:id="1098066447">
                          <w:marLeft w:val="0"/>
                          <w:marRight w:val="0"/>
                          <w:marTop w:val="0"/>
                          <w:marBottom w:val="0"/>
                          <w:divBdr>
                            <w:top w:val="none" w:sz="0" w:space="0" w:color="auto"/>
                            <w:left w:val="none" w:sz="0" w:space="0" w:color="auto"/>
                            <w:bottom w:val="none" w:sz="0" w:space="0" w:color="auto"/>
                            <w:right w:val="none" w:sz="0" w:space="0" w:color="auto"/>
                          </w:divBdr>
                          <w:divsChild>
                            <w:div w:id="850994717">
                              <w:marLeft w:val="0"/>
                              <w:marRight w:val="0"/>
                              <w:marTop w:val="0"/>
                              <w:marBottom w:val="0"/>
                              <w:divBdr>
                                <w:top w:val="none" w:sz="0" w:space="0" w:color="auto"/>
                                <w:left w:val="none" w:sz="0" w:space="0" w:color="auto"/>
                                <w:bottom w:val="none" w:sz="0" w:space="0" w:color="auto"/>
                                <w:right w:val="none" w:sz="0" w:space="0" w:color="auto"/>
                              </w:divBdr>
                              <w:divsChild>
                                <w:div w:id="109820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75687">
      <w:bodyDiv w:val="1"/>
      <w:marLeft w:val="0"/>
      <w:marRight w:val="0"/>
      <w:marTop w:val="0"/>
      <w:marBottom w:val="0"/>
      <w:divBdr>
        <w:top w:val="none" w:sz="0" w:space="0" w:color="auto"/>
        <w:left w:val="none" w:sz="0" w:space="0" w:color="auto"/>
        <w:bottom w:val="none" w:sz="0" w:space="0" w:color="auto"/>
        <w:right w:val="none" w:sz="0" w:space="0" w:color="auto"/>
      </w:divBdr>
    </w:div>
    <w:div w:id="1628394118">
      <w:bodyDiv w:val="1"/>
      <w:marLeft w:val="0"/>
      <w:marRight w:val="0"/>
      <w:marTop w:val="0"/>
      <w:marBottom w:val="0"/>
      <w:divBdr>
        <w:top w:val="none" w:sz="0" w:space="0" w:color="auto"/>
        <w:left w:val="none" w:sz="0" w:space="0" w:color="auto"/>
        <w:bottom w:val="none" w:sz="0" w:space="0" w:color="auto"/>
        <w:right w:val="none" w:sz="0" w:space="0" w:color="auto"/>
      </w:divBdr>
    </w:div>
    <w:div w:id="1632394090">
      <w:bodyDiv w:val="1"/>
      <w:marLeft w:val="0"/>
      <w:marRight w:val="0"/>
      <w:marTop w:val="0"/>
      <w:marBottom w:val="0"/>
      <w:divBdr>
        <w:top w:val="none" w:sz="0" w:space="0" w:color="auto"/>
        <w:left w:val="none" w:sz="0" w:space="0" w:color="auto"/>
        <w:bottom w:val="none" w:sz="0" w:space="0" w:color="auto"/>
        <w:right w:val="none" w:sz="0" w:space="0" w:color="auto"/>
      </w:divBdr>
    </w:div>
    <w:div w:id="1634092634">
      <w:bodyDiv w:val="1"/>
      <w:marLeft w:val="0"/>
      <w:marRight w:val="0"/>
      <w:marTop w:val="0"/>
      <w:marBottom w:val="0"/>
      <w:divBdr>
        <w:top w:val="none" w:sz="0" w:space="0" w:color="auto"/>
        <w:left w:val="none" w:sz="0" w:space="0" w:color="auto"/>
        <w:bottom w:val="none" w:sz="0" w:space="0" w:color="auto"/>
        <w:right w:val="none" w:sz="0" w:space="0" w:color="auto"/>
      </w:divBdr>
    </w:div>
    <w:div w:id="1641036043">
      <w:bodyDiv w:val="1"/>
      <w:marLeft w:val="0"/>
      <w:marRight w:val="0"/>
      <w:marTop w:val="0"/>
      <w:marBottom w:val="0"/>
      <w:divBdr>
        <w:top w:val="none" w:sz="0" w:space="0" w:color="auto"/>
        <w:left w:val="none" w:sz="0" w:space="0" w:color="auto"/>
        <w:bottom w:val="none" w:sz="0" w:space="0" w:color="auto"/>
        <w:right w:val="none" w:sz="0" w:space="0" w:color="auto"/>
      </w:divBdr>
    </w:div>
    <w:div w:id="1647591278">
      <w:bodyDiv w:val="1"/>
      <w:marLeft w:val="0"/>
      <w:marRight w:val="0"/>
      <w:marTop w:val="0"/>
      <w:marBottom w:val="0"/>
      <w:divBdr>
        <w:top w:val="none" w:sz="0" w:space="0" w:color="auto"/>
        <w:left w:val="none" w:sz="0" w:space="0" w:color="auto"/>
        <w:bottom w:val="none" w:sz="0" w:space="0" w:color="auto"/>
        <w:right w:val="none" w:sz="0" w:space="0" w:color="auto"/>
      </w:divBdr>
    </w:div>
    <w:div w:id="1654992788">
      <w:bodyDiv w:val="1"/>
      <w:marLeft w:val="0"/>
      <w:marRight w:val="0"/>
      <w:marTop w:val="0"/>
      <w:marBottom w:val="0"/>
      <w:divBdr>
        <w:top w:val="none" w:sz="0" w:space="0" w:color="auto"/>
        <w:left w:val="none" w:sz="0" w:space="0" w:color="auto"/>
        <w:bottom w:val="none" w:sz="0" w:space="0" w:color="auto"/>
        <w:right w:val="none" w:sz="0" w:space="0" w:color="auto"/>
      </w:divBdr>
    </w:div>
    <w:div w:id="1656296936">
      <w:bodyDiv w:val="1"/>
      <w:marLeft w:val="0"/>
      <w:marRight w:val="0"/>
      <w:marTop w:val="0"/>
      <w:marBottom w:val="0"/>
      <w:divBdr>
        <w:top w:val="none" w:sz="0" w:space="0" w:color="auto"/>
        <w:left w:val="none" w:sz="0" w:space="0" w:color="auto"/>
        <w:bottom w:val="none" w:sz="0" w:space="0" w:color="auto"/>
        <w:right w:val="none" w:sz="0" w:space="0" w:color="auto"/>
      </w:divBdr>
    </w:div>
    <w:div w:id="1660183930">
      <w:bodyDiv w:val="1"/>
      <w:marLeft w:val="0"/>
      <w:marRight w:val="0"/>
      <w:marTop w:val="0"/>
      <w:marBottom w:val="0"/>
      <w:divBdr>
        <w:top w:val="none" w:sz="0" w:space="0" w:color="auto"/>
        <w:left w:val="none" w:sz="0" w:space="0" w:color="auto"/>
        <w:bottom w:val="none" w:sz="0" w:space="0" w:color="auto"/>
        <w:right w:val="none" w:sz="0" w:space="0" w:color="auto"/>
      </w:divBdr>
    </w:div>
    <w:div w:id="1665819320">
      <w:bodyDiv w:val="1"/>
      <w:marLeft w:val="0"/>
      <w:marRight w:val="0"/>
      <w:marTop w:val="0"/>
      <w:marBottom w:val="0"/>
      <w:divBdr>
        <w:top w:val="none" w:sz="0" w:space="0" w:color="auto"/>
        <w:left w:val="none" w:sz="0" w:space="0" w:color="auto"/>
        <w:bottom w:val="none" w:sz="0" w:space="0" w:color="auto"/>
        <w:right w:val="none" w:sz="0" w:space="0" w:color="auto"/>
      </w:divBdr>
    </w:div>
    <w:div w:id="1671255346">
      <w:bodyDiv w:val="1"/>
      <w:marLeft w:val="0"/>
      <w:marRight w:val="0"/>
      <w:marTop w:val="0"/>
      <w:marBottom w:val="0"/>
      <w:divBdr>
        <w:top w:val="none" w:sz="0" w:space="0" w:color="auto"/>
        <w:left w:val="none" w:sz="0" w:space="0" w:color="auto"/>
        <w:bottom w:val="none" w:sz="0" w:space="0" w:color="auto"/>
        <w:right w:val="none" w:sz="0" w:space="0" w:color="auto"/>
      </w:divBdr>
    </w:div>
    <w:div w:id="1676300201">
      <w:bodyDiv w:val="1"/>
      <w:marLeft w:val="0"/>
      <w:marRight w:val="0"/>
      <w:marTop w:val="0"/>
      <w:marBottom w:val="0"/>
      <w:divBdr>
        <w:top w:val="none" w:sz="0" w:space="0" w:color="auto"/>
        <w:left w:val="none" w:sz="0" w:space="0" w:color="auto"/>
        <w:bottom w:val="none" w:sz="0" w:space="0" w:color="auto"/>
        <w:right w:val="none" w:sz="0" w:space="0" w:color="auto"/>
      </w:divBdr>
    </w:div>
    <w:div w:id="1681156430">
      <w:bodyDiv w:val="1"/>
      <w:marLeft w:val="0"/>
      <w:marRight w:val="0"/>
      <w:marTop w:val="0"/>
      <w:marBottom w:val="0"/>
      <w:divBdr>
        <w:top w:val="none" w:sz="0" w:space="0" w:color="auto"/>
        <w:left w:val="none" w:sz="0" w:space="0" w:color="auto"/>
        <w:bottom w:val="none" w:sz="0" w:space="0" w:color="auto"/>
        <w:right w:val="none" w:sz="0" w:space="0" w:color="auto"/>
      </w:divBdr>
    </w:div>
    <w:div w:id="1681812356">
      <w:bodyDiv w:val="1"/>
      <w:marLeft w:val="0"/>
      <w:marRight w:val="0"/>
      <w:marTop w:val="0"/>
      <w:marBottom w:val="0"/>
      <w:divBdr>
        <w:top w:val="none" w:sz="0" w:space="0" w:color="auto"/>
        <w:left w:val="none" w:sz="0" w:space="0" w:color="auto"/>
        <w:bottom w:val="none" w:sz="0" w:space="0" w:color="auto"/>
        <w:right w:val="none" w:sz="0" w:space="0" w:color="auto"/>
      </w:divBdr>
      <w:divsChild>
        <w:div w:id="837421723">
          <w:marLeft w:val="0"/>
          <w:marRight w:val="0"/>
          <w:marTop w:val="0"/>
          <w:marBottom w:val="0"/>
          <w:divBdr>
            <w:top w:val="none" w:sz="0" w:space="0" w:color="auto"/>
            <w:left w:val="none" w:sz="0" w:space="0" w:color="auto"/>
            <w:bottom w:val="none" w:sz="0" w:space="0" w:color="auto"/>
            <w:right w:val="none" w:sz="0" w:space="0" w:color="auto"/>
          </w:divBdr>
          <w:divsChild>
            <w:div w:id="340619039">
              <w:marLeft w:val="0"/>
              <w:marRight w:val="0"/>
              <w:marTop w:val="0"/>
              <w:marBottom w:val="0"/>
              <w:divBdr>
                <w:top w:val="none" w:sz="0" w:space="0" w:color="auto"/>
                <w:left w:val="none" w:sz="0" w:space="0" w:color="auto"/>
                <w:bottom w:val="none" w:sz="0" w:space="0" w:color="auto"/>
                <w:right w:val="none" w:sz="0" w:space="0" w:color="auto"/>
              </w:divBdr>
              <w:divsChild>
                <w:div w:id="746684062">
                  <w:marLeft w:val="0"/>
                  <w:marRight w:val="0"/>
                  <w:marTop w:val="0"/>
                  <w:marBottom w:val="0"/>
                  <w:divBdr>
                    <w:top w:val="none" w:sz="0" w:space="0" w:color="auto"/>
                    <w:left w:val="none" w:sz="0" w:space="0" w:color="auto"/>
                    <w:bottom w:val="none" w:sz="0" w:space="0" w:color="auto"/>
                    <w:right w:val="none" w:sz="0" w:space="0" w:color="auto"/>
                  </w:divBdr>
                  <w:divsChild>
                    <w:div w:id="536283231">
                      <w:marLeft w:val="0"/>
                      <w:marRight w:val="0"/>
                      <w:marTop w:val="0"/>
                      <w:marBottom w:val="0"/>
                      <w:divBdr>
                        <w:top w:val="none" w:sz="0" w:space="0" w:color="auto"/>
                        <w:left w:val="none" w:sz="0" w:space="0" w:color="auto"/>
                        <w:bottom w:val="none" w:sz="0" w:space="0" w:color="auto"/>
                        <w:right w:val="none" w:sz="0" w:space="0" w:color="auto"/>
                      </w:divBdr>
                      <w:divsChild>
                        <w:div w:id="763576015">
                          <w:marLeft w:val="0"/>
                          <w:marRight w:val="0"/>
                          <w:marTop w:val="0"/>
                          <w:marBottom w:val="0"/>
                          <w:divBdr>
                            <w:top w:val="none" w:sz="0" w:space="0" w:color="auto"/>
                            <w:left w:val="none" w:sz="0" w:space="0" w:color="auto"/>
                            <w:bottom w:val="none" w:sz="0" w:space="0" w:color="auto"/>
                            <w:right w:val="none" w:sz="0" w:space="0" w:color="auto"/>
                          </w:divBdr>
                          <w:divsChild>
                            <w:div w:id="15154555">
                              <w:marLeft w:val="0"/>
                              <w:marRight w:val="0"/>
                              <w:marTop w:val="0"/>
                              <w:marBottom w:val="0"/>
                              <w:divBdr>
                                <w:top w:val="none" w:sz="0" w:space="0" w:color="auto"/>
                                <w:left w:val="none" w:sz="0" w:space="0" w:color="auto"/>
                                <w:bottom w:val="none" w:sz="0" w:space="0" w:color="auto"/>
                                <w:right w:val="none" w:sz="0" w:space="0" w:color="auto"/>
                              </w:divBdr>
                              <w:divsChild>
                                <w:div w:id="6362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04018">
      <w:bodyDiv w:val="1"/>
      <w:marLeft w:val="0"/>
      <w:marRight w:val="0"/>
      <w:marTop w:val="0"/>
      <w:marBottom w:val="0"/>
      <w:divBdr>
        <w:top w:val="none" w:sz="0" w:space="0" w:color="auto"/>
        <w:left w:val="none" w:sz="0" w:space="0" w:color="auto"/>
        <w:bottom w:val="none" w:sz="0" w:space="0" w:color="auto"/>
        <w:right w:val="none" w:sz="0" w:space="0" w:color="auto"/>
      </w:divBdr>
    </w:div>
    <w:div w:id="1688562025">
      <w:bodyDiv w:val="1"/>
      <w:marLeft w:val="0"/>
      <w:marRight w:val="0"/>
      <w:marTop w:val="0"/>
      <w:marBottom w:val="0"/>
      <w:divBdr>
        <w:top w:val="none" w:sz="0" w:space="0" w:color="auto"/>
        <w:left w:val="none" w:sz="0" w:space="0" w:color="auto"/>
        <w:bottom w:val="none" w:sz="0" w:space="0" w:color="auto"/>
        <w:right w:val="none" w:sz="0" w:space="0" w:color="auto"/>
      </w:divBdr>
    </w:div>
    <w:div w:id="1689794196">
      <w:bodyDiv w:val="1"/>
      <w:marLeft w:val="0"/>
      <w:marRight w:val="0"/>
      <w:marTop w:val="0"/>
      <w:marBottom w:val="0"/>
      <w:divBdr>
        <w:top w:val="none" w:sz="0" w:space="0" w:color="auto"/>
        <w:left w:val="none" w:sz="0" w:space="0" w:color="auto"/>
        <w:bottom w:val="none" w:sz="0" w:space="0" w:color="auto"/>
        <w:right w:val="none" w:sz="0" w:space="0" w:color="auto"/>
      </w:divBdr>
    </w:div>
    <w:div w:id="1690135428">
      <w:bodyDiv w:val="1"/>
      <w:marLeft w:val="0"/>
      <w:marRight w:val="0"/>
      <w:marTop w:val="0"/>
      <w:marBottom w:val="0"/>
      <w:divBdr>
        <w:top w:val="none" w:sz="0" w:space="0" w:color="auto"/>
        <w:left w:val="none" w:sz="0" w:space="0" w:color="auto"/>
        <w:bottom w:val="none" w:sz="0" w:space="0" w:color="auto"/>
        <w:right w:val="none" w:sz="0" w:space="0" w:color="auto"/>
      </w:divBdr>
    </w:div>
    <w:div w:id="1698890387">
      <w:bodyDiv w:val="1"/>
      <w:marLeft w:val="0"/>
      <w:marRight w:val="0"/>
      <w:marTop w:val="0"/>
      <w:marBottom w:val="0"/>
      <w:divBdr>
        <w:top w:val="none" w:sz="0" w:space="0" w:color="auto"/>
        <w:left w:val="none" w:sz="0" w:space="0" w:color="auto"/>
        <w:bottom w:val="none" w:sz="0" w:space="0" w:color="auto"/>
        <w:right w:val="none" w:sz="0" w:space="0" w:color="auto"/>
      </w:divBdr>
    </w:div>
    <w:div w:id="1700469502">
      <w:bodyDiv w:val="1"/>
      <w:marLeft w:val="0"/>
      <w:marRight w:val="0"/>
      <w:marTop w:val="0"/>
      <w:marBottom w:val="0"/>
      <w:divBdr>
        <w:top w:val="none" w:sz="0" w:space="0" w:color="auto"/>
        <w:left w:val="none" w:sz="0" w:space="0" w:color="auto"/>
        <w:bottom w:val="none" w:sz="0" w:space="0" w:color="auto"/>
        <w:right w:val="none" w:sz="0" w:space="0" w:color="auto"/>
      </w:divBdr>
    </w:div>
    <w:div w:id="1708413731">
      <w:bodyDiv w:val="1"/>
      <w:marLeft w:val="0"/>
      <w:marRight w:val="0"/>
      <w:marTop w:val="0"/>
      <w:marBottom w:val="0"/>
      <w:divBdr>
        <w:top w:val="none" w:sz="0" w:space="0" w:color="auto"/>
        <w:left w:val="none" w:sz="0" w:space="0" w:color="auto"/>
        <w:bottom w:val="none" w:sz="0" w:space="0" w:color="auto"/>
        <w:right w:val="none" w:sz="0" w:space="0" w:color="auto"/>
      </w:divBdr>
    </w:div>
    <w:div w:id="1712536424">
      <w:bodyDiv w:val="1"/>
      <w:marLeft w:val="0"/>
      <w:marRight w:val="0"/>
      <w:marTop w:val="0"/>
      <w:marBottom w:val="0"/>
      <w:divBdr>
        <w:top w:val="none" w:sz="0" w:space="0" w:color="auto"/>
        <w:left w:val="none" w:sz="0" w:space="0" w:color="auto"/>
        <w:bottom w:val="none" w:sz="0" w:space="0" w:color="auto"/>
        <w:right w:val="none" w:sz="0" w:space="0" w:color="auto"/>
      </w:divBdr>
    </w:div>
    <w:div w:id="1713995292">
      <w:bodyDiv w:val="1"/>
      <w:marLeft w:val="0"/>
      <w:marRight w:val="0"/>
      <w:marTop w:val="0"/>
      <w:marBottom w:val="0"/>
      <w:divBdr>
        <w:top w:val="none" w:sz="0" w:space="0" w:color="auto"/>
        <w:left w:val="none" w:sz="0" w:space="0" w:color="auto"/>
        <w:bottom w:val="none" w:sz="0" w:space="0" w:color="auto"/>
        <w:right w:val="none" w:sz="0" w:space="0" w:color="auto"/>
      </w:divBdr>
      <w:divsChild>
        <w:div w:id="2602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303566">
      <w:bodyDiv w:val="1"/>
      <w:marLeft w:val="0"/>
      <w:marRight w:val="0"/>
      <w:marTop w:val="0"/>
      <w:marBottom w:val="0"/>
      <w:divBdr>
        <w:top w:val="none" w:sz="0" w:space="0" w:color="auto"/>
        <w:left w:val="none" w:sz="0" w:space="0" w:color="auto"/>
        <w:bottom w:val="none" w:sz="0" w:space="0" w:color="auto"/>
        <w:right w:val="none" w:sz="0" w:space="0" w:color="auto"/>
      </w:divBdr>
    </w:div>
    <w:div w:id="1714502378">
      <w:bodyDiv w:val="1"/>
      <w:marLeft w:val="0"/>
      <w:marRight w:val="0"/>
      <w:marTop w:val="0"/>
      <w:marBottom w:val="0"/>
      <w:divBdr>
        <w:top w:val="none" w:sz="0" w:space="0" w:color="auto"/>
        <w:left w:val="none" w:sz="0" w:space="0" w:color="auto"/>
        <w:bottom w:val="none" w:sz="0" w:space="0" w:color="auto"/>
        <w:right w:val="none" w:sz="0" w:space="0" w:color="auto"/>
      </w:divBdr>
    </w:div>
    <w:div w:id="1719622335">
      <w:bodyDiv w:val="1"/>
      <w:marLeft w:val="0"/>
      <w:marRight w:val="0"/>
      <w:marTop w:val="0"/>
      <w:marBottom w:val="0"/>
      <w:divBdr>
        <w:top w:val="none" w:sz="0" w:space="0" w:color="auto"/>
        <w:left w:val="none" w:sz="0" w:space="0" w:color="auto"/>
        <w:bottom w:val="none" w:sz="0" w:space="0" w:color="auto"/>
        <w:right w:val="none" w:sz="0" w:space="0" w:color="auto"/>
      </w:divBdr>
    </w:div>
    <w:div w:id="1719669736">
      <w:bodyDiv w:val="1"/>
      <w:marLeft w:val="0"/>
      <w:marRight w:val="0"/>
      <w:marTop w:val="0"/>
      <w:marBottom w:val="0"/>
      <w:divBdr>
        <w:top w:val="none" w:sz="0" w:space="0" w:color="auto"/>
        <w:left w:val="none" w:sz="0" w:space="0" w:color="auto"/>
        <w:bottom w:val="none" w:sz="0" w:space="0" w:color="auto"/>
        <w:right w:val="none" w:sz="0" w:space="0" w:color="auto"/>
      </w:divBdr>
    </w:div>
    <w:div w:id="1727072048">
      <w:bodyDiv w:val="1"/>
      <w:marLeft w:val="0"/>
      <w:marRight w:val="0"/>
      <w:marTop w:val="0"/>
      <w:marBottom w:val="0"/>
      <w:divBdr>
        <w:top w:val="none" w:sz="0" w:space="0" w:color="auto"/>
        <w:left w:val="none" w:sz="0" w:space="0" w:color="auto"/>
        <w:bottom w:val="none" w:sz="0" w:space="0" w:color="auto"/>
        <w:right w:val="none" w:sz="0" w:space="0" w:color="auto"/>
      </w:divBdr>
    </w:div>
    <w:div w:id="1732190683">
      <w:bodyDiv w:val="1"/>
      <w:marLeft w:val="0"/>
      <w:marRight w:val="0"/>
      <w:marTop w:val="0"/>
      <w:marBottom w:val="0"/>
      <w:divBdr>
        <w:top w:val="none" w:sz="0" w:space="0" w:color="auto"/>
        <w:left w:val="none" w:sz="0" w:space="0" w:color="auto"/>
        <w:bottom w:val="none" w:sz="0" w:space="0" w:color="auto"/>
        <w:right w:val="none" w:sz="0" w:space="0" w:color="auto"/>
      </w:divBdr>
    </w:div>
    <w:div w:id="1735155653">
      <w:bodyDiv w:val="1"/>
      <w:marLeft w:val="0"/>
      <w:marRight w:val="0"/>
      <w:marTop w:val="0"/>
      <w:marBottom w:val="0"/>
      <w:divBdr>
        <w:top w:val="none" w:sz="0" w:space="0" w:color="auto"/>
        <w:left w:val="none" w:sz="0" w:space="0" w:color="auto"/>
        <w:bottom w:val="none" w:sz="0" w:space="0" w:color="auto"/>
        <w:right w:val="none" w:sz="0" w:space="0" w:color="auto"/>
      </w:divBdr>
    </w:div>
    <w:div w:id="1738746712">
      <w:bodyDiv w:val="1"/>
      <w:marLeft w:val="0"/>
      <w:marRight w:val="0"/>
      <w:marTop w:val="0"/>
      <w:marBottom w:val="0"/>
      <w:divBdr>
        <w:top w:val="none" w:sz="0" w:space="0" w:color="auto"/>
        <w:left w:val="none" w:sz="0" w:space="0" w:color="auto"/>
        <w:bottom w:val="none" w:sz="0" w:space="0" w:color="auto"/>
        <w:right w:val="none" w:sz="0" w:space="0" w:color="auto"/>
      </w:divBdr>
    </w:div>
    <w:div w:id="1743330675">
      <w:bodyDiv w:val="1"/>
      <w:marLeft w:val="0"/>
      <w:marRight w:val="0"/>
      <w:marTop w:val="0"/>
      <w:marBottom w:val="0"/>
      <w:divBdr>
        <w:top w:val="none" w:sz="0" w:space="0" w:color="auto"/>
        <w:left w:val="none" w:sz="0" w:space="0" w:color="auto"/>
        <w:bottom w:val="none" w:sz="0" w:space="0" w:color="auto"/>
        <w:right w:val="none" w:sz="0" w:space="0" w:color="auto"/>
      </w:divBdr>
      <w:divsChild>
        <w:div w:id="39454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340463">
      <w:bodyDiv w:val="1"/>
      <w:marLeft w:val="0"/>
      <w:marRight w:val="0"/>
      <w:marTop w:val="0"/>
      <w:marBottom w:val="0"/>
      <w:divBdr>
        <w:top w:val="none" w:sz="0" w:space="0" w:color="auto"/>
        <w:left w:val="none" w:sz="0" w:space="0" w:color="auto"/>
        <w:bottom w:val="none" w:sz="0" w:space="0" w:color="auto"/>
        <w:right w:val="none" w:sz="0" w:space="0" w:color="auto"/>
      </w:divBdr>
    </w:div>
    <w:div w:id="1749693884">
      <w:bodyDiv w:val="1"/>
      <w:marLeft w:val="0"/>
      <w:marRight w:val="0"/>
      <w:marTop w:val="0"/>
      <w:marBottom w:val="0"/>
      <w:divBdr>
        <w:top w:val="none" w:sz="0" w:space="0" w:color="auto"/>
        <w:left w:val="none" w:sz="0" w:space="0" w:color="auto"/>
        <w:bottom w:val="none" w:sz="0" w:space="0" w:color="auto"/>
        <w:right w:val="none" w:sz="0" w:space="0" w:color="auto"/>
      </w:divBdr>
    </w:div>
    <w:div w:id="1754158683">
      <w:bodyDiv w:val="1"/>
      <w:marLeft w:val="0"/>
      <w:marRight w:val="0"/>
      <w:marTop w:val="0"/>
      <w:marBottom w:val="0"/>
      <w:divBdr>
        <w:top w:val="none" w:sz="0" w:space="0" w:color="auto"/>
        <w:left w:val="none" w:sz="0" w:space="0" w:color="auto"/>
        <w:bottom w:val="none" w:sz="0" w:space="0" w:color="auto"/>
        <w:right w:val="none" w:sz="0" w:space="0" w:color="auto"/>
      </w:divBdr>
    </w:div>
    <w:div w:id="1761485571">
      <w:bodyDiv w:val="1"/>
      <w:marLeft w:val="0"/>
      <w:marRight w:val="0"/>
      <w:marTop w:val="0"/>
      <w:marBottom w:val="0"/>
      <w:divBdr>
        <w:top w:val="none" w:sz="0" w:space="0" w:color="auto"/>
        <w:left w:val="none" w:sz="0" w:space="0" w:color="auto"/>
        <w:bottom w:val="none" w:sz="0" w:space="0" w:color="auto"/>
        <w:right w:val="none" w:sz="0" w:space="0" w:color="auto"/>
      </w:divBdr>
    </w:div>
    <w:div w:id="1766075135">
      <w:bodyDiv w:val="1"/>
      <w:marLeft w:val="0"/>
      <w:marRight w:val="0"/>
      <w:marTop w:val="0"/>
      <w:marBottom w:val="0"/>
      <w:divBdr>
        <w:top w:val="none" w:sz="0" w:space="0" w:color="auto"/>
        <w:left w:val="none" w:sz="0" w:space="0" w:color="auto"/>
        <w:bottom w:val="none" w:sz="0" w:space="0" w:color="auto"/>
        <w:right w:val="none" w:sz="0" w:space="0" w:color="auto"/>
      </w:divBdr>
    </w:div>
    <w:div w:id="1769931429">
      <w:bodyDiv w:val="1"/>
      <w:marLeft w:val="0"/>
      <w:marRight w:val="0"/>
      <w:marTop w:val="0"/>
      <w:marBottom w:val="0"/>
      <w:divBdr>
        <w:top w:val="none" w:sz="0" w:space="0" w:color="auto"/>
        <w:left w:val="none" w:sz="0" w:space="0" w:color="auto"/>
        <w:bottom w:val="none" w:sz="0" w:space="0" w:color="auto"/>
        <w:right w:val="none" w:sz="0" w:space="0" w:color="auto"/>
      </w:divBdr>
    </w:div>
    <w:div w:id="1773472096">
      <w:bodyDiv w:val="1"/>
      <w:marLeft w:val="0"/>
      <w:marRight w:val="0"/>
      <w:marTop w:val="0"/>
      <w:marBottom w:val="0"/>
      <w:divBdr>
        <w:top w:val="none" w:sz="0" w:space="0" w:color="auto"/>
        <w:left w:val="none" w:sz="0" w:space="0" w:color="auto"/>
        <w:bottom w:val="none" w:sz="0" w:space="0" w:color="auto"/>
        <w:right w:val="none" w:sz="0" w:space="0" w:color="auto"/>
      </w:divBdr>
    </w:div>
    <w:div w:id="1776899987">
      <w:bodyDiv w:val="1"/>
      <w:marLeft w:val="0"/>
      <w:marRight w:val="0"/>
      <w:marTop w:val="0"/>
      <w:marBottom w:val="0"/>
      <w:divBdr>
        <w:top w:val="none" w:sz="0" w:space="0" w:color="auto"/>
        <w:left w:val="none" w:sz="0" w:space="0" w:color="auto"/>
        <w:bottom w:val="none" w:sz="0" w:space="0" w:color="auto"/>
        <w:right w:val="none" w:sz="0" w:space="0" w:color="auto"/>
      </w:divBdr>
    </w:div>
    <w:div w:id="1783265552">
      <w:bodyDiv w:val="1"/>
      <w:marLeft w:val="0"/>
      <w:marRight w:val="0"/>
      <w:marTop w:val="0"/>
      <w:marBottom w:val="0"/>
      <w:divBdr>
        <w:top w:val="none" w:sz="0" w:space="0" w:color="auto"/>
        <w:left w:val="none" w:sz="0" w:space="0" w:color="auto"/>
        <w:bottom w:val="none" w:sz="0" w:space="0" w:color="auto"/>
        <w:right w:val="none" w:sz="0" w:space="0" w:color="auto"/>
      </w:divBdr>
    </w:div>
    <w:div w:id="1783762000">
      <w:bodyDiv w:val="1"/>
      <w:marLeft w:val="0"/>
      <w:marRight w:val="0"/>
      <w:marTop w:val="0"/>
      <w:marBottom w:val="0"/>
      <w:divBdr>
        <w:top w:val="none" w:sz="0" w:space="0" w:color="auto"/>
        <w:left w:val="none" w:sz="0" w:space="0" w:color="auto"/>
        <w:bottom w:val="none" w:sz="0" w:space="0" w:color="auto"/>
        <w:right w:val="none" w:sz="0" w:space="0" w:color="auto"/>
      </w:divBdr>
    </w:div>
    <w:div w:id="1783916821">
      <w:bodyDiv w:val="1"/>
      <w:marLeft w:val="0"/>
      <w:marRight w:val="0"/>
      <w:marTop w:val="0"/>
      <w:marBottom w:val="0"/>
      <w:divBdr>
        <w:top w:val="none" w:sz="0" w:space="0" w:color="auto"/>
        <w:left w:val="none" w:sz="0" w:space="0" w:color="auto"/>
        <w:bottom w:val="none" w:sz="0" w:space="0" w:color="auto"/>
        <w:right w:val="none" w:sz="0" w:space="0" w:color="auto"/>
      </w:divBdr>
      <w:divsChild>
        <w:div w:id="14229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569726">
      <w:bodyDiv w:val="1"/>
      <w:marLeft w:val="0"/>
      <w:marRight w:val="0"/>
      <w:marTop w:val="0"/>
      <w:marBottom w:val="0"/>
      <w:divBdr>
        <w:top w:val="none" w:sz="0" w:space="0" w:color="auto"/>
        <w:left w:val="none" w:sz="0" w:space="0" w:color="auto"/>
        <w:bottom w:val="none" w:sz="0" w:space="0" w:color="auto"/>
        <w:right w:val="none" w:sz="0" w:space="0" w:color="auto"/>
      </w:divBdr>
    </w:div>
    <w:div w:id="1789278661">
      <w:bodyDiv w:val="1"/>
      <w:marLeft w:val="0"/>
      <w:marRight w:val="0"/>
      <w:marTop w:val="0"/>
      <w:marBottom w:val="0"/>
      <w:divBdr>
        <w:top w:val="none" w:sz="0" w:space="0" w:color="auto"/>
        <w:left w:val="none" w:sz="0" w:space="0" w:color="auto"/>
        <w:bottom w:val="none" w:sz="0" w:space="0" w:color="auto"/>
        <w:right w:val="none" w:sz="0" w:space="0" w:color="auto"/>
      </w:divBdr>
    </w:div>
    <w:div w:id="1793404087">
      <w:bodyDiv w:val="1"/>
      <w:marLeft w:val="0"/>
      <w:marRight w:val="0"/>
      <w:marTop w:val="0"/>
      <w:marBottom w:val="0"/>
      <w:divBdr>
        <w:top w:val="none" w:sz="0" w:space="0" w:color="auto"/>
        <w:left w:val="none" w:sz="0" w:space="0" w:color="auto"/>
        <w:bottom w:val="none" w:sz="0" w:space="0" w:color="auto"/>
        <w:right w:val="none" w:sz="0" w:space="0" w:color="auto"/>
      </w:divBdr>
    </w:div>
    <w:div w:id="1798176984">
      <w:bodyDiv w:val="1"/>
      <w:marLeft w:val="0"/>
      <w:marRight w:val="0"/>
      <w:marTop w:val="0"/>
      <w:marBottom w:val="0"/>
      <w:divBdr>
        <w:top w:val="none" w:sz="0" w:space="0" w:color="auto"/>
        <w:left w:val="none" w:sz="0" w:space="0" w:color="auto"/>
        <w:bottom w:val="none" w:sz="0" w:space="0" w:color="auto"/>
        <w:right w:val="none" w:sz="0" w:space="0" w:color="auto"/>
      </w:divBdr>
    </w:div>
    <w:div w:id="1799446265">
      <w:bodyDiv w:val="1"/>
      <w:marLeft w:val="0"/>
      <w:marRight w:val="0"/>
      <w:marTop w:val="0"/>
      <w:marBottom w:val="0"/>
      <w:divBdr>
        <w:top w:val="none" w:sz="0" w:space="0" w:color="auto"/>
        <w:left w:val="none" w:sz="0" w:space="0" w:color="auto"/>
        <w:bottom w:val="none" w:sz="0" w:space="0" w:color="auto"/>
        <w:right w:val="none" w:sz="0" w:space="0" w:color="auto"/>
      </w:divBdr>
    </w:div>
    <w:div w:id="1802965201">
      <w:bodyDiv w:val="1"/>
      <w:marLeft w:val="0"/>
      <w:marRight w:val="0"/>
      <w:marTop w:val="0"/>
      <w:marBottom w:val="0"/>
      <w:divBdr>
        <w:top w:val="none" w:sz="0" w:space="0" w:color="auto"/>
        <w:left w:val="none" w:sz="0" w:space="0" w:color="auto"/>
        <w:bottom w:val="none" w:sz="0" w:space="0" w:color="auto"/>
        <w:right w:val="none" w:sz="0" w:space="0" w:color="auto"/>
      </w:divBdr>
    </w:div>
    <w:div w:id="1803109520">
      <w:bodyDiv w:val="1"/>
      <w:marLeft w:val="0"/>
      <w:marRight w:val="0"/>
      <w:marTop w:val="0"/>
      <w:marBottom w:val="0"/>
      <w:divBdr>
        <w:top w:val="none" w:sz="0" w:space="0" w:color="auto"/>
        <w:left w:val="none" w:sz="0" w:space="0" w:color="auto"/>
        <w:bottom w:val="none" w:sz="0" w:space="0" w:color="auto"/>
        <w:right w:val="none" w:sz="0" w:space="0" w:color="auto"/>
      </w:divBdr>
    </w:div>
    <w:div w:id="1805347765">
      <w:bodyDiv w:val="1"/>
      <w:marLeft w:val="0"/>
      <w:marRight w:val="0"/>
      <w:marTop w:val="0"/>
      <w:marBottom w:val="0"/>
      <w:divBdr>
        <w:top w:val="none" w:sz="0" w:space="0" w:color="auto"/>
        <w:left w:val="none" w:sz="0" w:space="0" w:color="auto"/>
        <w:bottom w:val="none" w:sz="0" w:space="0" w:color="auto"/>
        <w:right w:val="none" w:sz="0" w:space="0" w:color="auto"/>
      </w:divBdr>
    </w:div>
    <w:div w:id="1809543816">
      <w:bodyDiv w:val="1"/>
      <w:marLeft w:val="0"/>
      <w:marRight w:val="0"/>
      <w:marTop w:val="0"/>
      <w:marBottom w:val="0"/>
      <w:divBdr>
        <w:top w:val="none" w:sz="0" w:space="0" w:color="auto"/>
        <w:left w:val="none" w:sz="0" w:space="0" w:color="auto"/>
        <w:bottom w:val="none" w:sz="0" w:space="0" w:color="auto"/>
        <w:right w:val="none" w:sz="0" w:space="0" w:color="auto"/>
      </w:divBdr>
    </w:div>
    <w:div w:id="1809735602">
      <w:bodyDiv w:val="1"/>
      <w:marLeft w:val="0"/>
      <w:marRight w:val="0"/>
      <w:marTop w:val="0"/>
      <w:marBottom w:val="0"/>
      <w:divBdr>
        <w:top w:val="none" w:sz="0" w:space="0" w:color="auto"/>
        <w:left w:val="none" w:sz="0" w:space="0" w:color="auto"/>
        <w:bottom w:val="none" w:sz="0" w:space="0" w:color="auto"/>
        <w:right w:val="none" w:sz="0" w:space="0" w:color="auto"/>
      </w:divBdr>
    </w:div>
    <w:div w:id="1810660593">
      <w:bodyDiv w:val="1"/>
      <w:marLeft w:val="0"/>
      <w:marRight w:val="0"/>
      <w:marTop w:val="0"/>
      <w:marBottom w:val="0"/>
      <w:divBdr>
        <w:top w:val="none" w:sz="0" w:space="0" w:color="auto"/>
        <w:left w:val="none" w:sz="0" w:space="0" w:color="auto"/>
        <w:bottom w:val="none" w:sz="0" w:space="0" w:color="auto"/>
        <w:right w:val="none" w:sz="0" w:space="0" w:color="auto"/>
      </w:divBdr>
    </w:div>
    <w:div w:id="1813134140">
      <w:bodyDiv w:val="1"/>
      <w:marLeft w:val="0"/>
      <w:marRight w:val="0"/>
      <w:marTop w:val="0"/>
      <w:marBottom w:val="0"/>
      <w:divBdr>
        <w:top w:val="none" w:sz="0" w:space="0" w:color="auto"/>
        <w:left w:val="none" w:sz="0" w:space="0" w:color="auto"/>
        <w:bottom w:val="none" w:sz="0" w:space="0" w:color="auto"/>
        <w:right w:val="none" w:sz="0" w:space="0" w:color="auto"/>
      </w:divBdr>
    </w:div>
    <w:div w:id="1819028765">
      <w:bodyDiv w:val="1"/>
      <w:marLeft w:val="0"/>
      <w:marRight w:val="0"/>
      <w:marTop w:val="0"/>
      <w:marBottom w:val="0"/>
      <w:divBdr>
        <w:top w:val="none" w:sz="0" w:space="0" w:color="auto"/>
        <w:left w:val="none" w:sz="0" w:space="0" w:color="auto"/>
        <w:bottom w:val="none" w:sz="0" w:space="0" w:color="auto"/>
        <w:right w:val="none" w:sz="0" w:space="0" w:color="auto"/>
      </w:divBdr>
    </w:div>
    <w:div w:id="1821077336">
      <w:bodyDiv w:val="1"/>
      <w:marLeft w:val="0"/>
      <w:marRight w:val="0"/>
      <w:marTop w:val="0"/>
      <w:marBottom w:val="0"/>
      <w:divBdr>
        <w:top w:val="none" w:sz="0" w:space="0" w:color="auto"/>
        <w:left w:val="none" w:sz="0" w:space="0" w:color="auto"/>
        <w:bottom w:val="none" w:sz="0" w:space="0" w:color="auto"/>
        <w:right w:val="none" w:sz="0" w:space="0" w:color="auto"/>
      </w:divBdr>
    </w:div>
    <w:div w:id="1825661083">
      <w:bodyDiv w:val="1"/>
      <w:marLeft w:val="0"/>
      <w:marRight w:val="0"/>
      <w:marTop w:val="0"/>
      <w:marBottom w:val="0"/>
      <w:divBdr>
        <w:top w:val="none" w:sz="0" w:space="0" w:color="auto"/>
        <w:left w:val="none" w:sz="0" w:space="0" w:color="auto"/>
        <w:bottom w:val="none" w:sz="0" w:space="0" w:color="auto"/>
        <w:right w:val="none" w:sz="0" w:space="0" w:color="auto"/>
      </w:divBdr>
    </w:div>
    <w:div w:id="1829588222">
      <w:bodyDiv w:val="1"/>
      <w:marLeft w:val="0"/>
      <w:marRight w:val="0"/>
      <w:marTop w:val="0"/>
      <w:marBottom w:val="0"/>
      <w:divBdr>
        <w:top w:val="none" w:sz="0" w:space="0" w:color="auto"/>
        <w:left w:val="none" w:sz="0" w:space="0" w:color="auto"/>
        <w:bottom w:val="none" w:sz="0" w:space="0" w:color="auto"/>
        <w:right w:val="none" w:sz="0" w:space="0" w:color="auto"/>
      </w:divBdr>
    </w:div>
    <w:div w:id="1832872106">
      <w:bodyDiv w:val="1"/>
      <w:marLeft w:val="0"/>
      <w:marRight w:val="0"/>
      <w:marTop w:val="0"/>
      <w:marBottom w:val="0"/>
      <w:divBdr>
        <w:top w:val="none" w:sz="0" w:space="0" w:color="auto"/>
        <w:left w:val="none" w:sz="0" w:space="0" w:color="auto"/>
        <w:bottom w:val="none" w:sz="0" w:space="0" w:color="auto"/>
        <w:right w:val="none" w:sz="0" w:space="0" w:color="auto"/>
      </w:divBdr>
    </w:div>
    <w:div w:id="1836649560">
      <w:bodyDiv w:val="1"/>
      <w:marLeft w:val="0"/>
      <w:marRight w:val="0"/>
      <w:marTop w:val="0"/>
      <w:marBottom w:val="0"/>
      <w:divBdr>
        <w:top w:val="none" w:sz="0" w:space="0" w:color="auto"/>
        <w:left w:val="none" w:sz="0" w:space="0" w:color="auto"/>
        <w:bottom w:val="none" w:sz="0" w:space="0" w:color="auto"/>
        <w:right w:val="none" w:sz="0" w:space="0" w:color="auto"/>
      </w:divBdr>
    </w:div>
    <w:div w:id="1837303689">
      <w:bodyDiv w:val="1"/>
      <w:marLeft w:val="0"/>
      <w:marRight w:val="0"/>
      <w:marTop w:val="0"/>
      <w:marBottom w:val="0"/>
      <w:divBdr>
        <w:top w:val="none" w:sz="0" w:space="0" w:color="auto"/>
        <w:left w:val="none" w:sz="0" w:space="0" w:color="auto"/>
        <w:bottom w:val="none" w:sz="0" w:space="0" w:color="auto"/>
        <w:right w:val="none" w:sz="0" w:space="0" w:color="auto"/>
      </w:divBdr>
    </w:div>
    <w:div w:id="1837917967">
      <w:bodyDiv w:val="1"/>
      <w:marLeft w:val="0"/>
      <w:marRight w:val="0"/>
      <w:marTop w:val="0"/>
      <w:marBottom w:val="0"/>
      <w:divBdr>
        <w:top w:val="none" w:sz="0" w:space="0" w:color="auto"/>
        <w:left w:val="none" w:sz="0" w:space="0" w:color="auto"/>
        <w:bottom w:val="none" w:sz="0" w:space="0" w:color="auto"/>
        <w:right w:val="none" w:sz="0" w:space="0" w:color="auto"/>
      </w:divBdr>
    </w:div>
    <w:div w:id="1842231935">
      <w:bodyDiv w:val="1"/>
      <w:marLeft w:val="0"/>
      <w:marRight w:val="0"/>
      <w:marTop w:val="0"/>
      <w:marBottom w:val="0"/>
      <w:divBdr>
        <w:top w:val="none" w:sz="0" w:space="0" w:color="auto"/>
        <w:left w:val="none" w:sz="0" w:space="0" w:color="auto"/>
        <w:bottom w:val="none" w:sz="0" w:space="0" w:color="auto"/>
        <w:right w:val="none" w:sz="0" w:space="0" w:color="auto"/>
      </w:divBdr>
    </w:div>
    <w:div w:id="1843352060">
      <w:bodyDiv w:val="1"/>
      <w:marLeft w:val="0"/>
      <w:marRight w:val="0"/>
      <w:marTop w:val="0"/>
      <w:marBottom w:val="0"/>
      <w:divBdr>
        <w:top w:val="none" w:sz="0" w:space="0" w:color="auto"/>
        <w:left w:val="none" w:sz="0" w:space="0" w:color="auto"/>
        <w:bottom w:val="none" w:sz="0" w:space="0" w:color="auto"/>
        <w:right w:val="none" w:sz="0" w:space="0" w:color="auto"/>
      </w:divBdr>
    </w:div>
    <w:div w:id="1850295094">
      <w:bodyDiv w:val="1"/>
      <w:marLeft w:val="0"/>
      <w:marRight w:val="0"/>
      <w:marTop w:val="0"/>
      <w:marBottom w:val="0"/>
      <w:divBdr>
        <w:top w:val="none" w:sz="0" w:space="0" w:color="auto"/>
        <w:left w:val="none" w:sz="0" w:space="0" w:color="auto"/>
        <w:bottom w:val="none" w:sz="0" w:space="0" w:color="auto"/>
        <w:right w:val="none" w:sz="0" w:space="0" w:color="auto"/>
      </w:divBdr>
    </w:div>
    <w:div w:id="1855997669">
      <w:bodyDiv w:val="1"/>
      <w:marLeft w:val="0"/>
      <w:marRight w:val="0"/>
      <w:marTop w:val="0"/>
      <w:marBottom w:val="0"/>
      <w:divBdr>
        <w:top w:val="none" w:sz="0" w:space="0" w:color="auto"/>
        <w:left w:val="none" w:sz="0" w:space="0" w:color="auto"/>
        <w:bottom w:val="none" w:sz="0" w:space="0" w:color="auto"/>
        <w:right w:val="none" w:sz="0" w:space="0" w:color="auto"/>
      </w:divBdr>
    </w:div>
    <w:div w:id="1856649982">
      <w:bodyDiv w:val="1"/>
      <w:marLeft w:val="0"/>
      <w:marRight w:val="0"/>
      <w:marTop w:val="0"/>
      <w:marBottom w:val="0"/>
      <w:divBdr>
        <w:top w:val="none" w:sz="0" w:space="0" w:color="auto"/>
        <w:left w:val="none" w:sz="0" w:space="0" w:color="auto"/>
        <w:bottom w:val="none" w:sz="0" w:space="0" w:color="auto"/>
        <w:right w:val="none" w:sz="0" w:space="0" w:color="auto"/>
      </w:divBdr>
    </w:div>
    <w:div w:id="1858155686">
      <w:bodyDiv w:val="1"/>
      <w:marLeft w:val="0"/>
      <w:marRight w:val="0"/>
      <w:marTop w:val="0"/>
      <w:marBottom w:val="0"/>
      <w:divBdr>
        <w:top w:val="none" w:sz="0" w:space="0" w:color="auto"/>
        <w:left w:val="none" w:sz="0" w:space="0" w:color="auto"/>
        <w:bottom w:val="none" w:sz="0" w:space="0" w:color="auto"/>
        <w:right w:val="none" w:sz="0" w:space="0" w:color="auto"/>
      </w:divBdr>
    </w:div>
    <w:div w:id="1860779362">
      <w:bodyDiv w:val="1"/>
      <w:marLeft w:val="0"/>
      <w:marRight w:val="0"/>
      <w:marTop w:val="0"/>
      <w:marBottom w:val="0"/>
      <w:divBdr>
        <w:top w:val="none" w:sz="0" w:space="0" w:color="auto"/>
        <w:left w:val="none" w:sz="0" w:space="0" w:color="auto"/>
        <w:bottom w:val="none" w:sz="0" w:space="0" w:color="auto"/>
        <w:right w:val="none" w:sz="0" w:space="0" w:color="auto"/>
      </w:divBdr>
    </w:div>
    <w:div w:id="1861166024">
      <w:bodyDiv w:val="1"/>
      <w:marLeft w:val="0"/>
      <w:marRight w:val="0"/>
      <w:marTop w:val="0"/>
      <w:marBottom w:val="0"/>
      <w:divBdr>
        <w:top w:val="none" w:sz="0" w:space="0" w:color="auto"/>
        <w:left w:val="none" w:sz="0" w:space="0" w:color="auto"/>
        <w:bottom w:val="none" w:sz="0" w:space="0" w:color="auto"/>
        <w:right w:val="none" w:sz="0" w:space="0" w:color="auto"/>
      </w:divBdr>
    </w:div>
    <w:div w:id="1864980407">
      <w:bodyDiv w:val="1"/>
      <w:marLeft w:val="0"/>
      <w:marRight w:val="0"/>
      <w:marTop w:val="0"/>
      <w:marBottom w:val="0"/>
      <w:divBdr>
        <w:top w:val="none" w:sz="0" w:space="0" w:color="auto"/>
        <w:left w:val="none" w:sz="0" w:space="0" w:color="auto"/>
        <w:bottom w:val="none" w:sz="0" w:space="0" w:color="auto"/>
        <w:right w:val="none" w:sz="0" w:space="0" w:color="auto"/>
      </w:divBdr>
    </w:div>
    <w:div w:id="1866408743">
      <w:bodyDiv w:val="1"/>
      <w:marLeft w:val="0"/>
      <w:marRight w:val="0"/>
      <w:marTop w:val="0"/>
      <w:marBottom w:val="0"/>
      <w:divBdr>
        <w:top w:val="none" w:sz="0" w:space="0" w:color="auto"/>
        <w:left w:val="none" w:sz="0" w:space="0" w:color="auto"/>
        <w:bottom w:val="none" w:sz="0" w:space="0" w:color="auto"/>
        <w:right w:val="none" w:sz="0" w:space="0" w:color="auto"/>
      </w:divBdr>
    </w:div>
    <w:div w:id="1869101774">
      <w:bodyDiv w:val="1"/>
      <w:marLeft w:val="0"/>
      <w:marRight w:val="0"/>
      <w:marTop w:val="0"/>
      <w:marBottom w:val="0"/>
      <w:divBdr>
        <w:top w:val="none" w:sz="0" w:space="0" w:color="auto"/>
        <w:left w:val="none" w:sz="0" w:space="0" w:color="auto"/>
        <w:bottom w:val="none" w:sz="0" w:space="0" w:color="auto"/>
        <w:right w:val="none" w:sz="0" w:space="0" w:color="auto"/>
      </w:divBdr>
      <w:divsChild>
        <w:div w:id="1224633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877276">
      <w:bodyDiv w:val="1"/>
      <w:marLeft w:val="0"/>
      <w:marRight w:val="0"/>
      <w:marTop w:val="0"/>
      <w:marBottom w:val="0"/>
      <w:divBdr>
        <w:top w:val="none" w:sz="0" w:space="0" w:color="auto"/>
        <w:left w:val="none" w:sz="0" w:space="0" w:color="auto"/>
        <w:bottom w:val="none" w:sz="0" w:space="0" w:color="auto"/>
        <w:right w:val="none" w:sz="0" w:space="0" w:color="auto"/>
      </w:divBdr>
    </w:div>
    <w:div w:id="1872723834">
      <w:bodyDiv w:val="1"/>
      <w:marLeft w:val="0"/>
      <w:marRight w:val="0"/>
      <w:marTop w:val="0"/>
      <w:marBottom w:val="0"/>
      <w:divBdr>
        <w:top w:val="none" w:sz="0" w:space="0" w:color="auto"/>
        <w:left w:val="none" w:sz="0" w:space="0" w:color="auto"/>
        <w:bottom w:val="none" w:sz="0" w:space="0" w:color="auto"/>
        <w:right w:val="none" w:sz="0" w:space="0" w:color="auto"/>
      </w:divBdr>
    </w:div>
    <w:div w:id="1875920818">
      <w:bodyDiv w:val="1"/>
      <w:marLeft w:val="0"/>
      <w:marRight w:val="0"/>
      <w:marTop w:val="0"/>
      <w:marBottom w:val="0"/>
      <w:divBdr>
        <w:top w:val="none" w:sz="0" w:space="0" w:color="auto"/>
        <w:left w:val="none" w:sz="0" w:space="0" w:color="auto"/>
        <w:bottom w:val="none" w:sz="0" w:space="0" w:color="auto"/>
        <w:right w:val="none" w:sz="0" w:space="0" w:color="auto"/>
      </w:divBdr>
    </w:div>
    <w:div w:id="1877085984">
      <w:bodyDiv w:val="1"/>
      <w:marLeft w:val="0"/>
      <w:marRight w:val="0"/>
      <w:marTop w:val="0"/>
      <w:marBottom w:val="0"/>
      <w:divBdr>
        <w:top w:val="none" w:sz="0" w:space="0" w:color="auto"/>
        <w:left w:val="none" w:sz="0" w:space="0" w:color="auto"/>
        <w:bottom w:val="none" w:sz="0" w:space="0" w:color="auto"/>
        <w:right w:val="none" w:sz="0" w:space="0" w:color="auto"/>
      </w:divBdr>
    </w:div>
    <w:div w:id="1881891475">
      <w:bodyDiv w:val="1"/>
      <w:marLeft w:val="0"/>
      <w:marRight w:val="0"/>
      <w:marTop w:val="0"/>
      <w:marBottom w:val="0"/>
      <w:divBdr>
        <w:top w:val="none" w:sz="0" w:space="0" w:color="auto"/>
        <w:left w:val="none" w:sz="0" w:space="0" w:color="auto"/>
        <w:bottom w:val="none" w:sz="0" w:space="0" w:color="auto"/>
        <w:right w:val="none" w:sz="0" w:space="0" w:color="auto"/>
      </w:divBdr>
    </w:div>
    <w:div w:id="1883249514">
      <w:bodyDiv w:val="1"/>
      <w:marLeft w:val="0"/>
      <w:marRight w:val="0"/>
      <w:marTop w:val="0"/>
      <w:marBottom w:val="0"/>
      <w:divBdr>
        <w:top w:val="none" w:sz="0" w:space="0" w:color="auto"/>
        <w:left w:val="none" w:sz="0" w:space="0" w:color="auto"/>
        <w:bottom w:val="none" w:sz="0" w:space="0" w:color="auto"/>
        <w:right w:val="none" w:sz="0" w:space="0" w:color="auto"/>
      </w:divBdr>
    </w:div>
    <w:div w:id="1889560583">
      <w:bodyDiv w:val="1"/>
      <w:marLeft w:val="0"/>
      <w:marRight w:val="0"/>
      <w:marTop w:val="0"/>
      <w:marBottom w:val="0"/>
      <w:divBdr>
        <w:top w:val="none" w:sz="0" w:space="0" w:color="auto"/>
        <w:left w:val="none" w:sz="0" w:space="0" w:color="auto"/>
        <w:bottom w:val="none" w:sz="0" w:space="0" w:color="auto"/>
        <w:right w:val="none" w:sz="0" w:space="0" w:color="auto"/>
      </w:divBdr>
    </w:div>
    <w:div w:id="1893157064">
      <w:bodyDiv w:val="1"/>
      <w:marLeft w:val="0"/>
      <w:marRight w:val="0"/>
      <w:marTop w:val="0"/>
      <w:marBottom w:val="0"/>
      <w:divBdr>
        <w:top w:val="none" w:sz="0" w:space="0" w:color="auto"/>
        <w:left w:val="none" w:sz="0" w:space="0" w:color="auto"/>
        <w:bottom w:val="none" w:sz="0" w:space="0" w:color="auto"/>
        <w:right w:val="none" w:sz="0" w:space="0" w:color="auto"/>
      </w:divBdr>
    </w:div>
    <w:div w:id="1895236195">
      <w:bodyDiv w:val="1"/>
      <w:marLeft w:val="0"/>
      <w:marRight w:val="0"/>
      <w:marTop w:val="0"/>
      <w:marBottom w:val="0"/>
      <w:divBdr>
        <w:top w:val="none" w:sz="0" w:space="0" w:color="auto"/>
        <w:left w:val="none" w:sz="0" w:space="0" w:color="auto"/>
        <w:bottom w:val="none" w:sz="0" w:space="0" w:color="auto"/>
        <w:right w:val="none" w:sz="0" w:space="0" w:color="auto"/>
      </w:divBdr>
      <w:divsChild>
        <w:div w:id="187631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819453">
      <w:bodyDiv w:val="1"/>
      <w:marLeft w:val="0"/>
      <w:marRight w:val="0"/>
      <w:marTop w:val="0"/>
      <w:marBottom w:val="0"/>
      <w:divBdr>
        <w:top w:val="none" w:sz="0" w:space="0" w:color="auto"/>
        <w:left w:val="none" w:sz="0" w:space="0" w:color="auto"/>
        <w:bottom w:val="none" w:sz="0" w:space="0" w:color="auto"/>
        <w:right w:val="none" w:sz="0" w:space="0" w:color="auto"/>
      </w:divBdr>
    </w:div>
    <w:div w:id="1898080338">
      <w:bodyDiv w:val="1"/>
      <w:marLeft w:val="0"/>
      <w:marRight w:val="0"/>
      <w:marTop w:val="0"/>
      <w:marBottom w:val="0"/>
      <w:divBdr>
        <w:top w:val="none" w:sz="0" w:space="0" w:color="auto"/>
        <w:left w:val="none" w:sz="0" w:space="0" w:color="auto"/>
        <w:bottom w:val="none" w:sz="0" w:space="0" w:color="auto"/>
        <w:right w:val="none" w:sz="0" w:space="0" w:color="auto"/>
      </w:divBdr>
    </w:div>
    <w:div w:id="1904830674">
      <w:bodyDiv w:val="1"/>
      <w:marLeft w:val="0"/>
      <w:marRight w:val="0"/>
      <w:marTop w:val="0"/>
      <w:marBottom w:val="0"/>
      <w:divBdr>
        <w:top w:val="none" w:sz="0" w:space="0" w:color="auto"/>
        <w:left w:val="none" w:sz="0" w:space="0" w:color="auto"/>
        <w:bottom w:val="none" w:sz="0" w:space="0" w:color="auto"/>
        <w:right w:val="none" w:sz="0" w:space="0" w:color="auto"/>
      </w:divBdr>
    </w:div>
    <w:div w:id="1905989090">
      <w:bodyDiv w:val="1"/>
      <w:marLeft w:val="0"/>
      <w:marRight w:val="0"/>
      <w:marTop w:val="0"/>
      <w:marBottom w:val="0"/>
      <w:divBdr>
        <w:top w:val="none" w:sz="0" w:space="0" w:color="auto"/>
        <w:left w:val="none" w:sz="0" w:space="0" w:color="auto"/>
        <w:bottom w:val="none" w:sz="0" w:space="0" w:color="auto"/>
        <w:right w:val="none" w:sz="0" w:space="0" w:color="auto"/>
      </w:divBdr>
    </w:div>
    <w:div w:id="1907495220">
      <w:bodyDiv w:val="1"/>
      <w:marLeft w:val="0"/>
      <w:marRight w:val="0"/>
      <w:marTop w:val="0"/>
      <w:marBottom w:val="0"/>
      <w:divBdr>
        <w:top w:val="none" w:sz="0" w:space="0" w:color="auto"/>
        <w:left w:val="none" w:sz="0" w:space="0" w:color="auto"/>
        <w:bottom w:val="none" w:sz="0" w:space="0" w:color="auto"/>
        <w:right w:val="none" w:sz="0" w:space="0" w:color="auto"/>
      </w:divBdr>
    </w:div>
    <w:div w:id="1907884091">
      <w:bodyDiv w:val="1"/>
      <w:marLeft w:val="0"/>
      <w:marRight w:val="0"/>
      <w:marTop w:val="0"/>
      <w:marBottom w:val="0"/>
      <w:divBdr>
        <w:top w:val="none" w:sz="0" w:space="0" w:color="auto"/>
        <w:left w:val="none" w:sz="0" w:space="0" w:color="auto"/>
        <w:bottom w:val="none" w:sz="0" w:space="0" w:color="auto"/>
        <w:right w:val="none" w:sz="0" w:space="0" w:color="auto"/>
      </w:divBdr>
    </w:div>
    <w:div w:id="1908763894">
      <w:bodyDiv w:val="1"/>
      <w:marLeft w:val="0"/>
      <w:marRight w:val="0"/>
      <w:marTop w:val="0"/>
      <w:marBottom w:val="0"/>
      <w:divBdr>
        <w:top w:val="none" w:sz="0" w:space="0" w:color="auto"/>
        <w:left w:val="none" w:sz="0" w:space="0" w:color="auto"/>
        <w:bottom w:val="none" w:sz="0" w:space="0" w:color="auto"/>
        <w:right w:val="none" w:sz="0" w:space="0" w:color="auto"/>
      </w:divBdr>
    </w:div>
    <w:div w:id="1911234297">
      <w:bodyDiv w:val="1"/>
      <w:marLeft w:val="0"/>
      <w:marRight w:val="0"/>
      <w:marTop w:val="0"/>
      <w:marBottom w:val="0"/>
      <w:divBdr>
        <w:top w:val="none" w:sz="0" w:space="0" w:color="auto"/>
        <w:left w:val="none" w:sz="0" w:space="0" w:color="auto"/>
        <w:bottom w:val="none" w:sz="0" w:space="0" w:color="auto"/>
        <w:right w:val="none" w:sz="0" w:space="0" w:color="auto"/>
      </w:divBdr>
    </w:div>
    <w:div w:id="1919249960">
      <w:bodyDiv w:val="1"/>
      <w:marLeft w:val="0"/>
      <w:marRight w:val="0"/>
      <w:marTop w:val="0"/>
      <w:marBottom w:val="0"/>
      <w:divBdr>
        <w:top w:val="none" w:sz="0" w:space="0" w:color="auto"/>
        <w:left w:val="none" w:sz="0" w:space="0" w:color="auto"/>
        <w:bottom w:val="none" w:sz="0" w:space="0" w:color="auto"/>
        <w:right w:val="none" w:sz="0" w:space="0" w:color="auto"/>
      </w:divBdr>
    </w:div>
    <w:div w:id="1919897149">
      <w:bodyDiv w:val="1"/>
      <w:marLeft w:val="0"/>
      <w:marRight w:val="0"/>
      <w:marTop w:val="0"/>
      <w:marBottom w:val="0"/>
      <w:divBdr>
        <w:top w:val="none" w:sz="0" w:space="0" w:color="auto"/>
        <w:left w:val="none" w:sz="0" w:space="0" w:color="auto"/>
        <w:bottom w:val="none" w:sz="0" w:space="0" w:color="auto"/>
        <w:right w:val="none" w:sz="0" w:space="0" w:color="auto"/>
      </w:divBdr>
    </w:div>
    <w:div w:id="1920020420">
      <w:bodyDiv w:val="1"/>
      <w:marLeft w:val="0"/>
      <w:marRight w:val="0"/>
      <w:marTop w:val="0"/>
      <w:marBottom w:val="0"/>
      <w:divBdr>
        <w:top w:val="none" w:sz="0" w:space="0" w:color="auto"/>
        <w:left w:val="none" w:sz="0" w:space="0" w:color="auto"/>
        <w:bottom w:val="none" w:sz="0" w:space="0" w:color="auto"/>
        <w:right w:val="none" w:sz="0" w:space="0" w:color="auto"/>
      </w:divBdr>
    </w:div>
    <w:div w:id="1922793096">
      <w:bodyDiv w:val="1"/>
      <w:marLeft w:val="0"/>
      <w:marRight w:val="0"/>
      <w:marTop w:val="0"/>
      <w:marBottom w:val="0"/>
      <w:divBdr>
        <w:top w:val="none" w:sz="0" w:space="0" w:color="auto"/>
        <w:left w:val="none" w:sz="0" w:space="0" w:color="auto"/>
        <w:bottom w:val="none" w:sz="0" w:space="0" w:color="auto"/>
        <w:right w:val="none" w:sz="0" w:space="0" w:color="auto"/>
      </w:divBdr>
    </w:div>
    <w:div w:id="1927492235">
      <w:bodyDiv w:val="1"/>
      <w:marLeft w:val="0"/>
      <w:marRight w:val="0"/>
      <w:marTop w:val="0"/>
      <w:marBottom w:val="0"/>
      <w:divBdr>
        <w:top w:val="none" w:sz="0" w:space="0" w:color="auto"/>
        <w:left w:val="none" w:sz="0" w:space="0" w:color="auto"/>
        <w:bottom w:val="none" w:sz="0" w:space="0" w:color="auto"/>
        <w:right w:val="none" w:sz="0" w:space="0" w:color="auto"/>
      </w:divBdr>
    </w:div>
    <w:div w:id="1930191157">
      <w:bodyDiv w:val="1"/>
      <w:marLeft w:val="0"/>
      <w:marRight w:val="0"/>
      <w:marTop w:val="0"/>
      <w:marBottom w:val="0"/>
      <w:divBdr>
        <w:top w:val="none" w:sz="0" w:space="0" w:color="auto"/>
        <w:left w:val="none" w:sz="0" w:space="0" w:color="auto"/>
        <w:bottom w:val="none" w:sz="0" w:space="0" w:color="auto"/>
        <w:right w:val="none" w:sz="0" w:space="0" w:color="auto"/>
      </w:divBdr>
    </w:div>
    <w:div w:id="1936089325">
      <w:bodyDiv w:val="1"/>
      <w:marLeft w:val="0"/>
      <w:marRight w:val="0"/>
      <w:marTop w:val="0"/>
      <w:marBottom w:val="0"/>
      <w:divBdr>
        <w:top w:val="none" w:sz="0" w:space="0" w:color="auto"/>
        <w:left w:val="none" w:sz="0" w:space="0" w:color="auto"/>
        <w:bottom w:val="none" w:sz="0" w:space="0" w:color="auto"/>
        <w:right w:val="none" w:sz="0" w:space="0" w:color="auto"/>
      </w:divBdr>
    </w:div>
    <w:div w:id="1942177996">
      <w:bodyDiv w:val="1"/>
      <w:marLeft w:val="0"/>
      <w:marRight w:val="0"/>
      <w:marTop w:val="0"/>
      <w:marBottom w:val="0"/>
      <w:divBdr>
        <w:top w:val="none" w:sz="0" w:space="0" w:color="auto"/>
        <w:left w:val="none" w:sz="0" w:space="0" w:color="auto"/>
        <w:bottom w:val="none" w:sz="0" w:space="0" w:color="auto"/>
        <w:right w:val="none" w:sz="0" w:space="0" w:color="auto"/>
      </w:divBdr>
    </w:div>
    <w:div w:id="1942449403">
      <w:bodyDiv w:val="1"/>
      <w:marLeft w:val="0"/>
      <w:marRight w:val="0"/>
      <w:marTop w:val="0"/>
      <w:marBottom w:val="0"/>
      <w:divBdr>
        <w:top w:val="none" w:sz="0" w:space="0" w:color="auto"/>
        <w:left w:val="none" w:sz="0" w:space="0" w:color="auto"/>
        <w:bottom w:val="none" w:sz="0" w:space="0" w:color="auto"/>
        <w:right w:val="none" w:sz="0" w:space="0" w:color="auto"/>
      </w:divBdr>
    </w:div>
    <w:div w:id="1944682245">
      <w:bodyDiv w:val="1"/>
      <w:marLeft w:val="0"/>
      <w:marRight w:val="0"/>
      <w:marTop w:val="0"/>
      <w:marBottom w:val="0"/>
      <w:divBdr>
        <w:top w:val="none" w:sz="0" w:space="0" w:color="auto"/>
        <w:left w:val="none" w:sz="0" w:space="0" w:color="auto"/>
        <w:bottom w:val="none" w:sz="0" w:space="0" w:color="auto"/>
        <w:right w:val="none" w:sz="0" w:space="0" w:color="auto"/>
      </w:divBdr>
    </w:div>
    <w:div w:id="1945920891">
      <w:bodyDiv w:val="1"/>
      <w:marLeft w:val="0"/>
      <w:marRight w:val="0"/>
      <w:marTop w:val="0"/>
      <w:marBottom w:val="0"/>
      <w:divBdr>
        <w:top w:val="none" w:sz="0" w:space="0" w:color="auto"/>
        <w:left w:val="none" w:sz="0" w:space="0" w:color="auto"/>
        <w:bottom w:val="none" w:sz="0" w:space="0" w:color="auto"/>
        <w:right w:val="none" w:sz="0" w:space="0" w:color="auto"/>
      </w:divBdr>
    </w:div>
    <w:div w:id="1949583645">
      <w:bodyDiv w:val="1"/>
      <w:marLeft w:val="0"/>
      <w:marRight w:val="0"/>
      <w:marTop w:val="0"/>
      <w:marBottom w:val="0"/>
      <w:divBdr>
        <w:top w:val="none" w:sz="0" w:space="0" w:color="auto"/>
        <w:left w:val="none" w:sz="0" w:space="0" w:color="auto"/>
        <w:bottom w:val="none" w:sz="0" w:space="0" w:color="auto"/>
        <w:right w:val="none" w:sz="0" w:space="0" w:color="auto"/>
      </w:divBdr>
    </w:div>
    <w:div w:id="1949778290">
      <w:bodyDiv w:val="1"/>
      <w:marLeft w:val="0"/>
      <w:marRight w:val="0"/>
      <w:marTop w:val="0"/>
      <w:marBottom w:val="0"/>
      <w:divBdr>
        <w:top w:val="none" w:sz="0" w:space="0" w:color="auto"/>
        <w:left w:val="none" w:sz="0" w:space="0" w:color="auto"/>
        <w:bottom w:val="none" w:sz="0" w:space="0" w:color="auto"/>
        <w:right w:val="none" w:sz="0" w:space="0" w:color="auto"/>
      </w:divBdr>
    </w:div>
    <w:div w:id="1951623573">
      <w:bodyDiv w:val="1"/>
      <w:marLeft w:val="0"/>
      <w:marRight w:val="0"/>
      <w:marTop w:val="0"/>
      <w:marBottom w:val="0"/>
      <w:divBdr>
        <w:top w:val="none" w:sz="0" w:space="0" w:color="auto"/>
        <w:left w:val="none" w:sz="0" w:space="0" w:color="auto"/>
        <w:bottom w:val="none" w:sz="0" w:space="0" w:color="auto"/>
        <w:right w:val="none" w:sz="0" w:space="0" w:color="auto"/>
      </w:divBdr>
    </w:div>
    <w:div w:id="1953244373">
      <w:bodyDiv w:val="1"/>
      <w:marLeft w:val="0"/>
      <w:marRight w:val="0"/>
      <w:marTop w:val="0"/>
      <w:marBottom w:val="0"/>
      <w:divBdr>
        <w:top w:val="none" w:sz="0" w:space="0" w:color="auto"/>
        <w:left w:val="none" w:sz="0" w:space="0" w:color="auto"/>
        <w:bottom w:val="none" w:sz="0" w:space="0" w:color="auto"/>
        <w:right w:val="none" w:sz="0" w:space="0" w:color="auto"/>
      </w:divBdr>
    </w:div>
    <w:div w:id="1954826233">
      <w:bodyDiv w:val="1"/>
      <w:marLeft w:val="0"/>
      <w:marRight w:val="0"/>
      <w:marTop w:val="0"/>
      <w:marBottom w:val="0"/>
      <w:divBdr>
        <w:top w:val="none" w:sz="0" w:space="0" w:color="auto"/>
        <w:left w:val="none" w:sz="0" w:space="0" w:color="auto"/>
        <w:bottom w:val="none" w:sz="0" w:space="0" w:color="auto"/>
        <w:right w:val="none" w:sz="0" w:space="0" w:color="auto"/>
      </w:divBdr>
    </w:div>
    <w:div w:id="1956668617">
      <w:bodyDiv w:val="1"/>
      <w:marLeft w:val="0"/>
      <w:marRight w:val="0"/>
      <w:marTop w:val="0"/>
      <w:marBottom w:val="0"/>
      <w:divBdr>
        <w:top w:val="none" w:sz="0" w:space="0" w:color="auto"/>
        <w:left w:val="none" w:sz="0" w:space="0" w:color="auto"/>
        <w:bottom w:val="none" w:sz="0" w:space="0" w:color="auto"/>
        <w:right w:val="none" w:sz="0" w:space="0" w:color="auto"/>
      </w:divBdr>
    </w:div>
    <w:div w:id="1960526969">
      <w:bodyDiv w:val="1"/>
      <w:marLeft w:val="0"/>
      <w:marRight w:val="0"/>
      <w:marTop w:val="0"/>
      <w:marBottom w:val="0"/>
      <w:divBdr>
        <w:top w:val="none" w:sz="0" w:space="0" w:color="auto"/>
        <w:left w:val="none" w:sz="0" w:space="0" w:color="auto"/>
        <w:bottom w:val="none" w:sz="0" w:space="0" w:color="auto"/>
        <w:right w:val="none" w:sz="0" w:space="0" w:color="auto"/>
      </w:divBdr>
    </w:div>
    <w:div w:id="1965235490">
      <w:bodyDiv w:val="1"/>
      <w:marLeft w:val="0"/>
      <w:marRight w:val="0"/>
      <w:marTop w:val="0"/>
      <w:marBottom w:val="0"/>
      <w:divBdr>
        <w:top w:val="none" w:sz="0" w:space="0" w:color="auto"/>
        <w:left w:val="none" w:sz="0" w:space="0" w:color="auto"/>
        <w:bottom w:val="none" w:sz="0" w:space="0" w:color="auto"/>
        <w:right w:val="none" w:sz="0" w:space="0" w:color="auto"/>
      </w:divBdr>
    </w:div>
    <w:div w:id="1965692681">
      <w:bodyDiv w:val="1"/>
      <w:marLeft w:val="0"/>
      <w:marRight w:val="0"/>
      <w:marTop w:val="0"/>
      <w:marBottom w:val="0"/>
      <w:divBdr>
        <w:top w:val="none" w:sz="0" w:space="0" w:color="auto"/>
        <w:left w:val="none" w:sz="0" w:space="0" w:color="auto"/>
        <w:bottom w:val="none" w:sz="0" w:space="0" w:color="auto"/>
        <w:right w:val="none" w:sz="0" w:space="0" w:color="auto"/>
      </w:divBdr>
    </w:div>
    <w:div w:id="1967082069">
      <w:bodyDiv w:val="1"/>
      <w:marLeft w:val="0"/>
      <w:marRight w:val="0"/>
      <w:marTop w:val="0"/>
      <w:marBottom w:val="0"/>
      <w:divBdr>
        <w:top w:val="none" w:sz="0" w:space="0" w:color="auto"/>
        <w:left w:val="none" w:sz="0" w:space="0" w:color="auto"/>
        <w:bottom w:val="none" w:sz="0" w:space="0" w:color="auto"/>
        <w:right w:val="none" w:sz="0" w:space="0" w:color="auto"/>
      </w:divBdr>
    </w:div>
    <w:div w:id="1973709307">
      <w:bodyDiv w:val="1"/>
      <w:marLeft w:val="0"/>
      <w:marRight w:val="0"/>
      <w:marTop w:val="0"/>
      <w:marBottom w:val="0"/>
      <w:divBdr>
        <w:top w:val="none" w:sz="0" w:space="0" w:color="auto"/>
        <w:left w:val="none" w:sz="0" w:space="0" w:color="auto"/>
        <w:bottom w:val="none" w:sz="0" w:space="0" w:color="auto"/>
        <w:right w:val="none" w:sz="0" w:space="0" w:color="auto"/>
      </w:divBdr>
    </w:div>
    <w:div w:id="1974285263">
      <w:bodyDiv w:val="1"/>
      <w:marLeft w:val="0"/>
      <w:marRight w:val="0"/>
      <w:marTop w:val="0"/>
      <w:marBottom w:val="0"/>
      <w:divBdr>
        <w:top w:val="none" w:sz="0" w:space="0" w:color="auto"/>
        <w:left w:val="none" w:sz="0" w:space="0" w:color="auto"/>
        <w:bottom w:val="none" w:sz="0" w:space="0" w:color="auto"/>
        <w:right w:val="none" w:sz="0" w:space="0" w:color="auto"/>
      </w:divBdr>
    </w:div>
    <w:div w:id="1984920880">
      <w:bodyDiv w:val="1"/>
      <w:marLeft w:val="0"/>
      <w:marRight w:val="0"/>
      <w:marTop w:val="0"/>
      <w:marBottom w:val="0"/>
      <w:divBdr>
        <w:top w:val="none" w:sz="0" w:space="0" w:color="auto"/>
        <w:left w:val="none" w:sz="0" w:space="0" w:color="auto"/>
        <w:bottom w:val="none" w:sz="0" w:space="0" w:color="auto"/>
        <w:right w:val="none" w:sz="0" w:space="0" w:color="auto"/>
      </w:divBdr>
    </w:div>
    <w:div w:id="1987197051">
      <w:bodyDiv w:val="1"/>
      <w:marLeft w:val="0"/>
      <w:marRight w:val="0"/>
      <w:marTop w:val="0"/>
      <w:marBottom w:val="0"/>
      <w:divBdr>
        <w:top w:val="none" w:sz="0" w:space="0" w:color="auto"/>
        <w:left w:val="none" w:sz="0" w:space="0" w:color="auto"/>
        <w:bottom w:val="none" w:sz="0" w:space="0" w:color="auto"/>
        <w:right w:val="none" w:sz="0" w:space="0" w:color="auto"/>
      </w:divBdr>
    </w:div>
    <w:div w:id="1989745880">
      <w:bodyDiv w:val="1"/>
      <w:marLeft w:val="0"/>
      <w:marRight w:val="0"/>
      <w:marTop w:val="0"/>
      <w:marBottom w:val="0"/>
      <w:divBdr>
        <w:top w:val="none" w:sz="0" w:space="0" w:color="auto"/>
        <w:left w:val="none" w:sz="0" w:space="0" w:color="auto"/>
        <w:bottom w:val="none" w:sz="0" w:space="0" w:color="auto"/>
        <w:right w:val="none" w:sz="0" w:space="0" w:color="auto"/>
      </w:divBdr>
    </w:div>
    <w:div w:id="1998225147">
      <w:bodyDiv w:val="1"/>
      <w:marLeft w:val="0"/>
      <w:marRight w:val="0"/>
      <w:marTop w:val="0"/>
      <w:marBottom w:val="0"/>
      <w:divBdr>
        <w:top w:val="none" w:sz="0" w:space="0" w:color="auto"/>
        <w:left w:val="none" w:sz="0" w:space="0" w:color="auto"/>
        <w:bottom w:val="none" w:sz="0" w:space="0" w:color="auto"/>
        <w:right w:val="none" w:sz="0" w:space="0" w:color="auto"/>
      </w:divBdr>
    </w:div>
    <w:div w:id="2000384184">
      <w:bodyDiv w:val="1"/>
      <w:marLeft w:val="0"/>
      <w:marRight w:val="0"/>
      <w:marTop w:val="0"/>
      <w:marBottom w:val="0"/>
      <w:divBdr>
        <w:top w:val="none" w:sz="0" w:space="0" w:color="auto"/>
        <w:left w:val="none" w:sz="0" w:space="0" w:color="auto"/>
        <w:bottom w:val="none" w:sz="0" w:space="0" w:color="auto"/>
        <w:right w:val="none" w:sz="0" w:space="0" w:color="auto"/>
      </w:divBdr>
    </w:div>
    <w:div w:id="2003854078">
      <w:bodyDiv w:val="1"/>
      <w:marLeft w:val="0"/>
      <w:marRight w:val="0"/>
      <w:marTop w:val="0"/>
      <w:marBottom w:val="0"/>
      <w:divBdr>
        <w:top w:val="none" w:sz="0" w:space="0" w:color="auto"/>
        <w:left w:val="none" w:sz="0" w:space="0" w:color="auto"/>
        <w:bottom w:val="none" w:sz="0" w:space="0" w:color="auto"/>
        <w:right w:val="none" w:sz="0" w:space="0" w:color="auto"/>
      </w:divBdr>
    </w:div>
    <w:div w:id="2014263346">
      <w:bodyDiv w:val="1"/>
      <w:marLeft w:val="0"/>
      <w:marRight w:val="0"/>
      <w:marTop w:val="0"/>
      <w:marBottom w:val="0"/>
      <w:divBdr>
        <w:top w:val="none" w:sz="0" w:space="0" w:color="auto"/>
        <w:left w:val="none" w:sz="0" w:space="0" w:color="auto"/>
        <w:bottom w:val="none" w:sz="0" w:space="0" w:color="auto"/>
        <w:right w:val="none" w:sz="0" w:space="0" w:color="auto"/>
      </w:divBdr>
    </w:div>
    <w:div w:id="2022124608">
      <w:bodyDiv w:val="1"/>
      <w:marLeft w:val="0"/>
      <w:marRight w:val="0"/>
      <w:marTop w:val="0"/>
      <w:marBottom w:val="0"/>
      <w:divBdr>
        <w:top w:val="none" w:sz="0" w:space="0" w:color="auto"/>
        <w:left w:val="none" w:sz="0" w:space="0" w:color="auto"/>
        <w:bottom w:val="none" w:sz="0" w:space="0" w:color="auto"/>
        <w:right w:val="none" w:sz="0" w:space="0" w:color="auto"/>
      </w:divBdr>
    </w:div>
    <w:div w:id="2023587217">
      <w:bodyDiv w:val="1"/>
      <w:marLeft w:val="0"/>
      <w:marRight w:val="0"/>
      <w:marTop w:val="0"/>
      <w:marBottom w:val="0"/>
      <w:divBdr>
        <w:top w:val="none" w:sz="0" w:space="0" w:color="auto"/>
        <w:left w:val="none" w:sz="0" w:space="0" w:color="auto"/>
        <w:bottom w:val="none" w:sz="0" w:space="0" w:color="auto"/>
        <w:right w:val="none" w:sz="0" w:space="0" w:color="auto"/>
      </w:divBdr>
    </w:div>
    <w:div w:id="2024821433">
      <w:bodyDiv w:val="1"/>
      <w:marLeft w:val="0"/>
      <w:marRight w:val="0"/>
      <w:marTop w:val="0"/>
      <w:marBottom w:val="0"/>
      <w:divBdr>
        <w:top w:val="none" w:sz="0" w:space="0" w:color="auto"/>
        <w:left w:val="none" w:sz="0" w:space="0" w:color="auto"/>
        <w:bottom w:val="none" w:sz="0" w:space="0" w:color="auto"/>
        <w:right w:val="none" w:sz="0" w:space="0" w:color="auto"/>
      </w:divBdr>
      <w:divsChild>
        <w:div w:id="47148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3214">
      <w:bodyDiv w:val="1"/>
      <w:marLeft w:val="0"/>
      <w:marRight w:val="0"/>
      <w:marTop w:val="0"/>
      <w:marBottom w:val="0"/>
      <w:divBdr>
        <w:top w:val="none" w:sz="0" w:space="0" w:color="auto"/>
        <w:left w:val="none" w:sz="0" w:space="0" w:color="auto"/>
        <w:bottom w:val="none" w:sz="0" w:space="0" w:color="auto"/>
        <w:right w:val="none" w:sz="0" w:space="0" w:color="auto"/>
      </w:divBdr>
    </w:div>
    <w:div w:id="2028553563">
      <w:bodyDiv w:val="1"/>
      <w:marLeft w:val="0"/>
      <w:marRight w:val="0"/>
      <w:marTop w:val="0"/>
      <w:marBottom w:val="0"/>
      <w:divBdr>
        <w:top w:val="none" w:sz="0" w:space="0" w:color="auto"/>
        <w:left w:val="none" w:sz="0" w:space="0" w:color="auto"/>
        <w:bottom w:val="none" w:sz="0" w:space="0" w:color="auto"/>
        <w:right w:val="none" w:sz="0" w:space="0" w:color="auto"/>
      </w:divBdr>
    </w:div>
    <w:div w:id="2036727813">
      <w:bodyDiv w:val="1"/>
      <w:marLeft w:val="0"/>
      <w:marRight w:val="0"/>
      <w:marTop w:val="0"/>
      <w:marBottom w:val="0"/>
      <w:divBdr>
        <w:top w:val="none" w:sz="0" w:space="0" w:color="auto"/>
        <w:left w:val="none" w:sz="0" w:space="0" w:color="auto"/>
        <w:bottom w:val="none" w:sz="0" w:space="0" w:color="auto"/>
        <w:right w:val="none" w:sz="0" w:space="0" w:color="auto"/>
      </w:divBdr>
    </w:div>
    <w:div w:id="2040158683">
      <w:bodyDiv w:val="1"/>
      <w:marLeft w:val="0"/>
      <w:marRight w:val="0"/>
      <w:marTop w:val="0"/>
      <w:marBottom w:val="0"/>
      <w:divBdr>
        <w:top w:val="none" w:sz="0" w:space="0" w:color="auto"/>
        <w:left w:val="none" w:sz="0" w:space="0" w:color="auto"/>
        <w:bottom w:val="none" w:sz="0" w:space="0" w:color="auto"/>
        <w:right w:val="none" w:sz="0" w:space="0" w:color="auto"/>
      </w:divBdr>
    </w:div>
    <w:div w:id="2041122875">
      <w:bodyDiv w:val="1"/>
      <w:marLeft w:val="0"/>
      <w:marRight w:val="0"/>
      <w:marTop w:val="0"/>
      <w:marBottom w:val="0"/>
      <w:divBdr>
        <w:top w:val="none" w:sz="0" w:space="0" w:color="auto"/>
        <w:left w:val="none" w:sz="0" w:space="0" w:color="auto"/>
        <w:bottom w:val="none" w:sz="0" w:space="0" w:color="auto"/>
        <w:right w:val="none" w:sz="0" w:space="0" w:color="auto"/>
      </w:divBdr>
    </w:div>
    <w:div w:id="2044747988">
      <w:bodyDiv w:val="1"/>
      <w:marLeft w:val="0"/>
      <w:marRight w:val="0"/>
      <w:marTop w:val="0"/>
      <w:marBottom w:val="0"/>
      <w:divBdr>
        <w:top w:val="none" w:sz="0" w:space="0" w:color="auto"/>
        <w:left w:val="none" w:sz="0" w:space="0" w:color="auto"/>
        <w:bottom w:val="none" w:sz="0" w:space="0" w:color="auto"/>
        <w:right w:val="none" w:sz="0" w:space="0" w:color="auto"/>
      </w:divBdr>
    </w:div>
    <w:div w:id="2060089655">
      <w:bodyDiv w:val="1"/>
      <w:marLeft w:val="0"/>
      <w:marRight w:val="0"/>
      <w:marTop w:val="0"/>
      <w:marBottom w:val="0"/>
      <w:divBdr>
        <w:top w:val="none" w:sz="0" w:space="0" w:color="auto"/>
        <w:left w:val="none" w:sz="0" w:space="0" w:color="auto"/>
        <w:bottom w:val="none" w:sz="0" w:space="0" w:color="auto"/>
        <w:right w:val="none" w:sz="0" w:space="0" w:color="auto"/>
      </w:divBdr>
    </w:div>
    <w:div w:id="2063403327">
      <w:bodyDiv w:val="1"/>
      <w:marLeft w:val="0"/>
      <w:marRight w:val="0"/>
      <w:marTop w:val="0"/>
      <w:marBottom w:val="0"/>
      <w:divBdr>
        <w:top w:val="none" w:sz="0" w:space="0" w:color="auto"/>
        <w:left w:val="none" w:sz="0" w:space="0" w:color="auto"/>
        <w:bottom w:val="none" w:sz="0" w:space="0" w:color="auto"/>
        <w:right w:val="none" w:sz="0" w:space="0" w:color="auto"/>
      </w:divBdr>
    </w:div>
    <w:div w:id="2065642710">
      <w:bodyDiv w:val="1"/>
      <w:marLeft w:val="0"/>
      <w:marRight w:val="0"/>
      <w:marTop w:val="0"/>
      <w:marBottom w:val="0"/>
      <w:divBdr>
        <w:top w:val="none" w:sz="0" w:space="0" w:color="auto"/>
        <w:left w:val="none" w:sz="0" w:space="0" w:color="auto"/>
        <w:bottom w:val="none" w:sz="0" w:space="0" w:color="auto"/>
        <w:right w:val="none" w:sz="0" w:space="0" w:color="auto"/>
      </w:divBdr>
    </w:div>
    <w:div w:id="2069377421">
      <w:bodyDiv w:val="1"/>
      <w:marLeft w:val="0"/>
      <w:marRight w:val="0"/>
      <w:marTop w:val="0"/>
      <w:marBottom w:val="0"/>
      <w:divBdr>
        <w:top w:val="none" w:sz="0" w:space="0" w:color="auto"/>
        <w:left w:val="none" w:sz="0" w:space="0" w:color="auto"/>
        <w:bottom w:val="none" w:sz="0" w:space="0" w:color="auto"/>
        <w:right w:val="none" w:sz="0" w:space="0" w:color="auto"/>
      </w:divBdr>
    </w:div>
    <w:div w:id="2072384757">
      <w:bodyDiv w:val="1"/>
      <w:marLeft w:val="0"/>
      <w:marRight w:val="0"/>
      <w:marTop w:val="0"/>
      <w:marBottom w:val="0"/>
      <w:divBdr>
        <w:top w:val="none" w:sz="0" w:space="0" w:color="auto"/>
        <w:left w:val="none" w:sz="0" w:space="0" w:color="auto"/>
        <w:bottom w:val="none" w:sz="0" w:space="0" w:color="auto"/>
        <w:right w:val="none" w:sz="0" w:space="0" w:color="auto"/>
      </w:divBdr>
    </w:div>
    <w:div w:id="2073501312">
      <w:bodyDiv w:val="1"/>
      <w:marLeft w:val="0"/>
      <w:marRight w:val="0"/>
      <w:marTop w:val="0"/>
      <w:marBottom w:val="0"/>
      <w:divBdr>
        <w:top w:val="none" w:sz="0" w:space="0" w:color="auto"/>
        <w:left w:val="none" w:sz="0" w:space="0" w:color="auto"/>
        <w:bottom w:val="none" w:sz="0" w:space="0" w:color="auto"/>
        <w:right w:val="none" w:sz="0" w:space="0" w:color="auto"/>
      </w:divBdr>
    </w:div>
    <w:div w:id="2075277460">
      <w:bodyDiv w:val="1"/>
      <w:marLeft w:val="0"/>
      <w:marRight w:val="0"/>
      <w:marTop w:val="0"/>
      <w:marBottom w:val="0"/>
      <w:divBdr>
        <w:top w:val="none" w:sz="0" w:space="0" w:color="auto"/>
        <w:left w:val="none" w:sz="0" w:space="0" w:color="auto"/>
        <w:bottom w:val="none" w:sz="0" w:space="0" w:color="auto"/>
        <w:right w:val="none" w:sz="0" w:space="0" w:color="auto"/>
      </w:divBdr>
    </w:div>
    <w:div w:id="2079282074">
      <w:bodyDiv w:val="1"/>
      <w:marLeft w:val="0"/>
      <w:marRight w:val="0"/>
      <w:marTop w:val="0"/>
      <w:marBottom w:val="0"/>
      <w:divBdr>
        <w:top w:val="none" w:sz="0" w:space="0" w:color="auto"/>
        <w:left w:val="none" w:sz="0" w:space="0" w:color="auto"/>
        <w:bottom w:val="none" w:sz="0" w:space="0" w:color="auto"/>
        <w:right w:val="none" w:sz="0" w:space="0" w:color="auto"/>
      </w:divBdr>
    </w:div>
    <w:div w:id="2079597082">
      <w:bodyDiv w:val="1"/>
      <w:marLeft w:val="0"/>
      <w:marRight w:val="0"/>
      <w:marTop w:val="0"/>
      <w:marBottom w:val="0"/>
      <w:divBdr>
        <w:top w:val="none" w:sz="0" w:space="0" w:color="auto"/>
        <w:left w:val="none" w:sz="0" w:space="0" w:color="auto"/>
        <w:bottom w:val="none" w:sz="0" w:space="0" w:color="auto"/>
        <w:right w:val="none" w:sz="0" w:space="0" w:color="auto"/>
      </w:divBdr>
    </w:div>
    <w:div w:id="2088266379">
      <w:bodyDiv w:val="1"/>
      <w:marLeft w:val="0"/>
      <w:marRight w:val="0"/>
      <w:marTop w:val="0"/>
      <w:marBottom w:val="0"/>
      <w:divBdr>
        <w:top w:val="none" w:sz="0" w:space="0" w:color="auto"/>
        <w:left w:val="none" w:sz="0" w:space="0" w:color="auto"/>
        <w:bottom w:val="none" w:sz="0" w:space="0" w:color="auto"/>
        <w:right w:val="none" w:sz="0" w:space="0" w:color="auto"/>
      </w:divBdr>
    </w:div>
    <w:div w:id="2089109795">
      <w:bodyDiv w:val="1"/>
      <w:marLeft w:val="0"/>
      <w:marRight w:val="0"/>
      <w:marTop w:val="0"/>
      <w:marBottom w:val="0"/>
      <w:divBdr>
        <w:top w:val="none" w:sz="0" w:space="0" w:color="auto"/>
        <w:left w:val="none" w:sz="0" w:space="0" w:color="auto"/>
        <w:bottom w:val="none" w:sz="0" w:space="0" w:color="auto"/>
        <w:right w:val="none" w:sz="0" w:space="0" w:color="auto"/>
      </w:divBdr>
    </w:div>
    <w:div w:id="2089186213">
      <w:bodyDiv w:val="1"/>
      <w:marLeft w:val="0"/>
      <w:marRight w:val="0"/>
      <w:marTop w:val="0"/>
      <w:marBottom w:val="0"/>
      <w:divBdr>
        <w:top w:val="none" w:sz="0" w:space="0" w:color="auto"/>
        <w:left w:val="none" w:sz="0" w:space="0" w:color="auto"/>
        <w:bottom w:val="none" w:sz="0" w:space="0" w:color="auto"/>
        <w:right w:val="none" w:sz="0" w:space="0" w:color="auto"/>
      </w:divBdr>
    </w:div>
    <w:div w:id="2090301639">
      <w:bodyDiv w:val="1"/>
      <w:marLeft w:val="0"/>
      <w:marRight w:val="0"/>
      <w:marTop w:val="0"/>
      <w:marBottom w:val="0"/>
      <w:divBdr>
        <w:top w:val="none" w:sz="0" w:space="0" w:color="auto"/>
        <w:left w:val="none" w:sz="0" w:space="0" w:color="auto"/>
        <w:bottom w:val="none" w:sz="0" w:space="0" w:color="auto"/>
        <w:right w:val="none" w:sz="0" w:space="0" w:color="auto"/>
      </w:divBdr>
    </w:div>
    <w:div w:id="2096049356">
      <w:bodyDiv w:val="1"/>
      <w:marLeft w:val="0"/>
      <w:marRight w:val="0"/>
      <w:marTop w:val="0"/>
      <w:marBottom w:val="0"/>
      <w:divBdr>
        <w:top w:val="none" w:sz="0" w:space="0" w:color="auto"/>
        <w:left w:val="none" w:sz="0" w:space="0" w:color="auto"/>
        <w:bottom w:val="none" w:sz="0" w:space="0" w:color="auto"/>
        <w:right w:val="none" w:sz="0" w:space="0" w:color="auto"/>
      </w:divBdr>
    </w:div>
    <w:div w:id="2100172926">
      <w:bodyDiv w:val="1"/>
      <w:marLeft w:val="0"/>
      <w:marRight w:val="0"/>
      <w:marTop w:val="0"/>
      <w:marBottom w:val="0"/>
      <w:divBdr>
        <w:top w:val="none" w:sz="0" w:space="0" w:color="auto"/>
        <w:left w:val="none" w:sz="0" w:space="0" w:color="auto"/>
        <w:bottom w:val="none" w:sz="0" w:space="0" w:color="auto"/>
        <w:right w:val="none" w:sz="0" w:space="0" w:color="auto"/>
      </w:divBdr>
    </w:div>
    <w:div w:id="2100560285">
      <w:bodyDiv w:val="1"/>
      <w:marLeft w:val="0"/>
      <w:marRight w:val="0"/>
      <w:marTop w:val="0"/>
      <w:marBottom w:val="0"/>
      <w:divBdr>
        <w:top w:val="none" w:sz="0" w:space="0" w:color="auto"/>
        <w:left w:val="none" w:sz="0" w:space="0" w:color="auto"/>
        <w:bottom w:val="none" w:sz="0" w:space="0" w:color="auto"/>
        <w:right w:val="none" w:sz="0" w:space="0" w:color="auto"/>
      </w:divBdr>
    </w:div>
    <w:div w:id="2103723117">
      <w:bodyDiv w:val="1"/>
      <w:marLeft w:val="0"/>
      <w:marRight w:val="0"/>
      <w:marTop w:val="0"/>
      <w:marBottom w:val="0"/>
      <w:divBdr>
        <w:top w:val="none" w:sz="0" w:space="0" w:color="auto"/>
        <w:left w:val="none" w:sz="0" w:space="0" w:color="auto"/>
        <w:bottom w:val="none" w:sz="0" w:space="0" w:color="auto"/>
        <w:right w:val="none" w:sz="0" w:space="0" w:color="auto"/>
      </w:divBdr>
    </w:div>
    <w:div w:id="2106610441">
      <w:bodyDiv w:val="1"/>
      <w:marLeft w:val="0"/>
      <w:marRight w:val="0"/>
      <w:marTop w:val="0"/>
      <w:marBottom w:val="0"/>
      <w:divBdr>
        <w:top w:val="none" w:sz="0" w:space="0" w:color="auto"/>
        <w:left w:val="none" w:sz="0" w:space="0" w:color="auto"/>
        <w:bottom w:val="none" w:sz="0" w:space="0" w:color="auto"/>
        <w:right w:val="none" w:sz="0" w:space="0" w:color="auto"/>
      </w:divBdr>
    </w:div>
    <w:div w:id="2118405649">
      <w:bodyDiv w:val="1"/>
      <w:marLeft w:val="0"/>
      <w:marRight w:val="0"/>
      <w:marTop w:val="0"/>
      <w:marBottom w:val="0"/>
      <w:divBdr>
        <w:top w:val="none" w:sz="0" w:space="0" w:color="auto"/>
        <w:left w:val="none" w:sz="0" w:space="0" w:color="auto"/>
        <w:bottom w:val="none" w:sz="0" w:space="0" w:color="auto"/>
        <w:right w:val="none" w:sz="0" w:space="0" w:color="auto"/>
      </w:divBdr>
    </w:div>
    <w:div w:id="2124955432">
      <w:bodyDiv w:val="1"/>
      <w:marLeft w:val="0"/>
      <w:marRight w:val="0"/>
      <w:marTop w:val="0"/>
      <w:marBottom w:val="0"/>
      <w:divBdr>
        <w:top w:val="none" w:sz="0" w:space="0" w:color="auto"/>
        <w:left w:val="none" w:sz="0" w:space="0" w:color="auto"/>
        <w:bottom w:val="none" w:sz="0" w:space="0" w:color="auto"/>
        <w:right w:val="none" w:sz="0" w:space="0" w:color="auto"/>
      </w:divBdr>
    </w:div>
    <w:div w:id="2127310706">
      <w:bodyDiv w:val="1"/>
      <w:marLeft w:val="0"/>
      <w:marRight w:val="0"/>
      <w:marTop w:val="0"/>
      <w:marBottom w:val="0"/>
      <w:divBdr>
        <w:top w:val="none" w:sz="0" w:space="0" w:color="auto"/>
        <w:left w:val="none" w:sz="0" w:space="0" w:color="auto"/>
        <w:bottom w:val="none" w:sz="0" w:space="0" w:color="auto"/>
        <w:right w:val="none" w:sz="0" w:space="0" w:color="auto"/>
      </w:divBdr>
    </w:div>
    <w:div w:id="2127311297">
      <w:bodyDiv w:val="1"/>
      <w:marLeft w:val="0"/>
      <w:marRight w:val="0"/>
      <w:marTop w:val="0"/>
      <w:marBottom w:val="0"/>
      <w:divBdr>
        <w:top w:val="none" w:sz="0" w:space="0" w:color="auto"/>
        <w:left w:val="none" w:sz="0" w:space="0" w:color="auto"/>
        <w:bottom w:val="none" w:sz="0" w:space="0" w:color="auto"/>
        <w:right w:val="none" w:sz="0" w:space="0" w:color="auto"/>
      </w:divBdr>
    </w:div>
    <w:div w:id="2130081677">
      <w:bodyDiv w:val="1"/>
      <w:marLeft w:val="0"/>
      <w:marRight w:val="0"/>
      <w:marTop w:val="0"/>
      <w:marBottom w:val="0"/>
      <w:divBdr>
        <w:top w:val="none" w:sz="0" w:space="0" w:color="auto"/>
        <w:left w:val="none" w:sz="0" w:space="0" w:color="auto"/>
        <w:bottom w:val="none" w:sz="0" w:space="0" w:color="auto"/>
        <w:right w:val="none" w:sz="0" w:space="0" w:color="auto"/>
      </w:divBdr>
    </w:div>
    <w:div w:id="21410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4/1624/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A699-EF14-4F7B-A2B3-CB75C557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97586</Words>
  <Characters>556244</Characters>
  <Application>Microsoft Office Word</Application>
  <DocSecurity>0</DocSecurity>
  <Lines>4635</Lines>
  <Paragraphs>1305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2</cp:revision>
  <cp:lastPrinted>2026-02-02T09:46:00Z</cp:lastPrinted>
  <dcterms:created xsi:type="dcterms:W3CDTF">2026-03-03T10:38:00Z</dcterms:created>
  <dcterms:modified xsi:type="dcterms:W3CDTF">2026-03-03T10:38:00Z</dcterms:modified>
</cp:coreProperties>
</file>