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3CFE9" w14:textId="77777777" w:rsidR="0082018C" w:rsidRPr="000C4031" w:rsidRDefault="0082018C" w:rsidP="000742F2">
      <w:pPr>
        <w:spacing w:line="276" w:lineRule="auto"/>
        <w:ind w:left="491" w:right="48"/>
        <w:jc w:val="center"/>
        <w:rPr>
          <w:b/>
          <w:sz w:val="24"/>
          <w:szCs w:val="24"/>
        </w:rPr>
      </w:pPr>
      <w:bookmarkStart w:id="0" w:name="_GoBack"/>
      <w:bookmarkEnd w:id="0"/>
    </w:p>
    <w:p w14:paraId="66C60E12" w14:textId="31EE2951" w:rsidR="00E76BF2" w:rsidRPr="000C4031" w:rsidRDefault="00E94EBD" w:rsidP="0082018C">
      <w:pPr>
        <w:spacing w:line="276" w:lineRule="auto"/>
        <w:ind w:right="48"/>
        <w:jc w:val="center"/>
        <w:rPr>
          <w:b/>
          <w:spacing w:val="-10"/>
          <w:sz w:val="24"/>
          <w:szCs w:val="24"/>
        </w:rPr>
      </w:pPr>
      <w:r>
        <w:rPr>
          <w:b/>
          <w:sz w:val="24"/>
          <w:szCs w:val="24"/>
        </w:rPr>
        <w:t>R E L A C I O N</w:t>
      </w:r>
    </w:p>
    <w:p w14:paraId="273724B2" w14:textId="2AC2A0AA" w:rsidR="00B71559" w:rsidRPr="000C4031" w:rsidRDefault="00E94EBD" w:rsidP="0082018C">
      <w:pPr>
        <w:spacing w:line="276" w:lineRule="auto"/>
        <w:ind w:right="48"/>
        <w:jc w:val="center"/>
        <w:rPr>
          <w:b/>
          <w:spacing w:val="-5"/>
          <w:sz w:val="24"/>
          <w:szCs w:val="24"/>
        </w:rPr>
      </w:pPr>
      <w:r>
        <w:rPr>
          <w:b/>
          <w:spacing w:val="-5"/>
          <w:sz w:val="24"/>
          <w:szCs w:val="24"/>
        </w:rPr>
        <w:t>ON THE DRAFT LAW</w:t>
      </w:r>
    </w:p>
    <w:p w14:paraId="0F5F1A35" w14:textId="783875A8" w:rsidR="00E76BF2" w:rsidRPr="000C4031" w:rsidRDefault="00194B4F" w:rsidP="0082018C">
      <w:pPr>
        <w:spacing w:line="276" w:lineRule="auto"/>
        <w:jc w:val="center"/>
        <w:rPr>
          <w:b/>
          <w:bCs/>
          <w:sz w:val="24"/>
          <w:szCs w:val="24"/>
        </w:rPr>
      </w:pPr>
      <w:r>
        <w:rPr>
          <w:b/>
          <w:bCs/>
          <w:sz w:val="24"/>
          <w:szCs w:val="24"/>
        </w:rPr>
        <w:t>“ON THE PREVENTION OF MONEY LAUNDERING AND TERRORISM FINANCING”</w:t>
      </w:r>
    </w:p>
    <w:p w14:paraId="332A972C" w14:textId="77777777" w:rsidR="00D24F12" w:rsidRPr="000C4031" w:rsidRDefault="00D24F12" w:rsidP="000742F2">
      <w:pPr>
        <w:spacing w:line="276" w:lineRule="auto"/>
        <w:ind w:firstLine="284"/>
        <w:jc w:val="center"/>
        <w:rPr>
          <w:bCs/>
          <w:sz w:val="24"/>
          <w:szCs w:val="24"/>
        </w:rPr>
      </w:pPr>
    </w:p>
    <w:p w14:paraId="760F3B47" w14:textId="1F431506" w:rsidR="00292B17" w:rsidRPr="000C4031" w:rsidRDefault="00E94EBD" w:rsidP="000742F2">
      <w:pPr>
        <w:pStyle w:val="ListParagraph"/>
        <w:numPr>
          <w:ilvl w:val="0"/>
          <w:numId w:val="1"/>
        </w:numPr>
        <w:tabs>
          <w:tab w:val="left" w:pos="450"/>
        </w:tabs>
        <w:spacing w:line="276" w:lineRule="auto"/>
        <w:ind w:left="0" w:right="48" w:firstLine="0"/>
        <w:jc w:val="both"/>
        <w:rPr>
          <w:b/>
          <w:sz w:val="24"/>
          <w:szCs w:val="24"/>
        </w:rPr>
      </w:pPr>
      <w:r>
        <w:rPr>
          <w:b/>
          <w:sz w:val="24"/>
          <w:szCs w:val="24"/>
        </w:rPr>
        <w:t>THE PURPOSE OF THE DRAFT ACT AND THE OBJECTIVES AIMED TO BE ACHIEVED</w:t>
      </w:r>
    </w:p>
    <w:p w14:paraId="6B8A570D" w14:textId="77777777" w:rsidR="00004E5E" w:rsidRPr="000C4031" w:rsidRDefault="00004E5E" w:rsidP="000742F2">
      <w:pPr>
        <w:pStyle w:val="ListParagraph"/>
        <w:tabs>
          <w:tab w:val="left" w:pos="450"/>
        </w:tabs>
        <w:spacing w:line="276" w:lineRule="auto"/>
        <w:ind w:left="0" w:right="48" w:firstLine="0"/>
        <w:rPr>
          <w:b/>
          <w:sz w:val="24"/>
          <w:szCs w:val="24"/>
        </w:rPr>
      </w:pPr>
    </w:p>
    <w:p w14:paraId="552AC8AE" w14:textId="2511C5C5" w:rsidR="00546CD1" w:rsidRPr="000C4031" w:rsidRDefault="00546CD1" w:rsidP="000742F2">
      <w:pPr>
        <w:pStyle w:val="BodyText"/>
        <w:spacing w:line="276" w:lineRule="auto"/>
        <w:ind w:right="48"/>
        <w:rPr>
          <w:sz w:val="24"/>
          <w:szCs w:val="24"/>
        </w:rPr>
      </w:pPr>
      <w:r>
        <w:rPr>
          <w:sz w:val="24"/>
          <w:szCs w:val="24"/>
        </w:rPr>
        <w:t>The purpose of this draft law is to strengthen the integrity, transparency, and resilience of the financial and economic system of the Republic of Albania, through the prevention, detection, and effective interruption of money laundering, terrorism financing, and the financing of the proliferation of weapons of mass destruction, while simultaneously addressing the risks related to fund/crypto-asset transfers and the cross-border movement of physical money.</w:t>
      </w:r>
    </w:p>
    <w:p w14:paraId="7B65B2C3" w14:textId="77777777" w:rsidR="0082018C" w:rsidRPr="000C4031" w:rsidRDefault="0082018C" w:rsidP="000742F2">
      <w:pPr>
        <w:pStyle w:val="BodyText"/>
        <w:spacing w:line="276" w:lineRule="auto"/>
        <w:ind w:right="48"/>
        <w:rPr>
          <w:sz w:val="24"/>
          <w:szCs w:val="24"/>
        </w:rPr>
      </w:pPr>
    </w:p>
    <w:p w14:paraId="6F71396C" w14:textId="446627A4" w:rsidR="00546CD1" w:rsidRPr="000C4031" w:rsidRDefault="00546CD1" w:rsidP="000742F2">
      <w:pPr>
        <w:pStyle w:val="BodyText"/>
        <w:spacing w:line="276" w:lineRule="auto"/>
        <w:ind w:right="48"/>
        <w:rPr>
          <w:sz w:val="24"/>
          <w:szCs w:val="24"/>
        </w:rPr>
      </w:pPr>
      <w:r>
        <w:rPr>
          <w:sz w:val="24"/>
          <w:szCs w:val="24"/>
        </w:rPr>
        <w:t>The draft law also aims to establish a consolidated legal framework, based on the risk assessment approach, proportionality, and traceability, in full harmony with the acquis of the European Union and international standards.</w:t>
      </w:r>
    </w:p>
    <w:p w14:paraId="3082A843" w14:textId="77777777" w:rsidR="008E626D" w:rsidRPr="000C4031" w:rsidRDefault="008E626D" w:rsidP="000742F2">
      <w:pPr>
        <w:pStyle w:val="BodyText"/>
        <w:spacing w:line="276" w:lineRule="auto"/>
        <w:ind w:right="48"/>
        <w:rPr>
          <w:sz w:val="24"/>
          <w:szCs w:val="24"/>
        </w:rPr>
      </w:pPr>
    </w:p>
    <w:p w14:paraId="6498D1DE" w14:textId="324C3464" w:rsidR="00546CD1" w:rsidRPr="000C4031" w:rsidRDefault="00546CD1" w:rsidP="000742F2">
      <w:pPr>
        <w:pStyle w:val="BodyText"/>
        <w:spacing w:line="276" w:lineRule="auto"/>
        <w:ind w:right="48"/>
        <w:rPr>
          <w:sz w:val="24"/>
          <w:szCs w:val="24"/>
        </w:rPr>
      </w:pPr>
      <w:r>
        <w:rPr>
          <w:sz w:val="24"/>
          <w:szCs w:val="24"/>
        </w:rPr>
        <w:t>In pursuit of this purpose, the draft law achieves these main objectives:</w:t>
      </w:r>
    </w:p>
    <w:p w14:paraId="6360938A" w14:textId="77777777" w:rsidR="003A31F4" w:rsidRPr="000C4031" w:rsidRDefault="003A31F4" w:rsidP="000742F2">
      <w:pPr>
        <w:pStyle w:val="BodyText"/>
        <w:spacing w:line="276" w:lineRule="auto"/>
        <w:ind w:right="48"/>
        <w:rPr>
          <w:sz w:val="24"/>
          <w:szCs w:val="24"/>
        </w:rPr>
      </w:pPr>
    </w:p>
    <w:p w14:paraId="1415C420" w14:textId="4BA0565A" w:rsidR="00546CD1" w:rsidRPr="000C4031" w:rsidRDefault="00DA02FD" w:rsidP="000742F2">
      <w:pPr>
        <w:pStyle w:val="BodyText"/>
        <w:spacing w:line="276" w:lineRule="auto"/>
        <w:ind w:right="48"/>
        <w:rPr>
          <w:sz w:val="24"/>
          <w:szCs w:val="24"/>
        </w:rPr>
      </w:pPr>
      <w:r>
        <w:rPr>
          <w:sz w:val="24"/>
          <w:szCs w:val="24"/>
        </w:rPr>
        <w:t>The full transposition and harmonisation of the national legislation with:</w:t>
      </w:r>
    </w:p>
    <w:p w14:paraId="611D97E8" w14:textId="77777777" w:rsidR="003A31F4" w:rsidRPr="000C4031" w:rsidRDefault="003A31F4" w:rsidP="000742F2">
      <w:pPr>
        <w:pStyle w:val="BodyText"/>
        <w:spacing w:line="276" w:lineRule="auto"/>
        <w:ind w:right="48"/>
        <w:rPr>
          <w:sz w:val="24"/>
          <w:szCs w:val="24"/>
        </w:rPr>
      </w:pPr>
    </w:p>
    <w:p w14:paraId="7BA66D79" w14:textId="77777777" w:rsidR="00DA02FD" w:rsidRPr="000C4031" w:rsidRDefault="00DA02FD" w:rsidP="000742F2">
      <w:pPr>
        <w:pStyle w:val="Header"/>
        <w:widowControl/>
        <w:numPr>
          <w:ilvl w:val="0"/>
          <w:numId w:val="38"/>
        </w:numPr>
        <w:tabs>
          <w:tab w:val="center" w:pos="4680"/>
          <w:tab w:val="right" w:pos="9360"/>
        </w:tabs>
        <w:autoSpaceDE/>
        <w:autoSpaceDN/>
        <w:spacing w:line="276" w:lineRule="auto"/>
        <w:ind w:right="48"/>
        <w:jc w:val="both"/>
        <w:rPr>
          <w:sz w:val="24"/>
          <w:szCs w:val="24"/>
        </w:rPr>
      </w:pPr>
      <w:r>
        <w:rPr>
          <w:b/>
          <w:sz w:val="24"/>
          <w:szCs w:val="24"/>
        </w:rPr>
        <w:t>Directive (EU) 2024/1640</w:t>
      </w:r>
      <w:r>
        <w:rPr>
          <w:sz w:val="24"/>
          <w:szCs w:val="24"/>
        </w:rPr>
        <w:t xml:space="preserve"> of the European Parliament and of the Council of 31 May 2024 on mechanisms to be put in place by Member States for the prevention of the use of the financial system for the purposes of money laundering or terrorist financing, amending Directive (EU) 2019/1937 and amending and repealing Directive (EU) 2015/849 (otherwise known as the 6th directive); </w:t>
      </w:r>
    </w:p>
    <w:p w14:paraId="3AC2A249" w14:textId="77777777" w:rsidR="00DA02FD" w:rsidRPr="000C4031" w:rsidRDefault="00DA02FD" w:rsidP="000742F2">
      <w:pPr>
        <w:pStyle w:val="Header"/>
        <w:tabs>
          <w:tab w:val="clear" w:pos="4513"/>
          <w:tab w:val="clear" w:pos="9026"/>
          <w:tab w:val="center" w:pos="4680"/>
          <w:tab w:val="right" w:pos="9360"/>
        </w:tabs>
        <w:spacing w:line="276" w:lineRule="auto"/>
        <w:ind w:left="720" w:right="48"/>
        <w:jc w:val="both"/>
        <w:rPr>
          <w:bCs/>
          <w:sz w:val="24"/>
          <w:szCs w:val="24"/>
          <w:lang w:eastAsia="x-none"/>
        </w:rPr>
      </w:pPr>
    </w:p>
    <w:p w14:paraId="57D89C1E" w14:textId="77777777" w:rsidR="00DA02FD" w:rsidRPr="000C4031" w:rsidRDefault="00DA02FD" w:rsidP="000742F2">
      <w:pPr>
        <w:pStyle w:val="Header"/>
        <w:widowControl/>
        <w:numPr>
          <w:ilvl w:val="0"/>
          <w:numId w:val="38"/>
        </w:numPr>
        <w:tabs>
          <w:tab w:val="clear" w:pos="4513"/>
          <w:tab w:val="clear" w:pos="9026"/>
          <w:tab w:val="center" w:pos="4680"/>
          <w:tab w:val="right" w:pos="9360"/>
        </w:tabs>
        <w:autoSpaceDE/>
        <w:autoSpaceDN/>
        <w:spacing w:line="276" w:lineRule="auto"/>
        <w:ind w:right="48"/>
        <w:jc w:val="both"/>
        <w:rPr>
          <w:bCs/>
          <w:sz w:val="24"/>
          <w:szCs w:val="24"/>
          <w:lang w:eastAsia="x-none"/>
        </w:rPr>
      </w:pPr>
      <w:r>
        <w:rPr>
          <w:b/>
          <w:sz w:val="24"/>
          <w:szCs w:val="24"/>
        </w:rPr>
        <w:t>Regulation (EU) 2024/1624</w:t>
      </w:r>
      <w:r>
        <w:rPr>
          <w:sz w:val="24"/>
          <w:szCs w:val="24"/>
        </w:rPr>
        <w:t xml:space="preserve"> of the European Parliament and of the Council, dated 31 May 2024, on the prevention of the use of the financial system for the purposes of money laundering or terrorist financing;</w:t>
      </w:r>
    </w:p>
    <w:p w14:paraId="2BE9FD52" w14:textId="77777777" w:rsidR="00DA02FD" w:rsidRPr="000C4031" w:rsidRDefault="00DA02FD" w:rsidP="000742F2">
      <w:pPr>
        <w:pStyle w:val="Header"/>
        <w:tabs>
          <w:tab w:val="clear" w:pos="4513"/>
          <w:tab w:val="clear" w:pos="9026"/>
          <w:tab w:val="center" w:pos="4680"/>
          <w:tab w:val="right" w:pos="9360"/>
        </w:tabs>
        <w:spacing w:line="276" w:lineRule="auto"/>
        <w:ind w:left="720" w:right="48"/>
        <w:jc w:val="both"/>
        <w:rPr>
          <w:bCs/>
          <w:sz w:val="24"/>
          <w:szCs w:val="24"/>
          <w:lang w:eastAsia="x-none"/>
        </w:rPr>
      </w:pPr>
    </w:p>
    <w:p w14:paraId="10AC4365" w14:textId="77777777" w:rsidR="00DA02FD" w:rsidRPr="000C4031" w:rsidRDefault="00DA02FD" w:rsidP="000742F2">
      <w:pPr>
        <w:pStyle w:val="Header"/>
        <w:widowControl/>
        <w:numPr>
          <w:ilvl w:val="0"/>
          <w:numId w:val="38"/>
        </w:numPr>
        <w:tabs>
          <w:tab w:val="clear" w:pos="4513"/>
          <w:tab w:val="clear" w:pos="9026"/>
          <w:tab w:val="center" w:pos="4680"/>
          <w:tab w:val="right" w:pos="9360"/>
        </w:tabs>
        <w:autoSpaceDE/>
        <w:autoSpaceDN/>
        <w:spacing w:line="276" w:lineRule="auto"/>
        <w:ind w:right="48"/>
        <w:jc w:val="both"/>
        <w:rPr>
          <w:bCs/>
          <w:sz w:val="24"/>
          <w:szCs w:val="24"/>
          <w:lang w:eastAsia="x-none"/>
        </w:rPr>
      </w:pPr>
      <w:r>
        <w:rPr>
          <w:b/>
          <w:sz w:val="24"/>
          <w:szCs w:val="24"/>
        </w:rPr>
        <w:t>Regulation (EU) 2023/1113</w:t>
      </w:r>
      <w:r>
        <w:rPr>
          <w:sz w:val="24"/>
          <w:szCs w:val="24"/>
        </w:rPr>
        <w:t xml:space="preserve"> of the European Parliament and of the Council, dated 31 May 2023, on information accompanying transfers of funds and certain crypto-assets and amending Directive (EU) 2015/849.</w:t>
      </w:r>
    </w:p>
    <w:p w14:paraId="3424165A" w14:textId="77777777" w:rsidR="00DA02FD" w:rsidRPr="000C4031" w:rsidRDefault="00DA02FD" w:rsidP="000742F2">
      <w:pPr>
        <w:pStyle w:val="ListParagraph"/>
        <w:spacing w:line="276" w:lineRule="auto"/>
        <w:rPr>
          <w:sz w:val="24"/>
          <w:szCs w:val="24"/>
        </w:rPr>
      </w:pPr>
    </w:p>
    <w:p w14:paraId="093AF79E" w14:textId="5009526F" w:rsidR="00546CD1" w:rsidRPr="000C4031" w:rsidRDefault="00546CD1" w:rsidP="000742F2">
      <w:pPr>
        <w:pStyle w:val="Header"/>
        <w:widowControl/>
        <w:numPr>
          <w:ilvl w:val="0"/>
          <w:numId w:val="38"/>
        </w:numPr>
        <w:tabs>
          <w:tab w:val="clear" w:pos="4513"/>
          <w:tab w:val="clear" w:pos="9026"/>
          <w:tab w:val="center" w:pos="4680"/>
          <w:tab w:val="right" w:pos="9360"/>
        </w:tabs>
        <w:autoSpaceDE/>
        <w:autoSpaceDN/>
        <w:spacing w:line="276" w:lineRule="auto"/>
        <w:ind w:right="48"/>
        <w:jc w:val="both"/>
        <w:rPr>
          <w:bCs/>
          <w:sz w:val="24"/>
          <w:szCs w:val="24"/>
          <w:lang w:eastAsia="x-none"/>
        </w:rPr>
      </w:pPr>
      <w:r>
        <w:rPr>
          <w:b/>
          <w:sz w:val="24"/>
          <w:szCs w:val="24"/>
        </w:rPr>
        <w:t>Regulation (EU) 2018/1672</w:t>
      </w:r>
      <w:r>
        <w:rPr>
          <w:sz w:val="24"/>
          <w:szCs w:val="24"/>
        </w:rPr>
        <w:t>, of the European Parliament and of the Council, dated 23 October 2018, “on the control of cash entering or leaving the Union”, reflecting the mechanisms for declaration/reporting, control and exchange of information on cross-border movements of cash.</w:t>
      </w:r>
    </w:p>
    <w:p w14:paraId="3854EB59" w14:textId="77777777" w:rsidR="008312E9" w:rsidRPr="000C4031" w:rsidRDefault="008312E9" w:rsidP="000742F2">
      <w:pPr>
        <w:pStyle w:val="BodyText"/>
        <w:spacing w:line="276" w:lineRule="auto"/>
        <w:ind w:right="48"/>
        <w:rPr>
          <w:sz w:val="24"/>
          <w:szCs w:val="24"/>
        </w:rPr>
      </w:pPr>
    </w:p>
    <w:p w14:paraId="6D915A73" w14:textId="407E7715" w:rsidR="00546CD1" w:rsidRPr="000C4031" w:rsidRDefault="000C4031" w:rsidP="000742F2">
      <w:pPr>
        <w:pStyle w:val="BodyText"/>
        <w:spacing w:line="276" w:lineRule="auto"/>
        <w:ind w:right="48"/>
        <w:rPr>
          <w:sz w:val="24"/>
          <w:szCs w:val="24"/>
        </w:rPr>
      </w:pPr>
      <w:r>
        <w:rPr>
          <w:sz w:val="24"/>
          <w:szCs w:val="24"/>
        </w:rPr>
        <w:t xml:space="preserve">These legislative amendments also aim to align the national framework with updated FATF recommendations and address the findings/recommendations of MONEYVAL, particularly </w:t>
      </w:r>
      <w:r>
        <w:rPr>
          <w:sz w:val="24"/>
          <w:szCs w:val="24"/>
        </w:rPr>
        <w:lastRenderedPageBreak/>
        <w:t>regarding transparency, traceability, and inter-institutional cooperation;</w:t>
      </w:r>
    </w:p>
    <w:p w14:paraId="6E5669CB" w14:textId="4B380BA0" w:rsidR="00546CD1" w:rsidRPr="000C4031" w:rsidRDefault="00546CD1" w:rsidP="000742F2">
      <w:pPr>
        <w:pStyle w:val="BodyText"/>
        <w:spacing w:line="276" w:lineRule="auto"/>
        <w:ind w:right="48"/>
        <w:rPr>
          <w:sz w:val="24"/>
          <w:szCs w:val="24"/>
        </w:rPr>
      </w:pPr>
      <w:r>
        <w:rPr>
          <w:sz w:val="24"/>
          <w:szCs w:val="24"/>
        </w:rPr>
        <w:t>Strengthening the analytical, coordinating, and information-sharing role of the Financial Intelligence Agency, as the central financial intelligence unit;</w:t>
      </w:r>
    </w:p>
    <w:p w14:paraId="2DEC2668" w14:textId="64DB46CD" w:rsidR="00546CD1" w:rsidRPr="000C4031" w:rsidRDefault="00546CD1" w:rsidP="000742F2">
      <w:pPr>
        <w:pStyle w:val="BodyText"/>
        <w:spacing w:line="276" w:lineRule="auto"/>
        <w:ind w:right="48"/>
        <w:rPr>
          <w:sz w:val="24"/>
          <w:szCs w:val="24"/>
        </w:rPr>
      </w:pPr>
      <w:r>
        <w:rPr>
          <w:sz w:val="24"/>
          <w:szCs w:val="24"/>
        </w:rPr>
        <w:t>Increasing the transparency of beneficial ownership and improving the quality of information supporting financial and criminal investigations;</w:t>
      </w:r>
    </w:p>
    <w:p w14:paraId="6DE668DF" w14:textId="1440512E" w:rsidR="00546CD1" w:rsidRPr="000C4031" w:rsidRDefault="00546CD1" w:rsidP="000742F2">
      <w:pPr>
        <w:pStyle w:val="BodyText"/>
        <w:spacing w:line="276" w:lineRule="auto"/>
        <w:ind w:right="48"/>
        <w:rPr>
          <w:sz w:val="24"/>
          <w:szCs w:val="24"/>
        </w:rPr>
      </w:pPr>
      <w:r>
        <w:rPr>
          <w:sz w:val="24"/>
          <w:szCs w:val="24"/>
        </w:rPr>
        <w:t>Strengthening mechanisms for the implementation of restrictive measures, as well as for the freezing/blocking of funds and assets, in accordance with international standards;</w:t>
      </w:r>
    </w:p>
    <w:p w14:paraId="57E3206C" w14:textId="136D5825" w:rsidR="00546CD1" w:rsidRPr="000C4031" w:rsidRDefault="00546CD1" w:rsidP="000742F2">
      <w:pPr>
        <w:pStyle w:val="BodyText"/>
        <w:spacing w:line="276" w:lineRule="auto"/>
        <w:ind w:right="48"/>
        <w:rPr>
          <w:sz w:val="24"/>
          <w:szCs w:val="24"/>
        </w:rPr>
      </w:pPr>
      <w:r>
        <w:rPr>
          <w:sz w:val="24"/>
          <w:szCs w:val="24"/>
        </w:rPr>
        <w:t>Increasing the effectiveness of inter-institutional and international cooperation, through standardized mechanisms for reporting, information exchange, and risk management.</w:t>
      </w:r>
    </w:p>
    <w:p w14:paraId="4F0063FE" w14:textId="77777777" w:rsidR="008312E9" w:rsidRPr="000C4031" w:rsidRDefault="008312E9" w:rsidP="000742F2">
      <w:pPr>
        <w:pStyle w:val="BodyText"/>
        <w:spacing w:line="276" w:lineRule="auto"/>
        <w:ind w:right="48"/>
        <w:rPr>
          <w:sz w:val="24"/>
          <w:szCs w:val="24"/>
        </w:rPr>
      </w:pPr>
    </w:p>
    <w:p w14:paraId="70520F8A" w14:textId="1B3B5A35" w:rsidR="00D24F12" w:rsidRPr="000C4031" w:rsidRDefault="00546CD1" w:rsidP="000742F2">
      <w:pPr>
        <w:pStyle w:val="BodyText"/>
        <w:spacing w:line="276" w:lineRule="auto"/>
        <w:ind w:right="48"/>
        <w:rPr>
          <w:sz w:val="24"/>
          <w:szCs w:val="24"/>
        </w:rPr>
      </w:pPr>
      <w:r>
        <w:rPr>
          <w:sz w:val="24"/>
          <w:szCs w:val="24"/>
        </w:rPr>
        <w:t>Overall, the draft law aims to reduce the risk of using the financial system, cryptoasset markets, and cross-border movements of physical money for criminal purposes, by increasing the effectiveness of the preventive system and supporting the process of European integration.</w:t>
      </w:r>
    </w:p>
    <w:p w14:paraId="149542AE" w14:textId="77777777" w:rsidR="008312E9" w:rsidRPr="000C4031" w:rsidRDefault="008312E9" w:rsidP="000742F2">
      <w:pPr>
        <w:pStyle w:val="BodyText"/>
        <w:spacing w:line="276" w:lineRule="auto"/>
        <w:ind w:right="48"/>
        <w:jc w:val="left"/>
        <w:rPr>
          <w:sz w:val="24"/>
          <w:szCs w:val="24"/>
        </w:rPr>
      </w:pPr>
    </w:p>
    <w:p w14:paraId="46C99390" w14:textId="6252CA3E" w:rsidR="001E24BA" w:rsidRPr="000C4031" w:rsidRDefault="00E94EBD" w:rsidP="000742F2">
      <w:pPr>
        <w:pStyle w:val="ListParagraph"/>
        <w:numPr>
          <w:ilvl w:val="0"/>
          <w:numId w:val="1"/>
        </w:numPr>
        <w:tabs>
          <w:tab w:val="left" w:pos="0"/>
        </w:tabs>
        <w:spacing w:line="276" w:lineRule="auto"/>
        <w:ind w:left="0" w:right="48" w:firstLine="0"/>
        <w:jc w:val="both"/>
        <w:rPr>
          <w:b/>
          <w:sz w:val="24"/>
          <w:szCs w:val="24"/>
        </w:rPr>
      </w:pPr>
      <w:r>
        <w:rPr>
          <w:b/>
          <w:sz w:val="24"/>
          <w:szCs w:val="24"/>
        </w:rPr>
        <w:t>ASSESSMENT OF THE DRAFT ACT IN RELATION TO THE POLITICAL PROGRAM OF THE COUNCIL OF MINISTERS, THE ANALYTICAL PROGRAM OF ACTS AND OTHER POLITICAL DOCUMENTS</w:t>
      </w:r>
    </w:p>
    <w:p w14:paraId="1D258AC9" w14:textId="77777777" w:rsidR="00005984" w:rsidRPr="000C4031" w:rsidRDefault="00005984" w:rsidP="000742F2">
      <w:pPr>
        <w:pStyle w:val="ListParagraph"/>
        <w:tabs>
          <w:tab w:val="left" w:pos="0"/>
        </w:tabs>
        <w:spacing w:line="276" w:lineRule="auto"/>
        <w:ind w:left="0" w:right="48" w:firstLine="0"/>
        <w:rPr>
          <w:b/>
          <w:sz w:val="24"/>
          <w:szCs w:val="24"/>
        </w:rPr>
      </w:pPr>
    </w:p>
    <w:p w14:paraId="67566DB2" w14:textId="77777777" w:rsidR="00D24F12" w:rsidRPr="000C4031" w:rsidRDefault="00D24F12" w:rsidP="000742F2">
      <w:pPr>
        <w:pStyle w:val="BodyText"/>
        <w:tabs>
          <w:tab w:val="left" w:pos="0"/>
        </w:tabs>
        <w:spacing w:line="276" w:lineRule="auto"/>
        <w:ind w:right="48"/>
        <w:rPr>
          <w:sz w:val="24"/>
          <w:szCs w:val="24"/>
        </w:rPr>
      </w:pPr>
      <w:r>
        <w:rPr>
          <w:sz w:val="24"/>
          <w:szCs w:val="24"/>
        </w:rPr>
        <w:t>The draft law is in accordance with the Government’s Political Program 2025–2029, within the framework of commitments to accelerate the process of European integration and strengthen the rule of law.</w:t>
      </w:r>
    </w:p>
    <w:p w14:paraId="79BB4257" w14:textId="77777777" w:rsidR="00D24F12" w:rsidRPr="000C4031" w:rsidRDefault="00D24F12" w:rsidP="000742F2">
      <w:pPr>
        <w:pStyle w:val="BodyText"/>
        <w:tabs>
          <w:tab w:val="left" w:pos="0"/>
        </w:tabs>
        <w:spacing w:line="276" w:lineRule="auto"/>
        <w:ind w:right="48"/>
        <w:rPr>
          <w:sz w:val="24"/>
          <w:szCs w:val="24"/>
        </w:rPr>
      </w:pPr>
      <w:r>
        <w:rPr>
          <w:sz w:val="24"/>
          <w:szCs w:val="24"/>
        </w:rPr>
        <w:t>This draft law is prepared in the framework of fulfilling the obligations arising from the process of harmonizing the national legal framework with the acquis of the European Union, within Chapter 4 “Free movement of capital”, Section 4.3 “Fight against money laundering and terrorist financing”.</w:t>
      </w:r>
    </w:p>
    <w:p w14:paraId="1FED0D67" w14:textId="77777777" w:rsidR="00D24F12" w:rsidRPr="000C4031" w:rsidRDefault="00D24F12" w:rsidP="000742F2">
      <w:pPr>
        <w:pStyle w:val="BodyText"/>
        <w:tabs>
          <w:tab w:val="left" w:pos="0"/>
        </w:tabs>
        <w:spacing w:line="276" w:lineRule="auto"/>
        <w:ind w:right="48"/>
        <w:rPr>
          <w:sz w:val="24"/>
          <w:szCs w:val="24"/>
        </w:rPr>
      </w:pPr>
      <w:r>
        <w:rPr>
          <w:sz w:val="24"/>
          <w:szCs w:val="24"/>
        </w:rPr>
        <w:t>Chapter 4 is led by the Bank of Albania, while the Financial Intelligence Agency is an institution with a key role in fulfilling the closing benchmarks of this chapter.</w:t>
      </w:r>
    </w:p>
    <w:p w14:paraId="6427DD64" w14:textId="77777777" w:rsidR="00D24F12" w:rsidRPr="000C4031" w:rsidRDefault="00D24F12" w:rsidP="000742F2">
      <w:pPr>
        <w:pStyle w:val="BodyText"/>
        <w:tabs>
          <w:tab w:val="left" w:pos="0"/>
        </w:tabs>
        <w:spacing w:line="276" w:lineRule="auto"/>
        <w:ind w:right="48"/>
        <w:rPr>
          <w:sz w:val="24"/>
          <w:szCs w:val="24"/>
        </w:rPr>
      </w:pPr>
      <w:r>
        <w:rPr>
          <w:sz w:val="24"/>
          <w:szCs w:val="24"/>
        </w:rPr>
        <w:t>The draft law contributes directly to:</w:t>
      </w:r>
    </w:p>
    <w:p w14:paraId="68652F46" w14:textId="77777777" w:rsidR="00D24F12" w:rsidRPr="000C4031" w:rsidRDefault="00D24F12" w:rsidP="000742F2">
      <w:pPr>
        <w:pStyle w:val="BodyText"/>
        <w:numPr>
          <w:ilvl w:val="0"/>
          <w:numId w:val="2"/>
        </w:numPr>
        <w:tabs>
          <w:tab w:val="clear" w:pos="720"/>
          <w:tab w:val="left" w:pos="0"/>
          <w:tab w:val="left" w:pos="360"/>
          <w:tab w:val="num" w:pos="540"/>
        </w:tabs>
        <w:spacing w:line="276" w:lineRule="auto"/>
        <w:ind w:left="0" w:right="48" w:firstLine="0"/>
        <w:rPr>
          <w:sz w:val="24"/>
          <w:szCs w:val="24"/>
        </w:rPr>
      </w:pPr>
      <w:r>
        <w:rPr>
          <w:sz w:val="24"/>
          <w:szCs w:val="24"/>
        </w:rPr>
        <w:t>the fulfillment of the negotiation obligations for Chapter 4;</w:t>
      </w:r>
    </w:p>
    <w:p w14:paraId="0CD38A7E" w14:textId="77777777" w:rsidR="00D24F12" w:rsidRPr="000C4031" w:rsidRDefault="00D24F12" w:rsidP="000742F2">
      <w:pPr>
        <w:pStyle w:val="BodyText"/>
        <w:numPr>
          <w:ilvl w:val="0"/>
          <w:numId w:val="2"/>
        </w:numPr>
        <w:tabs>
          <w:tab w:val="clear" w:pos="720"/>
          <w:tab w:val="left" w:pos="0"/>
          <w:tab w:val="left" w:pos="360"/>
          <w:tab w:val="num" w:pos="540"/>
        </w:tabs>
        <w:spacing w:line="276" w:lineRule="auto"/>
        <w:ind w:left="0" w:right="48" w:firstLine="0"/>
        <w:rPr>
          <w:sz w:val="24"/>
          <w:szCs w:val="24"/>
        </w:rPr>
      </w:pPr>
      <w:r>
        <w:rPr>
          <w:sz w:val="24"/>
          <w:szCs w:val="24"/>
        </w:rPr>
        <w:t>improvement of effectiveness indicators according to the FATF methodology;</w:t>
      </w:r>
    </w:p>
    <w:p w14:paraId="2A74B321" w14:textId="77777777" w:rsidR="00D24F12" w:rsidRPr="000C4031" w:rsidRDefault="00D24F12" w:rsidP="000742F2">
      <w:pPr>
        <w:pStyle w:val="BodyText"/>
        <w:numPr>
          <w:ilvl w:val="0"/>
          <w:numId w:val="2"/>
        </w:numPr>
        <w:tabs>
          <w:tab w:val="clear" w:pos="720"/>
          <w:tab w:val="left" w:pos="0"/>
          <w:tab w:val="left" w:pos="360"/>
          <w:tab w:val="num" w:pos="540"/>
        </w:tabs>
        <w:spacing w:line="276" w:lineRule="auto"/>
        <w:ind w:left="0" w:right="48" w:firstLine="0"/>
        <w:rPr>
          <w:sz w:val="24"/>
          <w:szCs w:val="24"/>
        </w:rPr>
      </w:pPr>
      <w:r>
        <w:rPr>
          <w:sz w:val="24"/>
          <w:szCs w:val="24"/>
        </w:rPr>
        <w:t>increasing technical compliance with international standards;</w:t>
      </w:r>
    </w:p>
    <w:p w14:paraId="5A08CB09" w14:textId="77777777" w:rsidR="00D24F12" w:rsidRPr="000C4031" w:rsidRDefault="00D24F12" w:rsidP="000742F2">
      <w:pPr>
        <w:pStyle w:val="BodyText"/>
        <w:numPr>
          <w:ilvl w:val="0"/>
          <w:numId w:val="2"/>
        </w:numPr>
        <w:tabs>
          <w:tab w:val="clear" w:pos="720"/>
          <w:tab w:val="left" w:pos="0"/>
          <w:tab w:val="left" w:pos="360"/>
          <w:tab w:val="num" w:pos="540"/>
        </w:tabs>
        <w:spacing w:line="276" w:lineRule="auto"/>
        <w:ind w:left="0" w:right="48" w:firstLine="0"/>
        <w:rPr>
          <w:sz w:val="24"/>
          <w:szCs w:val="24"/>
        </w:rPr>
      </w:pPr>
      <w:r>
        <w:rPr>
          <w:sz w:val="24"/>
          <w:szCs w:val="24"/>
        </w:rPr>
        <w:t>avoiding exposure to restrictive measures or negative international assessments.</w:t>
      </w:r>
    </w:p>
    <w:p w14:paraId="3A7AF265" w14:textId="77777777" w:rsidR="00500057" w:rsidRPr="000C4031" w:rsidRDefault="00500057" w:rsidP="000742F2">
      <w:pPr>
        <w:pStyle w:val="BodyText"/>
        <w:tabs>
          <w:tab w:val="left" w:pos="0"/>
        </w:tabs>
        <w:spacing w:line="276" w:lineRule="auto"/>
        <w:ind w:right="48"/>
        <w:rPr>
          <w:sz w:val="24"/>
          <w:szCs w:val="24"/>
        </w:rPr>
      </w:pPr>
    </w:p>
    <w:p w14:paraId="1BE20431" w14:textId="10201DE4" w:rsidR="00AE4159" w:rsidRPr="000C4031" w:rsidRDefault="00E94EBD" w:rsidP="000742F2">
      <w:pPr>
        <w:pStyle w:val="ListParagraph"/>
        <w:numPr>
          <w:ilvl w:val="0"/>
          <w:numId w:val="1"/>
        </w:numPr>
        <w:tabs>
          <w:tab w:val="left" w:pos="0"/>
        </w:tabs>
        <w:spacing w:line="276" w:lineRule="auto"/>
        <w:ind w:left="0" w:right="48" w:firstLine="0"/>
        <w:jc w:val="both"/>
        <w:rPr>
          <w:b/>
          <w:sz w:val="24"/>
          <w:szCs w:val="24"/>
        </w:rPr>
      </w:pPr>
      <w:r>
        <w:rPr>
          <w:b/>
          <w:sz w:val="24"/>
          <w:szCs w:val="24"/>
        </w:rPr>
        <w:t>ARGUMENTATION OF THE DRAFT ACT REGARDING PRIORITIES, ISSUES, EXPECTED EFFECTS</w:t>
      </w:r>
    </w:p>
    <w:p w14:paraId="3B275CD1" w14:textId="77777777" w:rsidR="00004E5E" w:rsidRPr="000C4031" w:rsidRDefault="00004E5E" w:rsidP="000742F2">
      <w:pPr>
        <w:pStyle w:val="ListParagraph"/>
        <w:tabs>
          <w:tab w:val="left" w:pos="0"/>
        </w:tabs>
        <w:spacing w:line="276" w:lineRule="auto"/>
        <w:ind w:left="0" w:right="48" w:firstLine="0"/>
        <w:rPr>
          <w:b/>
          <w:sz w:val="24"/>
          <w:szCs w:val="24"/>
        </w:rPr>
      </w:pPr>
    </w:p>
    <w:p w14:paraId="2041676B" w14:textId="4CB5F8A0" w:rsidR="00004E5E" w:rsidRPr="000C4031" w:rsidRDefault="00AE4159" w:rsidP="000742F2">
      <w:pPr>
        <w:pStyle w:val="ListParagraph"/>
        <w:numPr>
          <w:ilvl w:val="0"/>
          <w:numId w:val="40"/>
        </w:numPr>
        <w:tabs>
          <w:tab w:val="left" w:pos="0"/>
        </w:tabs>
        <w:spacing w:line="276" w:lineRule="auto"/>
        <w:ind w:right="48"/>
        <w:rPr>
          <w:b/>
          <w:bCs/>
          <w:sz w:val="24"/>
          <w:szCs w:val="24"/>
        </w:rPr>
      </w:pPr>
      <w:r>
        <w:rPr>
          <w:b/>
          <w:bCs/>
          <w:sz w:val="24"/>
          <w:szCs w:val="24"/>
        </w:rPr>
        <w:t>Issues addressed by the draft law</w:t>
      </w:r>
    </w:p>
    <w:p w14:paraId="7145D2A9" w14:textId="77777777" w:rsidR="003A31F4" w:rsidRPr="000C4031" w:rsidRDefault="003A31F4" w:rsidP="000742F2">
      <w:pPr>
        <w:pStyle w:val="ListParagraph"/>
        <w:tabs>
          <w:tab w:val="left" w:pos="0"/>
        </w:tabs>
        <w:spacing w:line="276" w:lineRule="auto"/>
        <w:ind w:left="720" w:right="48" w:firstLine="0"/>
        <w:rPr>
          <w:b/>
          <w:bCs/>
          <w:sz w:val="24"/>
          <w:szCs w:val="24"/>
        </w:rPr>
      </w:pPr>
    </w:p>
    <w:p w14:paraId="523B138D" w14:textId="77777777" w:rsidR="00AE4159" w:rsidRPr="000C4031" w:rsidRDefault="00AE4159" w:rsidP="000742F2">
      <w:pPr>
        <w:pStyle w:val="ListParagraph"/>
        <w:tabs>
          <w:tab w:val="left" w:pos="0"/>
        </w:tabs>
        <w:spacing w:line="276" w:lineRule="auto"/>
        <w:ind w:left="0" w:right="48" w:firstLine="0"/>
        <w:rPr>
          <w:sz w:val="24"/>
          <w:szCs w:val="24"/>
        </w:rPr>
      </w:pPr>
      <w:r>
        <w:rPr>
          <w:sz w:val="24"/>
          <w:szCs w:val="24"/>
        </w:rPr>
        <w:t>The current legal framework, built on Law No. 9917/2008, as amended, does not fully reflect the latest developments in the European and international AML/CFT architecture. In particular:</w:t>
      </w:r>
    </w:p>
    <w:p w14:paraId="3F69E5F5" w14:textId="77777777" w:rsidR="00AE4159" w:rsidRPr="000C4031" w:rsidRDefault="00AE4159" w:rsidP="000742F2">
      <w:pPr>
        <w:pStyle w:val="ListParagraph"/>
        <w:numPr>
          <w:ilvl w:val="0"/>
          <w:numId w:val="33"/>
        </w:numPr>
        <w:tabs>
          <w:tab w:val="left" w:pos="0"/>
        </w:tabs>
        <w:spacing w:line="276" w:lineRule="auto"/>
        <w:ind w:left="0" w:right="48" w:firstLine="0"/>
        <w:rPr>
          <w:sz w:val="24"/>
          <w:szCs w:val="24"/>
        </w:rPr>
      </w:pPr>
      <w:r>
        <w:rPr>
          <w:sz w:val="24"/>
          <w:szCs w:val="24"/>
        </w:rPr>
        <w:t>It does not reflect the new European Union reform in the field of AML/CFT (the new legislative package and the increased role of the joint European mechanisms).</w:t>
      </w:r>
    </w:p>
    <w:p w14:paraId="5CA7CAC2" w14:textId="77777777" w:rsidR="00AE4159" w:rsidRPr="000C4031" w:rsidRDefault="00AE4159" w:rsidP="000742F2">
      <w:pPr>
        <w:pStyle w:val="ListParagraph"/>
        <w:numPr>
          <w:ilvl w:val="0"/>
          <w:numId w:val="33"/>
        </w:numPr>
        <w:tabs>
          <w:tab w:val="left" w:pos="0"/>
        </w:tabs>
        <w:spacing w:line="276" w:lineRule="auto"/>
        <w:ind w:left="0" w:right="48" w:firstLine="0"/>
        <w:rPr>
          <w:sz w:val="24"/>
          <w:szCs w:val="24"/>
        </w:rPr>
      </w:pPr>
      <w:r>
        <w:rPr>
          <w:sz w:val="24"/>
          <w:szCs w:val="24"/>
        </w:rPr>
        <w:t xml:space="preserve">It does not fully integrate the updated FATF standards, including the increased </w:t>
      </w:r>
      <w:r>
        <w:rPr>
          <w:sz w:val="24"/>
          <w:szCs w:val="24"/>
        </w:rPr>
        <w:lastRenderedPageBreak/>
        <w:t>emphasis on the risk-based approach, transparency of beneficial ownership, targeted financial sanctions, and risks associated with new financial technologies.</w:t>
      </w:r>
    </w:p>
    <w:p w14:paraId="2C1A5DC1" w14:textId="77777777" w:rsidR="00AE4159" w:rsidRPr="000C4031" w:rsidRDefault="00AE4159" w:rsidP="000742F2">
      <w:pPr>
        <w:pStyle w:val="ListParagraph"/>
        <w:numPr>
          <w:ilvl w:val="0"/>
          <w:numId w:val="33"/>
        </w:numPr>
        <w:tabs>
          <w:tab w:val="left" w:pos="0"/>
        </w:tabs>
        <w:spacing w:line="276" w:lineRule="auto"/>
        <w:ind w:left="0" w:right="48" w:firstLine="0"/>
        <w:rPr>
          <w:sz w:val="24"/>
          <w:szCs w:val="24"/>
        </w:rPr>
      </w:pPr>
      <w:r>
        <w:rPr>
          <w:sz w:val="24"/>
          <w:szCs w:val="24"/>
        </w:rPr>
        <w:t>It does not sufficiently address the increasing complexity of legal structures, the use of crypto-assets, and cross-border risks.</w:t>
      </w:r>
    </w:p>
    <w:p w14:paraId="0A8B7076" w14:textId="77777777" w:rsidR="00AE4159" w:rsidRPr="000C4031" w:rsidRDefault="00AE4159" w:rsidP="000742F2">
      <w:pPr>
        <w:pStyle w:val="ListParagraph"/>
        <w:numPr>
          <w:ilvl w:val="0"/>
          <w:numId w:val="33"/>
        </w:numPr>
        <w:tabs>
          <w:tab w:val="left" w:pos="0"/>
        </w:tabs>
        <w:spacing w:line="276" w:lineRule="auto"/>
        <w:ind w:left="0" w:right="48" w:firstLine="0"/>
        <w:rPr>
          <w:sz w:val="24"/>
          <w:szCs w:val="24"/>
        </w:rPr>
      </w:pPr>
      <w:r>
        <w:rPr>
          <w:sz w:val="24"/>
          <w:szCs w:val="24"/>
        </w:rPr>
        <w:t>It presents normative fragmentation between the provisions of the law, bylaws, and supervisory practice, creating spaces for interpretation and legal uncertainty.</w:t>
      </w:r>
    </w:p>
    <w:p w14:paraId="22660CF3" w14:textId="77777777" w:rsidR="00AE4159" w:rsidRPr="000C4031" w:rsidRDefault="00AE4159" w:rsidP="000742F2">
      <w:pPr>
        <w:pStyle w:val="ListParagraph"/>
        <w:tabs>
          <w:tab w:val="left" w:pos="0"/>
        </w:tabs>
        <w:spacing w:line="276" w:lineRule="auto"/>
        <w:ind w:left="0" w:right="48" w:firstLine="0"/>
        <w:rPr>
          <w:sz w:val="24"/>
          <w:szCs w:val="24"/>
        </w:rPr>
      </w:pPr>
      <w:r>
        <w:rPr>
          <w:sz w:val="24"/>
          <w:szCs w:val="24"/>
        </w:rPr>
        <w:t>In this context, legal intervention is necessary to ensure systemic coherence, normative clarity, and full alignment with international standards.</w:t>
      </w:r>
    </w:p>
    <w:p w14:paraId="400B94F4" w14:textId="70021483" w:rsidR="00AE4159" w:rsidRPr="000C4031" w:rsidRDefault="00AE4159" w:rsidP="000742F2">
      <w:pPr>
        <w:pStyle w:val="ListParagraph"/>
        <w:tabs>
          <w:tab w:val="left" w:pos="0"/>
        </w:tabs>
        <w:spacing w:line="276" w:lineRule="auto"/>
        <w:ind w:left="0" w:right="48" w:firstLine="0"/>
        <w:rPr>
          <w:sz w:val="24"/>
          <w:szCs w:val="24"/>
        </w:rPr>
      </w:pPr>
    </w:p>
    <w:p w14:paraId="175E23D8" w14:textId="77777777" w:rsidR="00AE4159" w:rsidRPr="000C4031" w:rsidRDefault="00AE4159" w:rsidP="000742F2">
      <w:pPr>
        <w:pStyle w:val="ListParagraph"/>
        <w:tabs>
          <w:tab w:val="left" w:pos="0"/>
        </w:tabs>
        <w:spacing w:line="276" w:lineRule="auto"/>
        <w:ind w:left="0" w:right="48" w:firstLine="0"/>
        <w:rPr>
          <w:b/>
          <w:bCs/>
          <w:sz w:val="24"/>
          <w:szCs w:val="24"/>
        </w:rPr>
      </w:pPr>
      <w:r>
        <w:rPr>
          <w:b/>
          <w:bCs/>
          <w:sz w:val="24"/>
          <w:szCs w:val="24"/>
        </w:rPr>
        <w:t>2. Purpose and strategic orientation of the draft law</w:t>
      </w:r>
    </w:p>
    <w:p w14:paraId="1191C8B9" w14:textId="77777777" w:rsidR="00AE4159" w:rsidRPr="000C4031" w:rsidRDefault="00AE4159" w:rsidP="000742F2">
      <w:pPr>
        <w:pStyle w:val="ListParagraph"/>
        <w:tabs>
          <w:tab w:val="left" w:pos="0"/>
        </w:tabs>
        <w:spacing w:line="276" w:lineRule="auto"/>
        <w:ind w:left="0" w:right="48" w:firstLine="0"/>
        <w:rPr>
          <w:sz w:val="24"/>
          <w:szCs w:val="24"/>
        </w:rPr>
      </w:pPr>
      <w:r>
        <w:rPr>
          <w:sz w:val="24"/>
          <w:szCs w:val="24"/>
        </w:rPr>
        <w:t>The draft law aims to establish a new, integrated, and harmonised framework with:</w:t>
      </w:r>
    </w:p>
    <w:p w14:paraId="04BDB5DB" w14:textId="75999E64" w:rsidR="00025C27" w:rsidRPr="000C4031" w:rsidRDefault="00025C27" w:rsidP="000742F2">
      <w:pPr>
        <w:pStyle w:val="ListParagraph"/>
        <w:numPr>
          <w:ilvl w:val="1"/>
          <w:numId w:val="34"/>
        </w:numPr>
        <w:tabs>
          <w:tab w:val="clear" w:pos="1440"/>
          <w:tab w:val="left" w:pos="0"/>
          <w:tab w:val="num" w:pos="450"/>
        </w:tabs>
        <w:spacing w:line="276" w:lineRule="auto"/>
        <w:ind w:left="0" w:right="48" w:firstLine="0"/>
        <w:rPr>
          <w:sz w:val="24"/>
          <w:szCs w:val="24"/>
        </w:rPr>
      </w:pPr>
      <w:r>
        <w:rPr>
          <w:sz w:val="24"/>
          <w:szCs w:val="24"/>
        </w:rPr>
        <w:t>The regulatory framework of the European Union in the area of physical money control, traceability of transfers, and supervision of financial service providers and crypto-assets as follows:</w:t>
      </w:r>
    </w:p>
    <w:p w14:paraId="0620A74C" w14:textId="77777777" w:rsidR="006C0875" w:rsidRPr="000C4031" w:rsidRDefault="006C0875" w:rsidP="000742F2">
      <w:pPr>
        <w:pStyle w:val="Header"/>
        <w:widowControl/>
        <w:tabs>
          <w:tab w:val="center" w:pos="4680"/>
          <w:tab w:val="right" w:pos="9360"/>
        </w:tabs>
        <w:autoSpaceDE/>
        <w:autoSpaceDN/>
        <w:spacing w:line="276" w:lineRule="auto"/>
        <w:ind w:left="360" w:right="48"/>
        <w:jc w:val="both"/>
        <w:rPr>
          <w:sz w:val="24"/>
          <w:szCs w:val="24"/>
        </w:rPr>
      </w:pPr>
      <w:r>
        <w:rPr>
          <w:sz w:val="24"/>
          <w:szCs w:val="24"/>
        </w:rPr>
        <w:t xml:space="preserve">- Directive (EU) 2024/1640 of the European Parliament and of the Council of 31 May 2024 on the mechanisms to be put in place by Member States for the prevention of the use of the financial system for the purposes of money laundering or terrorist financing, amending Directive (EU) 2019/1937 and amending and repealing Directive (EU) 2015/849 (otherwise known as the 6th directive); </w:t>
      </w:r>
    </w:p>
    <w:p w14:paraId="419568E7" w14:textId="5372477B" w:rsidR="006C0875" w:rsidRPr="000C4031" w:rsidRDefault="006C0875" w:rsidP="000742F2">
      <w:pPr>
        <w:pStyle w:val="Header"/>
        <w:widowControl/>
        <w:tabs>
          <w:tab w:val="center" w:pos="4680"/>
          <w:tab w:val="right" w:pos="9360"/>
        </w:tabs>
        <w:autoSpaceDE/>
        <w:autoSpaceDN/>
        <w:spacing w:line="276" w:lineRule="auto"/>
        <w:ind w:left="360" w:right="48"/>
        <w:jc w:val="both"/>
        <w:rPr>
          <w:bCs/>
          <w:sz w:val="24"/>
          <w:szCs w:val="24"/>
          <w:lang w:eastAsia="x-none"/>
        </w:rPr>
      </w:pPr>
      <w:r>
        <w:rPr>
          <w:sz w:val="24"/>
          <w:szCs w:val="24"/>
        </w:rPr>
        <w:t>- Regulation (EU) 2024/1624 of the European Parliament and of the Council of 31 May 2024 on the prevention of the use of the financial system for the purposes of money laundering or terrorist financing;</w:t>
      </w:r>
    </w:p>
    <w:p w14:paraId="6CF79253" w14:textId="2F86178F" w:rsidR="006C0875" w:rsidRPr="000C4031" w:rsidRDefault="006C0875" w:rsidP="000742F2">
      <w:pPr>
        <w:pStyle w:val="Header"/>
        <w:widowControl/>
        <w:tabs>
          <w:tab w:val="clear" w:pos="4513"/>
          <w:tab w:val="clear" w:pos="9026"/>
          <w:tab w:val="center" w:pos="4680"/>
          <w:tab w:val="right" w:pos="9360"/>
        </w:tabs>
        <w:autoSpaceDE/>
        <w:autoSpaceDN/>
        <w:spacing w:line="276" w:lineRule="auto"/>
        <w:ind w:left="360" w:right="48"/>
        <w:jc w:val="both"/>
        <w:rPr>
          <w:bCs/>
          <w:sz w:val="24"/>
          <w:szCs w:val="24"/>
          <w:lang w:eastAsia="x-none"/>
        </w:rPr>
      </w:pPr>
      <w:r>
        <w:rPr>
          <w:sz w:val="24"/>
          <w:szCs w:val="24"/>
        </w:rPr>
        <w:t>- Regulation (EU) 2023/1113 of the European Parliament and of the Council of 31 May 2023 on information accompanying transfers of funds and certain crypto-assets and amending Directive (EU) 2015/849.</w:t>
      </w:r>
    </w:p>
    <w:p w14:paraId="7B607B2E" w14:textId="16367D50" w:rsidR="006C0875" w:rsidRPr="000C4031" w:rsidRDefault="006C0875" w:rsidP="000742F2">
      <w:pPr>
        <w:pStyle w:val="Header"/>
        <w:widowControl/>
        <w:tabs>
          <w:tab w:val="clear" w:pos="4513"/>
          <w:tab w:val="clear" w:pos="9026"/>
          <w:tab w:val="center" w:pos="4680"/>
          <w:tab w:val="right" w:pos="9360"/>
        </w:tabs>
        <w:autoSpaceDE/>
        <w:autoSpaceDN/>
        <w:spacing w:line="276" w:lineRule="auto"/>
        <w:ind w:left="360" w:right="48"/>
        <w:jc w:val="both"/>
        <w:rPr>
          <w:bCs/>
          <w:sz w:val="24"/>
          <w:szCs w:val="24"/>
          <w:lang w:eastAsia="x-none"/>
        </w:rPr>
      </w:pPr>
      <w:r>
        <w:rPr>
          <w:sz w:val="24"/>
          <w:szCs w:val="24"/>
        </w:rPr>
        <w:t>- Regulation (EU) 2018/1672 of the European Parliament and of the Council of 23 October 2018 “on the control of cash entering or leaving the Union”, reflecting the mechanisms for declaration/reporting, control and exchange of information on cross-border movements of cash.</w:t>
      </w:r>
    </w:p>
    <w:p w14:paraId="38EAD9E4" w14:textId="441D7980" w:rsidR="007647DE" w:rsidRPr="000C4031" w:rsidRDefault="007647DE" w:rsidP="000742F2">
      <w:pPr>
        <w:pStyle w:val="ListParagraph"/>
        <w:numPr>
          <w:ilvl w:val="0"/>
          <w:numId w:val="41"/>
        </w:numPr>
        <w:tabs>
          <w:tab w:val="left" w:pos="0"/>
        </w:tabs>
        <w:spacing w:line="276" w:lineRule="auto"/>
        <w:ind w:left="0" w:right="48" w:firstLine="0"/>
        <w:rPr>
          <w:sz w:val="24"/>
          <w:szCs w:val="24"/>
        </w:rPr>
      </w:pPr>
      <w:r>
        <w:rPr>
          <w:sz w:val="24"/>
          <w:szCs w:val="24"/>
        </w:rPr>
        <w:t>As well as compliance with the FATF recommendations, focusing on those recommendations that have undergone changes in recent years, specifically:</w:t>
      </w:r>
    </w:p>
    <w:p w14:paraId="20CE1DFA" w14:textId="05F2D06A" w:rsidR="00AE4159" w:rsidRPr="000C4031" w:rsidRDefault="009C0F14" w:rsidP="000742F2">
      <w:pPr>
        <w:pStyle w:val="ListParagraph"/>
        <w:tabs>
          <w:tab w:val="left" w:pos="0"/>
        </w:tabs>
        <w:spacing w:line="276" w:lineRule="auto"/>
        <w:ind w:left="450" w:right="48" w:firstLine="0"/>
        <w:rPr>
          <w:sz w:val="24"/>
          <w:szCs w:val="24"/>
        </w:rPr>
      </w:pPr>
      <w:r>
        <w:rPr>
          <w:sz w:val="24"/>
          <w:szCs w:val="24"/>
        </w:rPr>
        <w:t>- The FATF recommendations, in particular:</w:t>
      </w:r>
    </w:p>
    <w:p w14:paraId="1E60BF36" w14:textId="2BDCE21A" w:rsidR="00AE4159" w:rsidRPr="000C4031" w:rsidRDefault="009C0F14" w:rsidP="000742F2">
      <w:pPr>
        <w:pStyle w:val="ListParagraph"/>
        <w:tabs>
          <w:tab w:val="left" w:pos="0"/>
        </w:tabs>
        <w:spacing w:line="276" w:lineRule="auto"/>
        <w:ind w:left="450" w:right="48" w:firstLine="0"/>
        <w:rPr>
          <w:sz w:val="24"/>
          <w:szCs w:val="24"/>
        </w:rPr>
      </w:pPr>
      <w:r>
        <w:rPr>
          <w:sz w:val="24"/>
          <w:szCs w:val="24"/>
        </w:rPr>
        <w:t>- Recommendation 1 (risk-based approach);</w:t>
      </w:r>
    </w:p>
    <w:p w14:paraId="009447B9" w14:textId="6C24D6A0" w:rsidR="00AE4159" w:rsidRPr="000C4031" w:rsidRDefault="009C0F14" w:rsidP="000742F2">
      <w:pPr>
        <w:pStyle w:val="ListParagraph"/>
        <w:tabs>
          <w:tab w:val="left" w:pos="0"/>
        </w:tabs>
        <w:spacing w:line="276" w:lineRule="auto"/>
        <w:ind w:left="450" w:right="48" w:firstLine="0"/>
        <w:rPr>
          <w:sz w:val="24"/>
          <w:szCs w:val="24"/>
        </w:rPr>
      </w:pPr>
      <w:r>
        <w:rPr>
          <w:sz w:val="24"/>
          <w:szCs w:val="24"/>
        </w:rPr>
        <w:t>- Recommendation 7 (targeted financial sanctions);</w:t>
      </w:r>
    </w:p>
    <w:p w14:paraId="53903429" w14:textId="0507DFA8" w:rsidR="00AE4159" w:rsidRPr="000C4031" w:rsidRDefault="009C0F14" w:rsidP="000742F2">
      <w:pPr>
        <w:pStyle w:val="ListParagraph"/>
        <w:tabs>
          <w:tab w:val="left" w:pos="0"/>
        </w:tabs>
        <w:spacing w:line="276" w:lineRule="auto"/>
        <w:ind w:left="450" w:right="48" w:firstLine="0"/>
        <w:rPr>
          <w:sz w:val="24"/>
          <w:szCs w:val="24"/>
        </w:rPr>
      </w:pPr>
      <w:r>
        <w:rPr>
          <w:sz w:val="24"/>
          <w:szCs w:val="24"/>
        </w:rPr>
        <w:t>- Recommendation 8 (non-profit organisations);</w:t>
      </w:r>
    </w:p>
    <w:p w14:paraId="5E2DEC53" w14:textId="43773A00" w:rsidR="00AE4159" w:rsidRPr="000C4031" w:rsidRDefault="009C0F14" w:rsidP="000742F2">
      <w:pPr>
        <w:pStyle w:val="ListParagraph"/>
        <w:tabs>
          <w:tab w:val="left" w:pos="0"/>
        </w:tabs>
        <w:spacing w:line="276" w:lineRule="auto"/>
        <w:ind w:left="450" w:right="48" w:firstLine="0"/>
        <w:rPr>
          <w:sz w:val="24"/>
          <w:szCs w:val="24"/>
        </w:rPr>
      </w:pPr>
      <w:r>
        <w:rPr>
          <w:sz w:val="24"/>
          <w:szCs w:val="24"/>
        </w:rPr>
        <w:t>- Recommendation 10 (customer due diligence);</w:t>
      </w:r>
    </w:p>
    <w:p w14:paraId="22D012E2" w14:textId="300E9F02" w:rsidR="00AE4159" w:rsidRPr="000C4031" w:rsidRDefault="009C0F14" w:rsidP="000742F2">
      <w:pPr>
        <w:pStyle w:val="ListParagraph"/>
        <w:tabs>
          <w:tab w:val="left" w:pos="0"/>
        </w:tabs>
        <w:spacing w:line="276" w:lineRule="auto"/>
        <w:ind w:left="450" w:right="48" w:firstLine="0"/>
        <w:rPr>
          <w:sz w:val="24"/>
          <w:szCs w:val="24"/>
        </w:rPr>
      </w:pPr>
      <w:r>
        <w:rPr>
          <w:sz w:val="24"/>
          <w:szCs w:val="24"/>
        </w:rPr>
        <w:t>- Recommendation 16 (electronic transfers);</w:t>
      </w:r>
    </w:p>
    <w:p w14:paraId="23711CB4" w14:textId="5E78ED67" w:rsidR="00AE4159" w:rsidRPr="000C4031" w:rsidRDefault="009C0F14" w:rsidP="000742F2">
      <w:pPr>
        <w:pStyle w:val="ListParagraph"/>
        <w:tabs>
          <w:tab w:val="left" w:pos="0"/>
        </w:tabs>
        <w:spacing w:line="276" w:lineRule="auto"/>
        <w:ind w:left="450" w:right="48" w:firstLine="0"/>
        <w:rPr>
          <w:sz w:val="24"/>
          <w:szCs w:val="24"/>
        </w:rPr>
      </w:pPr>
      <w:r>
        <w:rPr>
          <w:sz w:val="24"/>
          <w:szCs w:val="24"/>
        </w:rPr>
        <w:t>- Recommendations 24 and 25 (beneficial ownership transparency);</w:t>
      </w:r>
    </w:p>
    <w:p w14:paraId="49EB885A" w14:textId="2A0B5EE2" w:rsidR="00C84E19" w:rsidRPr="000C4031" w:rsidRDefault="009C0F14" w:rsidP="000742F2">
      <w:pPr>
        <w:pStyle w:val="ListParagraph"/>
        <w:tabs>
          <w:tab w:val="left" w:pos="0"/>
        </w:tabs>
        <w:spacing w:line="276" w:lineRule="auto"/>
        <w:ind w:left="450" w:right="48" w:firstLine="0"/>
        <w:rPr>
          <w:sz w:val="24"/>
          <w:szCs w:val="24"/>
        </w:rPr>
      </w:pPr>
      <w:r>
        <w:rPr>
          <w:sz w:val="24"/>
          <w:szCs w:val="24"/>
        </w:rPr>
        <w:t>- Recommendation 40 (international cooperation).</w:t>
      </w:r>
    </w:p>
    <w:p w14:paraId="41631888" w14:textId="77777777" w:rsidR="00AE4159" w:rsidRPr="000C4031" w:rsidRDefault="00AE4159" w:rsidP="000742F2">
      <w:pPr>
        <w:pStyle w:val="ListParagraph"/>
        <w:tabs>
          <w:tab w:val="left" w:pos="0"/>
        </w:tabs>
        <w:spacing w:line="276" w:lineRule="auto"/>
        <w:ind w:left="0" w:right="48" w:firstLine="0"/>
        <w:rPr>
          <w:sz w:val="24"/>
          <w:szCs w:val="24"/>
        </w:rPr>
      </w:pPr>
      <w:r>
        <w:rPr>
          <w:sz w:val="24"/>
          <w:szCs w:val="24"/>
        </w:rPr>
        <w:t>The draft law establishes a more structured approach to risk assessment at the national, sectoral and institutional level, strengthening the responsibilities of obligated entities and supervisory authorities.</w:t>
      </w:r>
    </w:p>
    <w:p w14:paraId="11B0FD10" w14:textId="408CAE28" w:rsidR="00AE4159" w:rsidRPr="000C4031" w:rsidRDefault="00AE4159" w:rsidP="000742F2">
      <w:pPr>
        <w:pStyle w:val="ListParagraph"/>
        <w:tabs>
          <w:tab w:val="left" w:pos="0"/>
        </w:tabs>
        <w:spacing w:line="276" w:lineRule="auto"/>
        <w:ind w:left="0" w:right="48" w:firstLine="0"/>
        <w:rPr>
          <w:sz w:val="24"/>
          <w:szCs w:val="24"/>
        </w:rPr>
      </w:pPr>
    </w:p>
    <w:p w14:paraId="4DE9189E" w14:textId="77777777" w:rsidR="00AE4159" w:rsidRPr="000C4031" w:rsidRDefault="00AE4159" w:rsidP="000742F2">
      <w:pPr>
        <w:pStyle w:val="ListParagraph"/>
        <w:tabs>
          <w:tab w:val="left" w:pos="0"/>
        </w:tabs>
        <w:spacing w:line="276" w:lineRule="auto"/>
        <w:ind w:left="0" w:right="48" w:firstLine="0"/>
        <w:rPr>
          <w:b/>
          <w:bCs/>
          <w:sz w:val="24"/>
          <w:szCs w:val="24"/>
        </w:rPr>
      </w:pPr>
      <w:r>
        <w:rPr>
          <w:b/>
          <w:bCs/>
          <w:sz w:val="24"/>
          <w:szCs w:val="24"/>
        </w:rPr>
        <w:t>3. The main advantages of the draft law</w:t>
      </w:r>
    </w:p>
    <w:p w14:paraId="02623C05" w14:textId="77777777" w:rsidR="00AE4159" w:rsidRPr="000C4031" w:rsidRDefault="00AE4159" w:rsidP="000742F2">
      <w:pPr>
        <w:pStyle w:val="ListParagraph"/>
        <w:tabs>
          <w:tab w:val="left" w:pos="0"/>
        </w:tabs>
        <w:spacing w:line="276" w:lineRule="auto"/>
        <w:ind w:left="0" w:right="48" w:firstLine="0"/>
        <w:rPr>
          <w:sz w:val="24"/>
          <w:szCs w:val="24"/>
        </w:rPr>
      </w:pPr>
      <w:r>
        <w:rPr>
          <w:sz w:val="24"/>
          <w:szCs w:val="24"/>
        </w:rPr>
        <w:lastRenderedPageBreak/>
        <w:t>The draft law presents several essential advantages:</w:t>
      </w:r>
    </w:p>
    <w:p w14:paraId="0DA53E65" w14:textId="77777777" w:rsidR="00AE4159" w:rsidRPr="000C4031" w:rsidRDefault="00AE4159" w:rsidP="000742F2">
      <w:pPr>
        <w:pStyle w:val="ListParagraph"/>
        <w:numPr>
          <w:ilvl w:val="0"/>
          <w:numId w:val="35"/>
        </w:numPr>
        <w:tabs>
          <w:tab w:val="clear" w:pos="720"/>
          <w:tab w:val="left" w:pos="0"/>
          <w:tab w:val="num" w:pos="360"/>
        </w:tabs>
        <w:spacing w:line="276" w:lineRule="auto"/>
        <w:ind w:left="0" w:right="48" w:firstLine="0"/>
        <w:rPr>
          <w:sz w:val="24"/>
          <w:szCs w:val="24"/>
        </w:rPr>
      </w:pPr>
      <w:r>
        <w:rPr>
          <w:sz w:val="24"/>
          <w:szCs w:val="24"/>
        </w:rPr>
        <w:t>Consolidates and unifies the AML/CFT legal framework into a clear and systematic structure.</w:t>
      </w:r>
    </w:p>
    <w:p w14:paraId="1757737A" w14:textId="77777777" w:rsidR="00AE4159" w:rsidRPr="000C4031" w:rsidRDefault="00AE4159" w:rsidP="000742F2">
      <w:pPr>
        <w:pStyle w:val="ListParagraph"/>
        <w:numPr>
          <w:ilvl w:val="0"/>
          <w:numId w:val="35"/>
        </w:numPr>
        <w:tabs>
          <w:tab w:val="clear" w:pos="720"/>
          <w:tab w:val="left" w:pos="0"/>
          <w:tab w:val="num" w:pos="360"/>
        </w:tabs>
        <w:spacing w:line="276" w:lineRule="auto"/>
        <w:ind w:left="0" w:right="48" w:firstLine="0"/>
        <w:rPr>
          <w:sz w:val="24"/>
          <w:szCs w:val="24"/>
        </w:rPr>
      </w:pPr>
      <w:r>
        <w:rPr>
          <w:sz w:val="24"/>
          <w:szCs w:val="24"/>
        </w:rPr>
        <w:t>Strengthens the mechanisms for identification, verification and monitoring of clients and beneficial owners.</w:t>
      </w:r>
    </w:p>
    <w:p w14:paraId="10F5BE14" w14:textId="77777777" w:rsidR="00AE4159" w:rsidRPr="000C4031" w:rsidRDefault="00AE4159" w:rsidP="000742F2">
      <w:pPr>
        <w:pStyle w:val="ListParagraph"/>
        <w:numPr>
          <w:ilvl w:val="0"/>
          <w:numId w:val="35"/>
        </w:numPr>
        <w:tabs>
          <w:tab w:val="clear" w:pos="720"/>
          <w:tab w:val="left" w:pos="0"/>
          <w:tab w:val="num" w:pos="360"/>
        </w:tabs>
        <w:spacing w:line="276" w:lineRule="auto"/>
        <w:ind w:left="0" w:right="48" w:firstLine="0"/>
        <w:rPr>
          <w:sz w:val="24"/>
          <w:szCs w:val="24"/>
        </w:rPr>
      </w:pPr>
      <w:r>
        <w:rPr>
          <w:sz w:val="24"/>
          <w:szCs w:val="24"/>
        </w:rPr>
        <w:t>Increases the transparency of ownership structures and limits the use of entities without real economic substance.</w:t>
      </w:r>
    </w:p>
    <w:p w14:paraId="3E89C5EE" w14:textId="77777777" w:rsidR="00AE4159" w:rsidRPr="000C4031" w:rsidRDefault="00AE4159" w:rsidP="000742F2">
      <w:pPr>
        <w:pStyle w:val="ListParagraph"/>
        <w:numPr>
          <w:ilvl w:val="0"/>
          <w:numId w:val="35"/>
        </w:numPr>
        <w:tabs>
          <w:tab w:val="clear" w:pos="720"/>
          <w:tab w:val="left" w:pos="0"/>
          <w:tab w:val="num" w:pos="360"/>
        </w:tabs>
        <w:spacing w:line="276" w:lineRule="auto"/>
        <w:ind w:left="0" w:right="48" w:firstLine="0"/>
        <w:rPr>
          <w:sz w:val="24"/>
          <w:szCs w:val="24"/>
        </w:rPr>
      </w:pPr>
      <w:r>
        <w:rPr>
          <w:sz w:val="24"/>
          <w:szCs w:val="24"/>
        </w:rPr>
        <w:t>Integrates the regulation of crypto-assets and new transfer mechanisms in accordance with European standards.</w:t>
      </w:r>
    </w:p>
    <w:p w14:paraId="467B0BEF" w14:textId="77777777" w:rsidR="00AE4159" w:rsidRPr="000C4031" w:rsidRDefault="00AE4159" w:rsidP="000742F2">
      <w:pPr>
        <w:pStyle w:val="ListParagraph"/>
        <w:numPr>
          <w:ilvl w:val="0"/>
          <w:numId w:val="35"/>
        </w:numPr>
        <w:tabs>
          <w:tab w:val="clear" w:pos="720"/>
          <w:tab w:val="left" w:pos="0"/>
          <w:tab w:val="num" w:pos="360"/>
        </w:tabs>
        <w:spacing w:line="276" w:lineRule="auto"/>
        <w:ind w:left="0" w:right="48" w:firstLine="0"/>
        <w:rPr>
          <w:sz w:val="24"/>
          <w:szCs w:val="24"/>
        </w:rPr>
      </w:pPr>
      <w:r>
        <w:rPr>
          <w:sz w:val="24"/>
          <w:szCs w:val="24"/>
        </w:rPr>
        <w:t>Strengthens the analytical capabilities and inter-institutional cooperation of the Financial Intelligence Agency.</w:t>
      </w:r>
    </w:p>
    <w:p w14:paraId="7985ACCF" w14:textId="77777777" w:rsidR="00AE4159" w:rsidRPr="000C4031" w:rsidRDefault="00AE4159" w:rsidP="000742F2">
      <w:pPr>
        <w:pStyle w:val="ListParagraph"/>
        <w:numPr>
          <w:ilvl w:val="0"/>
          <w:numId w:val="35"/>
        </w:numPr>
        <w:tabs>
          <w:tab w:val="clear" w:pos="720"/>
          <w:tab w:val="left" w:pos="0"/>
          <w:tab w:val="num" w:pos="360"/>
        </w:tabs>
        <w:spacing w:line="276" w:lineRule="auto"/>
        <w:ind w:left="0" w:right="48" w:firstLine="0"/>
        <w:rPr>
          <w:sz w:val="24"/>
          <w:szCs w:val="24"/>
        </w:rPr>
      </w:pPr>
      <w:r>
        <w:rPr>
          <w:sz w:val="24"/>
          <w:szCs w:val="24"/>
        </w:rPr>
        <w:t>Defines more clearly the relationship between administrative measures and prosecutions of offences, increasing the effectiveness of the system.</w:t>
      </w:r>
    </w:p>
    <w:p w14:paraId="18436B00" w14:textId="581BE0D2" w:rsidR="00AE4159" w:rsidRPr="000C4031" w:rsidRDefault="00AE4159" w:rsidP="000742F2">
      <w:pPr>
        <w:pStyle w:val="ListParagraph"/>
        <w:tabs>
          <w:tab w:val="left" w:pos="0"/>
        </w:tabs>
        <w:spacing w:line="276" w:lineRule="auto"/>
        <w:ind w:left="0" w:right="48" w:firstLine="0"/>
        <w:rPr>
          <w:sz w:val="24"/>
          <w:szCs w:val="24"/>
        </w:rPr>
      </w:pPr>
    </w:p>
    <w:p w14:paraId="6D6CA4C1" w14:textId="77777777" w:rsidR="00AE4159" w:rsidRPr="000C4031" w:rsidRDefault="00AE4159" w:rsidP="000742F2">
      <w:pPr>
        <w:pStyle w:val="ListParagraph"/>
        <w:tabs>
          <w:tab w:val="left" w:pos="0"/>
        </w:tabs>
        <w:spacing w:line="276" w:lineRule="auto"/>
        <w:ind w:left="0" w:right="48" w:firstLine="0"/>
        <w:rPr>
          <w:b/>
          <w:bCs/>
          <w:sz w:val="24"/>
          <w:szCs w:val="24"/>
        </w:rPr>
      </w:pPr>
      <w:r>
        <w:rPr>
          <w:b/>
          <w:bCs/>
          <w:sz w:val="24"/>
          <w:szCs w:val="24"/>
        </w:rPr>
        <w:t>4. Expected effects</w:t>
      </w:r>
    </w:p>
    <w:p w14:paraId="7BF9846F" w14:textId="77777777" w:rsidR="00AE4159" w:rsidRPr="000C4031" w:rsidRDefault="00AE4159" w:rsidP="000742F2">
      <w:pPr>
        <w:pStyle w:val="ListParagraph"/>
        <w:tabs>
          <w:tab w:val="left" w:pos="0"/>
        </w:tabs>
        <w:spacing w:line="276" w:lineRule="auto"/>
        <w:ind w:left="0" w:right="48" w:firstLine="0"/>
        <w:rPr>
          <w:sz w:val="24"/>
          <w:szCs w:val="24"/>
        </w:rPr>
      </w:pPr>
      <w:r>
        <w:rPr>
          <w:sz w:val="24"/>
          <w:szCs w:val="24"/>
        </w:rPr>
        <w:t>The implementation of the draft law is expected to produce the following effects:</w:t>
      </w:r>
    </w:p>
    <w:p w14:paraId="2E5A8E23" w14:textId="77777777" w:rsidR="00AE4159" w:rsidRPr="000C4031" w:rsidRDefault="00AE4159" w:rsidP="000742F2">
      <w:pPr>
        <w:pStyle w:val="ListParagraph"/>
        <w:numPr>
          <w:ilvl w:val="0"/>
          <w:numId w:val="36"/>
        </w:numPr>
        <w:tabs>
          <w:tab w:val="clear" w:pos="720"/>
          <w:tab w:val="left" w:pos="0"/>
          <w:tab w:val="num" w:pos="450"/>
        </w:tabs>
        <w:spacing w:line="276" w:lineRule="auto"/>
        <w:ind w:left="0" w:right="48" w:firstLine="0"/>
        <w:rPr>
          <w:sz w:val="24"/>
          <w:szCs w:val="24"/>
        </w:rPr>
      </w:pPr>
      <w:r>
        <w:rPr>
          <w:sz w:val="24"/>
          <w:szCs w:val="24"/>
        </w:rPr>
        <w:t>Increase in the quality, accuracy and relevance of suspicious reports.</w:t>
      </w:r>
    </w:p>
    <w:p w14:paraId="630B9946" w14:textId="77777777" w:rsidR="00AE4159" w:rsidRPr="000C4031" w:rsidRDefault="00AE4159" w:rsidP="000742F2">
      <w:pPr>
        <w:pStyle w:val="ListParagraph"/>
        <w:numPr>
          <w:ilvl w:val="0"/>
          <w:numId w:val="36"/>
        </w:numPr>
        <w:tabs>
          <w:tab w:val="clear" w:pos="720"/>
          <w:tab w:val="left" w:pos="0"/>
          <w:tab w:val="num" w:pos="450"/>
        </w:tabs>
        <w:spacing w:line="276" w:lineRule="auto"/>
        <w:ind w:left="0" w:right="48" w:firstLine="0"/>
        <w:rPr>
          <w:sz w:val="24"/>
          <w:szCs w:val="24"/>
        </w:rPr>
      </w:pPr>
      <w:r>
        <w:rPr>
          <w:sz w:val="24"/>
          <w:szCs w:val="24"/>
        </w:rPr>
        <w:t>Improvement of financial analysis and increase in cases referred for criminal investigation.</w:t>
      </w:r>
    </w:p>
    <w:p w14:paraId="4F03F3FC" w14:textId="77777777" w:rsidR="00AE4159" w:rsidRPr="000C4031" w:rsidRDefault="00AE4159" w:rsidP="000742F2">
      <w:pPr>
        <w:pStyle w:val="ListParagraph"/>
        <w:numPr>
          <w:ilvl w:val="0"/>
          <w:numId w:val="36"/>
        </w:numPr>
        <w:tabs>
          <w:tab w:val="clear" w:pos="720"/>
          <w:tab w:val="left" w:pos="0"/>
          <w:tab w:val="num" w:pos="450"/>
        </w:tabs>
        <w:spacing w:line="276" w:lineRule="auto"/>
        <w:ind w:left="0" w:right="48" w:firstLine="0"/>
        <w:rPr>
          <w:sz w:val="24"/>
          <w:szCs w:val="24"/>
        </w:rPr>
      </w:pPr>
      <w:r>
        <w:rPr>
          <w:sz w:val="24"/>
          <w:szCs w:val="24"/>
        </w:rPr>
        <w:t>Reduction of the risk of use of the financial system and sensitive sectors for criminal purposes.</w:t>
      </w:r>
    </w:p>
    <w:p w14:paraId="65B3F76A" w14:textId="77777777" w:rsidR="00AE4159" w:rsidRPr="000C4031" w:rsidRDefault="00AE4159" w:rsidP="000742F2">
      <w:pPr>
        <w:pStyle w:val="ListParagraph"/>
        <w:numPr>
          <w:ilvl w:val="0"/>
          <w:numId w:val="36"/>
        </w:numPr>
        <w:tabs>
          <w:tab w:val="clear" w:pos="720"/>
          <w:tab w:val="left" w:pos="0"/>
          <w:tab w:val="num" w:pos="450"/>
        </w:tabs>
        <w:spacing w:line="276" w:lineRule="auto"/>
        <w:ind w:left="0" w:right="48" w:firstLine="0"/>
        <w:rPr>
          <w:sz w:val="24"/>
          <w:szCs w:val="24"/>
        </w:rPr>
      </w:pPr>
      <w:r>
        <w:rPr>
          <w:sz w:val="24"/>
          <w:szCs w:val="24"/>
        </w:rPr>
        <w:t>Strengthening international cooperation and information exchange.</w:t>
      </w:r>
    </w:p>
    <w:p w14:paraId="44279ACA" w14:textId="77777777" w:rsidR="00AE4159" w:rsidRPr="000C4031" w:rsidRDefault="00AE4159" w:rsidP="000742F2">
      <w:pPr>
        <w:pStyle w:val="ListParagraph"/>
        <w:numPr>
          <w:ilvl w:val="0"/>
          <w:numId w:val="36"/>
        </w:numPr>
        <w:tabs>
          <w:tab w:val="clear" w:pos="720"/>
          <w:tab w:val="left" w:pos="0"/>
          <w:tab w:val="num" w:pos="450"/>
        </w:tabs>
        <w:spacing w:line="276" w:lineRule="auto"/>
        <w:ind w:left="0" w:right="48" w:firstLine="0"/>
        <w:rPr>
          <w:sz w:val="24"/>
          <w:szCs w:val="24"/>
        </w:rPr>
      </w:pPr>
      <w:r>
        <w:rPr>
          <w:sz w:val="24"/>
          <w:szCs w:val="24"/>
        </w:rPr>
        <w:t>Improvement of the compliance profile of the Republic of Albania in international evaluations and in the process of European integration.</w:t>
      </w:r>
    </w:p>
    <w:p w14:paraId="3E6A05D5" w14:textId="77777777" w:rsidR="00AE4159" w:rsidRPr="000C4031" w:rsidRDefault="00AE4159" w:rsidP="000742F2">
      <w:pPr>
        <w:pStyle w:val="ListParagraph"/>
        <w:tabs>
          <w:tab w:val="left" w:pos="0"/>
        </w:tabs>
        <w:spacing w:line="276" w:lineRule="auto"/>
        <w:ind w:left="0" w:right="48" w:firstLine="0"/>
        <w:rPr>
          <w:sz w:val="24"/>
          <w:szCs w:val="24"/>
        </w:rPr>
      </w:pPr>
      <w:r>
        <w:rPr>
          <w:sz w:val="24"/>
          <w:szCs w:val="24"/>
        </w:rPr>
        <w:t>Overall, the draft law represents a structural intervention aimed at increasing the sustainability, integrity and credibility of the country’s financial and institutional system, in accordance with the latest international standards.</w:t>
      </w:r>
    </w:p>
    <w:p w14:paraId="0AA0D21E" w14:textId="77777777" w:rsidR="007457FC" w:rsidRPr="000C4031" w:rsidRDefault="007457FC" w:rsidP="000742F2">
      <w:pPr>
        <w:pStyle w:val="ListParagraph"/>
        <w:tabs>
          <w:tab w:val="left" w:pos="0"/>
        </w:tabs>
        <w:spacing w:line="276" w:lineRule="auto"/>
        <w:ind w:left="0" w:right="48" w:firstLine="0"/>
        <w:rPr>
          <w:b/>
          <w:sz w:val="24"/>
          <w:szCs w:val="24"/>
        </w:rPr>
      </w:pPr>
    </w:p>
    <w:p w14:paraId="5E86C3B0" w14:textId="70207F1C" w:rsidR="009D1EF0" w:rsidRPr="000C4031" w:rsidRDefault="00E94EBD" w:rsidP="000742F2">
      <w:pPr>
        <w:pStyle w:val="ListParagraph"/>
        <w:numPr>
          <w:ilvl w:val="0"/>
          <w:numId w:val="1"/>
        </w:numPr>
        <w:tabs>
          <w:tab w:val="left" w:pos="0"/>
        </w:tabs>
        <w:spacing w:line="276" w:lineRule="auto"/>
        <w:ind w:left="0" w:right="48" w:firstLine="0"/>
        <w:jc w:val="both"/>
        <w:rPr>
          <w:b/>
          <w:sz w:val="24"/>
          <w:szCs w:val="24"/>
        </w:rPr>
      </w:pPr>
      <w:r>
        <w:rPr>
          <w:b/>
          <w:sz w:val="24"/>
          <w:szCs w:val="24"/>
        </w:rPr>
        <w:t>ASSESSMENT OF LEGALITY, CONSTITUTIONALITY AND HARMONISATION WITH THE LEGISLATION IN FORCE, NATIONAL AND INTERNATIONAL</w:t>
      </w:r>
    </w:p>
    <w:p w14:paraId="29B9566D" w14:textId="77777777" w:rsidR="00004E5E" w:rsidRPr="000C4031" w:rsidRDefault="00004E5E" w:rsidP="000742F2">
      <w:pPr>
        <w:pStyle w:val="ListParagraph"/>
        <w:tabs>
          <w:tab w:val="left" w:pos="0"/>
        </w:tabs>
        <w:spacing w:line="276" w:lineRule="auto"/>
        <w:ind w:left="0" w:right="48" w:firstLine="0"/>
        <w:rPr>
          <w:b/>
          <w:sz w:val="24"/>
          <w:szCs w:val="24"/>
        </w:rPr>
      </w:pPr>
    </w:p>
    <w:p w14:paraId="1398D852" w14:textId="570AC068" w:rsidR="00966B06" w:rsidRPr="000C4031" w:rsidRDefault="00966B06" w:rsidP="000742F2">
      <w:pPr>
        <w:pStyle w:val="ListParagraph"/>
        <w:tabs>
          <w:tab w:val="left" w:pos="808"/>
          <w:tab w:val="left" w:pos="811"/>
        </w:tabs>
        <w:spacing w:line="276" w:lineRule="auto"/>
        <w:ind w:left="0" w:right="48" w:firstLine="0"/>
        <w:rPr>
          <w:bCs/>
          <w:sz w:val="24"/>
          <w:szCs w:val="24"/>
        </w:rPr>
      </w:pPr>
      <w:r>
        <w:rPr>
          <w:bCs/>
          <w:sz w:val="24"/>
          <w:szCs w:val="24"/>
        </w:rPr>
        <w:t>The draft law is based on articles 78 and 83, point 1, of the Constitution of the Republic of Albania, as well as on the competence of the Parliament to approve laws regulating matters of legal, financial and criminal order. Its provisions are conceived in accordance with the constitutional principles of the rule of law, legal certainty, proportionality and the protection of fundamental rights and freedoms.</w:t>
      </w:r>
    </w:p>
    <w:p w14:paraId="0DE46457" w14:textId="52843756" w:rsidR="00966B06" w:rsidRPr="000C4031" w:rsidRDefault="00966B06" w:rsidP="000742F2">
      <w:pPr>
        <w:pStyle w:val="ListParagraph"/>
        <w:tabs>
          <w:tab w:val="left" w:pos="808"/>
          <w:tab w:val="left" w:pos="811"/>
        </w:tabs>
        <w:spacing w:line="276" w:lineRule="auto"/>
        <w:ind w:left="0" w:right="48" w:firstLine="0"/>
        <w:rPr>
          <w:bCs/>
          <w:sz w:val="24"/>
          <w:szCs w:val="24"/>
        </w:rPr>
      </w:pPr>
      <w:r>
        <w:rPr>
          <w:bCs/>
          <w:sz w:val="24"/>
          <w:szCs w:val="24"/>
        </w:rPr>
        <w:t>In terms of domestic legislation, the draft law is built in coherence with the existing framework in the criminal, criminal procedural, customs, financial, and personal data protection fields, avoiding normative overlap and clearly defining the competencies of the respective authorities. Its provisions interact functionally with the legislation on the prevention of money laundering and terrorist financing, as well as with sectoral financial and regulatory legislation.</w:t>
      </w:r>
    </w:p>
    <w:p w14:paraId="0DEA1907" w14:textId="77777777" w:rsidR="00966B06" w:rsidRPr="000C4031" w:rsidRDefault="00966B06" w:rsidP="000742F2">
      <w:pPr>
        <w:pStyle w:val="ListParagraph"/>
        <w:tabs>
          <w:tab w:val="left" w:pos="808"/>
          <w:tab w:val="left" w:pos="811"/>
        </w:tabs>
        <w:spacing w:line="276" w:lineRule="auto"/>
        <w:ind w:left="0" w:right="48" w:firstLine="0"/>
        <w:rPr>
          <w:bCs/>
          <w:sz w:val="24"/>
          <w:szCs w:val="24"/>
        </w:rPr>
      </w:pPr>
      <w:r>
        <w:rPr>
          <w:bCs/>
          <w:sz w:val="24"/>
          <w:szCs w:val="24"/>
        </w:rPr>
        <w:t xml:space="preserve">On the international aspect, the draft law aims for full harmonisation with the acquis of the European Union in the AML/CFT field, including regulations for the control of physical </w:t>
      </w:r>
      <w:r>
        <w:rPr>
          <w:bCs/>
          <w:sz w:val="24"/>
          <w:szCs w:val="24"/>
        </w:rPr>
        <w:lastRenderedPageBreak/>
        <w:t>money and the traceability of fund transfers and crypto-assets, as well as with the revised FATF standards. Its provisions strengthen the compliance of the national framework with the obligations arising from the European integration process and from the international commitments of the Republic of Albania in the fight against money laundering and terrorist financing.</w:t>
      </w:r>
    </w:p>
    <w:p w14:paraId="68CED697" w14:textId="77777777" w:rsidR="00966B06" w:rsidRPr="000C4031" w:rsidRDefault="00966B06" w:rsidP="000742F2">
      <w:pPr>
        <w:pStyle w:val="ListParagraph"/>
        <w:tabs>
          <w:tab w:val="left" w:pos="808"/>
          <w:tab w:val="left" w:pos="811"/>
        </w:tabs>
        <w:spacing w:line="276" w:lineRule="auto"/>
        <w:ind w:right="48"/>
        <w:rPr>
          <w:bCs/>
          <w:sz w:val="24"/>
          <w:szCs w:val="24"/>
        </w:rPr>
      </w:pPr>
    </w:p>
    <w:p w14:paraId="0EA48876" w14:textId="1289DB37" w:rsidR="006F0635" w:rsidRPr="000C4031" w:rsidRDefault="00966B06" w:rsidP="000742F2">
      <w:pPr>
        <w:pStyle w:val="ListParagraph"/>
        <w:tabs>
          <w:tab w:val="left" w:pos="808"/>
          <w:tab w:val="left" w:pos="811"/>
        </w:tabs>
        <w:spacing w:line="276" w:lineRule="auto"/>
        <w:ind w:left="0" w:right="48" w:firstLine="0"/>
        <w:rPr>
          <w:bCs/>
          <w:sz w:val="24"/>
          <w:szCs w:val="24"/>
        </w:rPr>
      </w:pPr>
      <w:r>
        <w:rPr>
          <w:bCs/>
          <w:sz w:val="24"/>
          <w:szCs w:val="24"/>
        </w:rPr>
        <w:t>In conclusion, the draft law represents a justified, necessary, and proportionate normative intervention, which strengthens the preventive and supervisory system, maintaining the balance between the public interest for financial security and the protection of fundamental rights.</w:t>
      </w:r>
    </w:p>
    <w:p w14:paraId="4DAB8939" w14:textId="77777777" w:rsidR="00966B06" w:rsidRPr="000C4031" w:rsidRDefault="00966B06" w:rsidP="000742F2">
      <w:pPr>
        <w:pStyle w:val="ListParagraph"/>
        <w:tabs>
          <w:tab w:val="left" w:pos="808"/>
          <w:tab w:val="left" w:pos="811"/>
        </w:tabs>
        <w:spacing w:line="276" w:lineRule="auto"/>
        <w:ind w:left="0" w:right="48" w:firstLine="0"/>
        <w:rPr>
          <w:b/>
          <w:sz w:val="24"/>
          <w:szCs w:val="24"/>
        </w:rPr>
      </w:pPr>
    </w:p>
    <w:p w14:paraId="54DEB432" w14:textId="72DB5659" w:rsidR="00A60C56" w:rsidRPr="000C4031" w:rsidRDefault="00E94EBD" w:rsidP="000742F2">
      <w:pPr>
        <w:pStyle w:val="ListParagraph"/>
        <w:numPr>
          <w:ilvl w:val="0"/>
          <w:numId w:val="1"/>
        </w:numPr>
        <w:tabs>
          <w:tab w:val="left" w:pos="808"/>
          <w:tab w:val="left" w:pos="811"/>
        </w:tabs>
        <w:spacing w:line="276" w:lineRule="auto"/>
        <w:ind w:left="0" w:right="48" w:firstLine="0"/>
        <w:jc w:val="left"/>
        <w:rPr>
          <w:b/>
          <w:sz w:val="24"/>
          <w:szCs w:val="24"/>
        </w:rPr>
      </w:pPr>
      <w:r>
        <w:rPr>
          <w:b/>
          <w:sz w:val="24"/>
          <w:szCs w:val="24"/>
        </w:rPr>
        <w:t>ASSESSMENT OF THE DEGREE OF ALIGNMENT WITH THE EU ACQUIS (FOR NORMATIVE DRAFT ACTS)</w:t>
      </w:r>
    </w:p>
    <w:p w14:paraId="638C7FDA" w14:textId="77777777" w:rsidR="006E1886" w:rsidRPr="000C4031" w:rsidRDefault="006E1886" w:rsidP="000742F2">
      <w:pPr>
        <w:pStyle w:val="ListParagraph"/>
        <w:tabs>
          <w:tab w:val="left" w:pos="808"/>
          <w:tab w:val="left" w:pos="811"/>
        </w:tabs>
        <w:spacing w:line="276" w:lineRule="auto"/>
        <w:ind w:left="0" w:right="48" w:firstLine="0"/>
        <w:jc w:val="left"/>
        <w:rPr>
          <w:b/>
          <w:sz w:val="24"/>
          <w:szCs w:val="24"/>
        </w:rPr>
      </w:pPr>
    </w:p>
    <w:p w14:paraId="789E6FDA" w14:textId="09CDA6F8" w:rsidR="006E1886" w:rsidRPr="000C4031" w:rsidRDefault="006E1886" w:rsidP="000742F2">
      <w:pPr>
        <w:pStyle w:val="BodyText"/>
        <w:spacing w:line="276" w:lineRule="auto"/>
        <w:ind w:right="48"/>
        <w:rPr>
          <w:sz w:val="24"/>
          <w:szCs w:val="24"/>
        </w:rPr>
      </w:pPr>
      <w:r>
        <w:rPr>
          <w:sz w:val="24"/>
          <w:szCs w:val="24"/>
        </w:rPr>
        <w:t>The draft law achieves substantial alignment with the acquis of the European Union in the field of preventing money laundering, terrorist financing, and controlling cross-border movements of funds, crypto-assets, and physical money.</w:t>
      </w:r>
    </w:p>
    <w:p w14:paraId="642E077C" w14:textId="77777777" w:rsidR="006E1886" w:rsidRPr="000C4031" w:rsidRDefault="006E1886" w:rsidP="000742F2">
      <w:pPr>
        <w:pStyle w:val="BodyText"/>
        <w:spacing w:line="276" w:lineRule="auto"/>
        <w:ind w:right="48"/>
        <w:rPr>
          <w:b/>
          <w:sz w:val="24"/>
          <w:szCs w:val="24"/>
        </w:rPr>
      </w:pPr>
    </w:p>
    <w:p w14:paraId="3BE109AB" w14:textId="2011C136" w:rsidR="006E1886" w:rsidRPr="000C4031" w:rsidRDefault="006E1886" w:rsidP="000742F2">
      <w:pPr>
        <w:pStyle w:val="BodyText"/>
        <w:spacing w:line="276" w:lineRule="auto"/>
        <w:ind w:right="48"/>
        <w:rPr>
          <w:b/>
          <w:sz w:val="24"/>
          <w:szCs w:val="24"/>
        </w:rPr>
      </w:pPr>
      <w:r>
        <w:rPr>
          <w:b/>
          <w:sz w:val="24"/>
          <w:szCs w:val="24"/>
        </w:rPr>
        <w:t>In particular:</w:t>
      </w:r>
    </w:p>
    <w:p w14:paraId="0D232D48" w14:textId="13E6BB20" w:rsidR="006E1886" w:rsidRPr="000C4031" w:rsidRDefault="006E1886" w:rsidP="000742F2">
      <w:pPr>
        <w:pStyle w:val="BodyText"/>
        <w:spacing w:line="276" w:lineRule="auto"/>
        <w:ind w:right="48"/>
        <w:rPr>
          <w:sz w:val="24"/>
          <w:szCs w:val="24"/>
        </w:rPr>
      </w:pPr>
      <w:r>
        <w:rPr>
          <w:sz w:val="24"/>
          <w:szCs w:val="24"/>
        </w:rPr>
        <w:t>Directive (EU) 2024/1640 is transposed into national legislation to the extent that normative intervention in domestic law is required, through the adaptation of provisions concerning the obligations of reporting entities, preventive measures, institutional cooperation, and transparency.</w:t>
      </w:r>
    </w:p>
    <w:p w14:paraId="4E31F292" w14:textId="318B3709" w:rsidR="006E1886" w:rsidRPr="000C4031" w:rsidRDefault="006E1886" w:rsidP="000742F2">
      <w:pPr>
        <w:pStyle w:val="BodyText"/>
        <w:spacing w:line="276" w:lineRule="auto"/>
        <w:ind w:right="48"/>
        <w:rPr>
          <w:sz w:val="24"/>
          <w:szCs w:val="24"/>
        </w:rPr>
      </w:pPr>
      <w:r>
        <w:rPr>
          <w:sz w:val="24"/>
          <w:szCs w:val="24"/>
        </w:rPr>
        <w:t>Regulation (EU) 2024/1624 (the new AMLA institutional framework and common rules) is reflected in the provisions related to the standardisation of supervision, interinstitutional cooperation, and coordination mechanisms, to the extent applicable for a state in the pre-accession phase.</w:t>
      </w:r>
    </w:p>
    <w:p w14:paraId="72011521" w14:textId="44CB1DED" w:rsidR="006E1886" w:rsidRPr="000C4031" w:rsidRDefault="006E1886" w:rsidP="000742F2">
      <w:pPr>
        <w:pStyle w:val="BodyText"/>
        <w:spacing w:line="276" w:lineRule="auto"/>
        <w:ind w:right="48"/>
        <w:rPr>
          <w:sz w:val="24"/>
          <w:szCs w:val="24"/>
        </w:rPr>
      </w:pPr>
      <w:r>
        <w:rPr>
          <w:sz w:val="24"/>
          <w:szCs w:val="24"/>
        </w:rPr>
        <w:t>Regulation (EU) 2023/1113 (Transfer of Funds Regulation – TFR) is fully aligned through the establishment of the obligation to accompany transfers of funds and crypto-assets with verified information about the payer and the payee (“travel rule”), as well as through the obligations of intermediary providers.</w:t>
      </w:r>
    </w:p>
    <w:p w14:paraId="158C08CA" w14:textId="3F47D5C7" w:rsidR="006E1886" w:rsidRPr="000C4031" w:rsidRDefault="006E1886" w:rsidP="000742F2">
      <w:pPr>
        <w:pStyle w:val="BodyText"/>
        <w:spacing w:line="276" w:lineRule="auto"/>
        <w:ind w:right="48"/>
        <w:rPr>
          <w:sz w:val="24"/>
          <w:szCs w:val="24"/>
        </w:rPr>
      </w:pPr>
      <w:r>
        <w:rPr>
          <w:sz w:val="24"/>
          <w:szCs w:val="24"/>
        </w:rPr>
        <w:t>Regulation (EU) 2018/1672, on the control of physical cash entering or leaving the Union, is reflected through provisions regulating the declaration, control, temporary freezing, and exchange of information for cross-border movements of physical cash.</w:t>
      </w:r>
    </w:p>
    <w:p w14:paraId="239E999E" w14:textId="41E1147A" w:rsidR="006E1886" w:rsidRPr="000C4031" w:rsidRDefault="006E1886" w:rsidP="000742F2">
      <w:pPr>
        <w:pStyle w:val="BodyText"/>
        <w:spacing w:line="276" w:lineRule="auto"/>
        <w:ind w:right="48"/>
        <w:rPr>
          <w:sz w:val="24"/>
          <w:szCs w:val="24"/>
        </w:rPr>
      </w:pPr>
      <w:r>
        <w:rPr>
          <w:sz w:val="24"/>
          <w:szCs w:val="24"/>
        </w:rPr>
        <w:t>Due to the nature of EU regulations, which are directly applicable in Member States, the draft law provides for internal aligned provisions that ensure full compliance during the pre-accession period. Upon the accession of the Republic of Albania to the European Union, the aforementioned regulations will have direct effect and any incompatible national provision will be repealed or adapted in accordance with the EU legal order.</w:t>
      </w:r>
    </w:p>
    <w:p w14:paraId="0160CFE9" w14:textId="77777777" w:rsidR="006E1886" w:rsidRPr="000C4031" w:rsidRDefault="006E1886" w:rsidP="000742F2">
      <w:pPr>
        <w:pStyle w:val="BodyText"/>
        <w:spacing w:line="276" w:lineRule="auto"/>
        <w:ind w:right="48"/>
        <w:jc w:val="left"/>
        <w:rPr>
          <w:sz w:val="24"/>
          <w:szCs w:val="24"/>
        </w:rPr>
      </w:pPr>
    </w:p>
    <w:p w14:paraId="26E577AB" w14:textId="463553D0" w:rsidR="009505BC" w:rsidRPr="000C4031" w:rsidRDefault="006E1886" w:rsidP="000742F2">
      <w:pPr>
        <w:pStyle w:val="BodyText"/>
        <w:spacing w:line="276" w:lineRule="auto"/>
        <w:ind w:right="48"/>
        <w:jc w:val="left"/>
        <w:rPr>
          <w:sz w:val="24"/>
          <w:szCs w:val="24"/>
        </w:rPr>
      </w:pPr>
      <w:r>
        <w:rPr>
          <w:sz w:val="24"/>
          <w:szCs w:val="24"/>
        </w:rPr>
        <w:t>Overall, the degree of alignment is assessed as complete at the substantive level (substantive alignment) and structured in such a way as to enable an immediate transition towards the direct implementation of the acquis at the moment of accession.</w:t>
      </w:r>
    </w:p>
    <w:p w14:paraId="06DD1F98" w14:textId="77777777" w:rsidR="00004E5E" w:rsidRPr="000C4031" w:rsidRDefault="00004E5E" w:rsidP="000742F2">
      <w:pPr>
        <w:pStyle w:val="BodyText"/>
        <w:spacing w:line="276" w:lineRule="auto"/>
        <w:ind w:right="48"/>
        <w:jc w:val="left"/>
        <w:rPr>
          <w:sz w:val="24"/>
          <w:szCs w:val="24"/>
        </w:rPr>
      </w:pPr>
    </w:p>
    <w:p w14:paraId="4864B4EA" w14:textId="6C11B334" w:rsidR="00A60C56" w:rsidRPr="000C4031" w:rsidRDefault="00E94EBD" w:rsidP="000742F2">
      <w:pPr>
        <w:pStyle w:val="ListParagraph"/>
        <w:numPr>
          <w:ilvl w:val="0"/>
          <w:numId w:val="1"/>
        </w:numPr>
        <w:tabs>
          <w:tab w:val="left" w:pos="630"/>
          <w:tab w:val="left" w:pos="3609"/>
          <w:tab w:val="left" w:pos="6008"/>
          <w:tab w:val="left" w:pos="6773"/>
          <w:tab w:val="left" w:pos="9376"/>
        </w:tabs>
        <w:spacing w:line="276" w:lineRule="auto"/>
        <w:ind w:left="0" w:right="48" w:firstLine="0"/>
        <w:jc w:val="both"/>
        <w:rPr>
          <w:b/>
          <w:sz w:val="24"/>
          <w:szCs w:val="24"/>
        </w:rPr>
      </w:pPr>
      <w:r>
        <w:rPr>
          <w:b/>
          <w:spacing w:val="-2"/>
          <w:sz w:val="24"/>
          <w:szCs w:val="24"/>
        </w:rPr>
        <w:lastRenderedPageBreak/>
        <w:t>EXPLANATORY SUMMARY OF THE CONTENT OF THE DRAFT ACT</w:t>
      </w:r>
    </w:p>
    <w:p w14:paraId="2EC1F14F" w14:textId="388E93FE" w:rsidR="009C0F14" w:rsidRPr="009C0F14" w:rsidRDefault="009C0F14" w:rsidP="000742F2">
      <w:pPr>
        <w:widowControl/>
        <w:shd w:val="clear" w:color="auto" w:fill="FFFFFF"/>
        <w:autoSpaceDE/>
        <w:autoSpaceDN/>
        <w:spacing w:line="276" w:lineRule="auto"/>
        <w:rPr>
          <w:color w:val="000000"/>
          <w:sz w:val="24"/>
          <w:szCs w:val="24"/>
          <w:lang w:eastAsia="sq-AL"/>
        </w:rPr>
      </w:pPr>
      <w:r>
        <w:rPr>
          <w:color w:val="000000"/>
          <w:sz w:val="24"/>
          <w:szCs w:val="24"/>
          <w:lang w:eastAsia="sq-AL"/>
        </w:rPr>
        <w:t>The draft law “On the prevention of money laundering and terrorist financing” is organized into 4 parts, where:</w:t>
      </w:r>
    </w:p>
    <w:p w14:paraId="560D8645" w14:textId="77777777" w:rsidR="000742F2" w:rsidRPr="000C4031" w:rsidRDefault="000742F2" w:rsidP="000742F2">
      <w:pPr>
        <w:widowControl/>
        <w:shd w:val="clear" w:color="auto" w:fill="FFFFFF"/>
        <w:autoSpaceDE/>
        <w:autoSpaceDN/>
        <w:spacing w:line="276" w:lineRule="auto"/>
        <w:jc w:val="both"/>
        <w:rPr>
          <w:color w:val="000000"/>
          <w:sz w:val="24"/>
          <w:szCs w:val="24"/>
          <w:lang w:eastAsia="sq-AL"/>
        </w:rPr>
      </w:pPr>
      <w:r>
        <w:rPr>
          <w:bCs/>
          <w:color w:val="000000"/>
          <w:sz w:val="24"/>
          <w:szCs w:val="24"/>
          <w:lang w:eastAsia="sq-AL"/>
        </w:rPr>
        <w:t>- The first part of the draft law transposes Directive (EU) 2024/1640 of the European Parliament and of the Council of 31 May 2024 </w:t>
      </w:r>
      <w:r>
        <w:rPr>
          <w:i/>
          <w:iCs/>
          <w:color w:val="000000"/>
          <w:sz w:val="24"/>
          <w:szCs w:val="24"/>
          <w:lang w:eastAsia="sq-AL"/>
        </w:rPr>
        <w:t>On the mechanisms to be established by the Member States for the prevention of the use of the financial system for the purpose of money laundering or terrorist financing, amending Directive (EU) 2019/1937 and amending and repealing Directive (EU) 2015/849”</w:t>
      </w:r>
      <w:r>
        <w:rPr>
          <w:color w:val="000000"/>
          <w:sz w:val="24"/>
          <w:szCs w:val="24"/>
          <w:lang w:eastAsia="sq-AL"/>
        </w:rPr>
        <w:t> (otherwise known as the 6th directive);</w:t>
      </w:r>
    </w:p>
    <w:p w14:paraId="4ACB24A8" w14:textId="77777777" w:rsidR="000742F2" w:rsidRPr="000C4031" w:rsidRDefault="000742F2" w:rsidP="000742F2">
      <w:pPr>
        <w:widowControl/>
        <w:shd w:val="clear" w:color="auto" w:fill="FFFFFF"/>
        <w:autoSpaceDE/>
        <w:autoSpaceDN/>
        <w:spacing w:line="276" w:lineRule="auto"/>
        <w:jc w:val="both"/>
        <w:rPr>
          <w:color w:val="000000"/>
          <w:sz w:val="24"/>
          <w:szCs w:val="24"/>
          <w:lang w:eastAsia="sq-AL"/>
        </w:rPr>
      </w:pPr>
      <w:r>
        <w:rPr>
          <w:color w:val="000000"/>
          <w:sz w:val="24"/>
          <w:szCs w:val="24"/>
          <w:lang w:eastAsia="sq-AL"/>
        </w:rPr>
        <w:t>- The second part of the draft law is harmonized with Regulation (EU) 2024/1624 of the European Parliament and of the Council, dated 31 May 2024, “</w:t>
      </w:r>
      <w:r>
        <w:rPr>
          <w:i/>
          <w:iCs/>
          <w:color w:val="000000"/>
          <w:sz w:val="24"/>
          <w:szCs w:val="24"/>
          <w:lang w:eastAsia="sq-AL"/>
        </w:rPr>
        <w:t>On the prevention of the use of the financial system for the purpose of money laundering or terrorist financing</w:t>
      </w:r>
      <w:r>
        <w:rPr>
          <w:color w:val="000000"/>
          <w:sz w:val="24"/>
          <w:szCs w:val="24"/>
          <w:lang w:eastAsia="sq-AL"/>
        </w:rPr>
        <w:t>”;</w:t>
      </w:r>
    </w:p>
    <w:p w14:paraId="0177AB25" w14:textId="77777777" w:rsidR="000742F2" w:rsidRPr="000C4031" w:rsidRDefault="000742F2" w:rsidP="000742F2">
      <w:pPr>
        <w:widowControl/>
        <w:shd w:val="clear" w:color="auto" w:fill="FFFFFF"/>
        <w:autoSpaceDE/>
        <w:autoSpaceDN/>
        <w:spacing w:line="276" w:lineRule="auto"/>
        <w:jc w:val="both"/>
        <w:rPr>
          <w:color w:val="000000"/>
          <w:sz w:val="24"/>
          <w:szCs w:val="24"/>
          <w:lang w:eastAsia="sq-AL"/>
        </w:rPr>
      </w:pPr>
      <w:r>
        <w:rPr>
          <w:color w:val="000000"/>
          <w:sz w:val="24"/>
          <w:szCs w:val="24"/>
          <w:lang w:eastAsia="sq-AL"/>
        </w:rPr>
        <w:t>- The third part of the draft law is harmonized with Regulation (EU) 2023/1113 of the European Parliament and of the Council, dated 31 May 2023, “</w:t>
      </w:r>
      <w:r>
        <w:rPr>
          <w:i/>
          <w:iCs/>
          <w:color w:val="000000"/>
          <w:sz w:val="24"/>
          <w:szCs w:val="24"/>
          <w:lang w:eastAsia="sq-AL"/>
        </w:rPr>
        <w:t>On the information accompanying transfers of funds and certain crypto-assets and amending Directive (EU) 2015/849”;</w:t>
      </w:r>
    </w:p>
    <w:p w14:paraId="28AED37B" w14:textId="7B98FA92" w:rsidR="009C0F14" w:rsidRPr="000C4031" w:rsidRDefault="000742F2" w:rsidP="000742F2">
      <w:pPr>
        <w:widowControl/>
        <w:shd w:val="clear" w:color="auto" w:fill="FFFFFF"/>
        <w:autoSpaceDE/>
        <w:autoSpaceDN/>
        <w:spacing w:line="276" w:lineRule="auto"/>
        <w:jc w:val="both"/>
        <w:rPr>
          <w:color w:val="000000"/>
          <w:sz w:val="24"/>
          <w:szCs w:val="24"/>
          <w:lang w:eastAsia="sq-AL"/>
        </w:rPr>
      </w:pPr>
      <w:r>
        <w:rPr>
          <w:color w:val="000000"/>
          <w:sz w:val="24"/>
          <w:szCs w:val="24"/>
          <w:lang w:eastAsia="sq-AL"/>
        </w:rPr>
        <w:t>- The fourth part of the draft law is harmonized with Regulation (EU) 2018/1672 of the European Parliament and of the Council, dated 23 October 2018, “</w:t>
      </w:r>
      <w:r>
        <w:rPr>
          <w:i/>
          <w:iCs/>
          <w:color w:val="000000"/>
          <w:sz w:val="24"/>
          <w:szCs w:val="24"/>
          <w:lang w:eastAsia="sq-AL"/>
        </w:rPr>
        <w:t>On the control of physical cash entering or leaving the Union”, reflecting the mechanisms for declaration/reporting, control and exchange of information on cross-border movements of physical cash”</w:t>
      </w:r>
      <w:r>
        <w:rPr>
          <w:color w:val="000000"/>
          <w:sz w:val="24"/>
          <w:szCs w:val="24"/>
          <w:lang w:eastAsia="sq-AL"/>
        </w:rPr>
        <w:t>.</w:t>
      </w:r>
    </w:p>
    <w:p w14:paraId="1D663EDA"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t>PART I</w:t>
      </w:r>
    </w:p>
    <w:p w14:paraId="7685E651"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t>CHAPTER I – GENERAL PRINCIPLES</w:t>
      </w:r>
    </w:p>
    <w:p w14:paraId="09E1A951"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t>Article 1 – Purpose</w:t>
      </w:r>
    </w:p>
    <w:p w14:paraId="31292D84" w14:textId="77777777" w:rsidR="007227BB" w:rsidRPr="000C4031" w:rsidRDefault="007227BB" w:rsidP="000742F2">
      <w:pPr>
        <w:pStyle w:val="BodyText"/>
        <w:tabs>
          <w:tab w:val="left" w:pos="4783"/>
        </w:tabs>
        <w:spacing w:line="276" w:lineRule="auto"/>
        <w:ind w:right="48"/>
        <w:rPr>
          <w:sz w:val="24"/>
          <w:szCs w:val="24"/>
        </w:rPr>
      </w:pPr>
      <w:r>
        <w:rPr>
          <w:sz w:val="24"/>
          <w:szCs w:val="24"/>
        </w:rPr>
        <w:t xml:space="preserve">Defines the purpose of the law: prevention of money laundering, proceeds of criminal offences, and terrorist financing </w:t>
      </w:r>
    </w:p>
    <w:p w14:paraId="3CF0B82E"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t>Article 2 – Subject matter</w:t>
      </w:r>
    </w:p>
    <w:p w14:paraId="5CF8744C" w14:textId="11116449" w:rsidR="007227BB" w:rsidRPr="000C4031" w:rsidRDefault="007227BB" w:rsidP="000742F2">
      <w:pPr>
        <w:pStyle w:val="BodyText"/>
        <w:tabs>
          <w:tab w:val="left" w:pos="4783"/>
        </w:tabs>
        <w:spacing w:line="276" w:lineRule="auto"/>
        <w:ind w:right="48"/>
        <w:rPr>
          <w:sz w:val="24"/>
          <w:szCs w:val="24"/>
        </w:rPr>
      </w:pPr>
      <w:r>
        <w:rPr>
          <w:sz w:val="24"/>
          <w:szCs w:val="24"/>
        </w:rPr>
        <w:t>Defines the regulatory scope of the law: national measures, registration and verification of senior management, risk assessment, access to registers, the role of AIF, and institutional/national and international cooperation.</w:t>
      </w:r>
    </w:p>
    <w:p w14:paraId="42926EDC"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t>Article 3 – Definitions</w:t>
      </w:r>
    </w:p>
    <w:p w14:paraId="425A1E4E" w14:textId="2604B1FC" w:rsidR="007227BB" w:rsidRPr="000C4031" w:rsidRDefault="007227BB" w:rsidP="000742F2">
      <w:pPr>
        <w:pStyle w:val="BodyText"/>
        <w:tabs>
          <w:tab w:val="left" w:pos="4783"/>
        </w:tabs>
        <w:spacing w:line="276" w:lineRule="auto"/>
        <w:ind w:right="48"/>
        <w:rPr>
          <w:sz w:val="24"/>
          <w:szCs w:val="24"/>
        </w:rPr>
      </w:pPr>
      <w:r>
        <w:rPr>
          <w:sz w:val="24"/>
          <w:szCs w:val="24"/>
        </w:rPr>
        <w:t xml:space="preserve">Defines the basic terminology of the law, in accordance with EU regulations, including: responsible authority (AIF), competent authorities, obliged entities, home/host Member State, financing of weapons of mass destruction, etc. </w:t>
      </w:r>
    </w:p>
    <w:p w14:paraId="0BF0A6A4" w14:textId="04A17D8C" w:rsidR="007227BB" w:rsidRPr="000C4031" w:rsidRDefault="007227BB" w:rsidP="000742F2">
      <w:pPr>
        <w:pStyle w:val="BodyText"/>
        <w:tabs>
          <w:tab w:val="left" w:pos="4783"/>
        </w:tabs>
        <w:spacing w:line="276" w:lineRule="auto"/>
        <w:ind w:right="48"/>
        <w:rPr>
          <w:b/>
          <w:bCs/>
          <w:sz w:val="24"/>
          <w:szCs w:val="24"/>
        </w:rPr>
      </w:pPr>
      <w:r>
        <w:rPr>
          <w:b/>
          <w:bCs/>
          <w:sz w:val="24"/>
          <w:szCs w:val="24"/>
        </w:rPr>
        <w:t>SECTION 2 – National measures</w:t>
      </w:r>
    </w:p>
    <w:p w14:paraId="2A35A1B8"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t>Article 4 – Extension of scope</w:t>
      </w:r>
    </w:p>
    <w:p w14:paraId="35970724" w14:textId="1889D53B" w:rsidR="007227BB" w:rsidRPr="000C4031" w:rsidRDefault="007227BB" w:rsidP="000742F2">
      <w:pPr>
        <w:pStyle w:val="BodyText"/>
        <w:tabs>
          <w:tab w:val="left" w:pos="4783"/>
        </w:tabs>
        <w:spacing w:line="276" w:lineRule="auto"/>
        <w:ind w:right="48"/>
        <w:rPr>
          <w:sz w:val="24"/>
          <w:szCs w:val="24"/>
        </w:rPr>
      </w:pPr>
      <w:r>
        <w:rPr>
          <w:sz w:val="24"/>
          <w:szCs w:val="24"/>
        </w:rPr>
        <w:t>Allows the Council of Ministers to extend AML/CFT measures to other sectors/entities, based on risk assessment.</w:t>
      </w:r>
    </w:p>
    <w:p w14:paraId="7DF9CE7C"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t>Article 5 – Procedure for extension</w:t>
      </w:r>
    </w:p>
    <w:p w14:paraId="2BB0C182" w14:textId="7AC60322" w:rsidR="007227BB" w:rsidRPr="000C4031" w:rsidRDefault="007227BB" w:rsidP="000742F2">
      <w:pPr>
        <w:pStyle w:val="BodyText"/>
        <w:tabs>
          <w:tab w:val="left" w:pos="4783"/>
        </w:tabs>
        <w:spacing w:line="276" w:lineRule="auto"/>
        <w:ind w:right="48"/>
        <w:rPr>
          <w:sz w:val="24"/>
          <w:szCs w:val="24"/>
        </w:rPr>
      </w:pPr>
      <w:r>
        <w:rPr>
          <w:sz w:val="24"/>
          <w:szCs w:val="24"/>
        </w:rPr>
        <w:t>Defines the preliminary analysis, proportionality criteria, institutional review, and 6-month postponement (with exception for serious/immediate risk).</w:t>
      </w:r>
    </w:p>
    <w:p w14:paraId="36FC4FD3"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t>Article 6 – Requirements for service providers</w:t>
      </w:r>
    </w:p>
    <w:p w14:paraId="088F22F4" w14:textId="77777777" w:rsidR="007227BB" w:rsidRPr="000C4031" w:rsidRDefault="007227BB" w:rsidP="000742F2">
      <w:pPr>
        <w:pStyle w:val="BodyText"/>
        <w:tabs>
          <w:tab w:val="left" w:pos="4783"/>
        </w:tabs>
        <w:spacing w:line="276" w:lineRule="auto"/>
        <w:ind w:right="48"/>
        <w:rPr>
          <w:sz w:val="24"/>
          <w:szCs w:val="24"/>
        </w:rPr>
      </w:pPr>
      <w:r>
        <w:rPr>
          <w:sz w:val="24"/>
          <w:szCs w:val="24"/>
        </w:rPr>
        <w:t xml:space="preserve">Provides for licensing/supervision of currency exchange offices, company formation services, and gambling services </w:t>
      </w:r>
    </w:p>
    <w:p w14:paraId="23D1CE06"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t>Article 7 – Minimal registration</w:t>
      </w:r>
    </w:p>
    <w:p w14:paraId="09A96626" w14:textId="738105EB" w:rsidR="007227BB" w:rsidRPr="000C4031" w:rsidRDefault="007227BB" w:rsidP="000742F2">
      <w:pPr>
        <w:pStyle w:val="BodyText"/>
        <w:tabs>
          <w:tab w:val="left" w:pos="4783"/>
        </w:tabs>
        <w:spacing w:line="276" w:lineRule="auto"/>
        <w:ind w:right="48"/>
        <w:rPr>
          <w:sz w:val="24"/>
          <w:szCs w:val="24"/>
        </w:rPr>
      </w:pPr>
      <w:r>
        <w:rPr>
          <w:sz w:val="24"/>
          <w:szCs w:val="24"/>
        </w:rPr>
        <w:t>Establishes the obligation for minimal registration for obliged entities that are not licensed under other legislation.</w:t>
      </w:r>
    </w:p>
    <w:p w14:paraId="42C076E1"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lastRenderedPageBreak/>
        <w:t>Article 8 – Residence permits for investment</w:t>
      </w:r>
    </w:p>
    <w:p w14:paraId="00A6C5D1" w14:textId="4E397375" w:rsidR="007227BB" w:rsidRPr="000C4031" w:rsidRDefault="007227BB" w:rsidP="000742F2">
      <w:pPr>
        <w:pStyle w:val="BodyText"/>
        <w:tabs>
          <w:tab w:val="left" w:pos="4783"/>
        </w:tabs>
        <w:spacing w:line="276" w:lineRule="auto"/>
        <w:ind w:right="48"/>
        <w:rPr>
          <w:sz w:val="24"/>
          <w:szCs w:val="24"/>
        </w:rPr>
      </w:pPr>
      <w:r>
        <w:rPr>
          <w:sz w:val="24"/>
          <w:szCs w:val="24"/>
        </w:rPr>
        <w:t>Establishes special AML measures for “residence for investment” schemes, including verification of the source of funds, comparison with sanction lists, annual reporting, and interinstitutional cooperation.</w:t>
      </w:r>
    </w:p>
    <w:p w14:paraId="18FFA624"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t>Article 9 – Integrity of senior management and beneficial owners</w:t>
      </w:r>
    </w:p>
    <w:p w14:paraId="58DF2BD5" w14:textId="310D7517" w:rsidR="007227BB" w:rsidRPr="000C4031" w:rsidRDefault="007227BB" w:rsidP="000742F2">
      <w:pPr>
        <w:pStyle w:val="BodyText"/>
        <w:tabs>
          <w:tab w:val="left" w:pos="4783"/>
        </w:tabs>
        <w:spacing w:line="276" w:lineRule="auto"/>
        <w:ind w:right="48"/>
        <w:rPr>
          <w:sz w:val="24"/>
          <w:szCs w:val="24"/>
        </w:rPr>
      </w:pPr>
      <w:r>
        <w:rPr>
          <w:sz w:val="24"/>
          <w:szCs w:val="24"/>
        </w:rPr>
        <w:t>Establishes reputation verification, prohibition for persons convicted for ML/TF, competence for removal from function, and administrative measures against convicted beneficial owners.</w:t>
      </w:r>
    </w:p>
    <w:p w14:paraId="33935FE8"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t>SECTION 3 – RISK ASSESSMENTS</w:t>
      </w:r>
    </w:p>
    <w:p w14:paraId="37D30DF1"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t>Article 10 – National Risk Assessment (NRA)</w:t>
      </w:r>
    </w:p>
    <w:p w14:paraId="266E80C4" w14:textId="28CBF58F" w:rsidR="007227BB" w:rsidRPr="000C4031" w:rsidRDefault="007227BB" w:rsidP="000742F2">
      <w:pPr>
        <w:pStyle w:val="BodyText"/>
        <w:tabs>
          <w:tab w:val="left" w:pos="4783"/>
        </w:tabs>
        <w:spacing w:line="276" w:lineRule="auto"/>
        <w:ind w:right="48"/>
        <w:rPr>
          <w:sz w:val="24"/>
          <w:szCs w:val="24"/>
        </w:rPr>
      </w:pPr>
      <w:r>
        <w:rPr>
          <w:sz w:val="24"/>
          <w:szCs w:val="24"/>
        </w:rPr>
        <w:t>Defines the periodic drafting of the NRA (at least every 4 years), coordination by the FIU, use of EU reports, publication of the summary, and the use of the NRA for policies, priorities, and sectoral measures.</w:t>
      </w:r>
    </w:p>
    <w:p w14:paraId="208E738C" w14:textId="148DFEA3" w:rsidR="007227BB" w:rsidRPr="000C4031" w:rsidRDefault="007227BB" w:rsidP="000742F2">
      <w:pPr>
        <w:pStyle w:val="BodyText"/>
        <w:tabs>
          <w:tab w:val="left" w:pos="4783"/>
        </w:tabs>
        <w:spacing w:line="276" w:lineRule="auto"/>
        <w:ind w:right="48"/>
        <w:rPr>
          <w:sz w:val="24"/>
          <w:szCs w:val="24"/>
        </w:rPr>
      </w:pPr>
      <w:r>
        <w:rPr>
          <w:b/>
          <w:bCs/>
          <w:sz w:val="24"/>
          <w:szCs w:val="24"/>
        </w:rPr>
        <w:t>Article 11 – Statistics</w:t>
      </w:r>
    </w:p>
    <w:p w14:paraId="13F37AA8" w14:textId="77777777" w:rsidR="007227BB" w:rsidRPr="000C4031" w:rsidRDefault="007227BB" w:rsidP="000742F2">
      <w:pPr>
        <w:pStyle w:val="BodyText"/>
        <w:tabs>
          <w:tab w:val="left" w:pos="4783"/>
        </w:tabs>
        <w:spacing w:line="276" w:lineRule="auto"/>
        <w:ind w:right="48"/>
        <w:rPr>
          <w:sz w:val="24"/>
          <w:szCs w:val="24"/>
        </w:rPr>
      </w:pPr>
      <w:r>
        <w:rPr>
          <w:sz w:val="24"/>
          <w:szCs w:val="24"/>
        </w:rPr>
        <w:t xml:space="preserve">Establishes the obligation for collection and statistical reporting on SAR, investigations, confiscations, international cooperation, administrative measures, and beneficial ownership </w:t>
      </w:r>
    </w:p>
    <w:p w14:paraId="1AA86F1C"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t>SECTION 4 – Single access point (immovable property)</w:t>
      </w:r>
    </w:p>
    <w:p w14:paraId="4ABB4BFB"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t>Article 12 – Establishment of the single access point</w:t>
      </w:r>
    </w:p>
    <w:p w14:paraId="5BD1DB28" w14:textId="422F8BB2" w:rsidR="007227BB" w:rsidRPr="000C4031" w:rsidRDefault="007227BB" w:rsidP="000742F2">
      <w:pPr>
        <w:pStyle w:val="BodyText"/>
        <w:tabs>
          <w:tab w:val="left" w:pos="4783"/>
        </w:tabs>
        <w:spacing w:line="276" w:lineRule="auto"/>
        <w:ind w:right="48"/>
        <w:rPr>
          <w:sz w:val="24"/>
          <w:szCs w:val="24"/>
        </w:rPr>
      </w:pPr>
      <w:r>
        <w:rPr>
          <w:sz w:val="24"/>
          <w:szCs w:val="24"/>
        </w:rPr>
        <w:t>Foresees immediate electronic access for competent authorities to data on immovable property.</w:t>
      </w:r>
    </w:p>
    <w:p w14:paraId="1CD1656D" w14:textId="77777777" w:rsidR="007227BB" w:rsidRPr="000C4031" w:rsidRDefault="007227BB" w:rsidP="000742F2">
      <w:pPr>
        <w:pStyle w:val="BodyText"/>
        <w:tabs>
          <w:tab w:val="left" w:pos="4783"/>
        </w:tabs>
        <w:spacing w:line="276" w:lineRule="auto"/>
        <w:ind w:right="48"/>
        <w:rPr>
          <w:b/>
          <w:bCs/>
          <w:sz w:val="24"/>
          <w:szCs w:val="24"/>
        </w:rPr>
      </w:pPr>
      <w:r>
        <w:rPr>
          <w:b/>
          <w:bCs/>
          <w:sz w:val="24"/>
          <w:szCs w:val="24"/>
        </w:rPr>
        <w:t>Article 13 – Content of the information</w:t>
      </w:r>
    </w:p>
    <w:p w14:paraId="282CBC8C" w14:textId="33983E7D" w:rsidR="007227BB" w:rsidRPr="000C4031" w:rsidRDefault="007227BB" w:rsidP="000742F2">
      <w:pPr>
        <w:pStyle w:val="BodyText"/>
        <w:tabs>
          <w:tab w:val="left" w:pos="4783"/>
        </w:tabs>
        <w:spacing w:line="276" w:lineRule="auto"/>
        <w:ind w:right="48"/>
        <w:rPr>
          <w:sz w:val="24"/>
          <w:szCs w:val="24"/>
        </w:rPr>
      </w:pPr>
      <w:r>
        <w:rPr>
          <w:sz w:val="24"/>
          <w:szCs w:val="24"/>
        </w:rPr>
        <w:t>Specifies the data included: property identification, ownership, encumbrance, ownership history (from 8 July 2019), technical rules, and access for AMLA.</w:t>
      </w:r>
    </w:p>
    <w:p w14:paraId="683D6783" w14:textId="77777777" w:rsidR="002C3AF6" w:rsidRPr="000C4031" w:rsidRDefault="002C3AF6" w:rsidP="000742F2">
      <w:pPr>
        <w:pStyle w:val="BodyText"/>
        <w:tabs>
          <w:tab w:val="left" w:pos="4783"/>
        </w:tabs>
        <w:spacing w:line="276" w:lineRule="auto"/>
        <w:ind w:right="48"/>
        <w:rPr>
          <w:b/>
          <w:bCs/>
          <w:sz w:val="24"/>
          <w:szCs w:val="24"/>
        </w:rPr>
      </w:pPr>
    </w:p>
    <w:p w14:paraId="40E2D842" w14:textId="482C581F" w:rsidR="009D3D16" w:rsidRPr="000C4031" w:rsidRDefault="009D3D16" w:rsidP="000742F2">
      <w:pPr>
        <w:pStyle w:val="BodyText"/>
        <w:tabs>
          <w:tab w:val="left" w:pos="4783"/>
        </w:tabs>
        <w:spacing w:line="276" w:lineRule="auto"/>
        <w:ind w:right="48"/>
        <w:rPr>
          <w:b/>
          <w:bCs/>
          <w:sz w:val="24"/>
          <w:szCs w:val="24"/>
        </w:rPr>
      </w:pPr>
      <w:r>
        <w:rPr>
          <w:b/>
          <w:bCs/>
          <w:sz w:val="24"/>
          <w:szCs w:val="24"/>
        </w:rPr>
        <w:t>CHAPTER II – FIU</w:t>
      </w:r>
    </w:p>
    <w:p w14:paraId="598F2375" w14:textId="77777777" w:rsidR="009D3D16" w:rsidRPr="000C4031" w:rsidRDefault="009D3D16" w:rsidP="000742F2">
      <w:pPr>
        <w:pStyle w:val="BodyText"/>
        <w:tabs>
          <w:tab w:val="left" w:pos="4783"/>
        </w:tabs>
        <w:spacing w:line="276" w:lineRule="auto"/>
        <w:ind w:right="48"/>
        <w:rPr>
          <w:b/>
          <w:bCs/>
          <w:sz w:val="24"/>
          <w:szCs w:val="24"/>
        </w:rPr>
      </w:pPr>
      <w:r>
        <w:rPr>
          <w:b/>
          <w:bCs/>
          <w:sz w:val="24"/>
          <w:szCs w:val="24"/>
        </w:rPr>
        <w:t>Article 14 – Organization and functioning of the FIU</w:t>
      </w:r>
    </w:p>
    <w:p w14:paraId="63502448" w14:textId="77777777" w:rsidR="009D3D16" w:rsidRPr="000C4031" w:rsidRDefault="009D3D16" w:rsidP="000742F2">
      <w:pPr>
        <w:pStyle w:val="BodyText"/>
        <w:tabs>
          <w:tab w:val="left" w:pos="4783"/>
        </w:tabs>
        <w:spacing w:line="276" w:lineRule="auto"/>
        <w:ind w:right="48"/>
        <w:rPr>
          <w:sz w:val="24"/>
          <w:szCs w:val="24"/>
        </w:rPr>
      </w:pPr>
      <w:r>
        <w:rPr>
          <w:sz w:val="24"/>
          <w:szCs w:val="24"/>
        </w:rPr>
        <w:t xml:space="preserve">Specifies the institutional status of the FIU as the central FIU unit, analytical competences (operational/strategic), functional independence, resources, professional secrecy, and cooperation with law enforcement agencies </w:t>
      </w:r>
    </w:p>
    <w:p w14:paraId="3F9837EC" w14:textId="77777777" w:rsidR="009D3D16" w:rsidRPr="000C4031" w:rsidRDefault="009D3D16" w:rsidP="000742F2">
      <w:pPr>
        <w:pStyle w:val="BodyText"/>
        <w:tabs>
          <w:tab w:val="left" w:pos="4783"/>
        </w:tabs>
        <w:spacing w:line="276" w:lineRule="auto"/>
        <w:ind w:right="48"/>
        <w:rPr>
          <w:b/>
          <w:bCs/>
          <w:sz w:val="24"/>
          <w:szCs w:val="24"/>
        </w:rPr>
      </w:pPr>
      <w:r>
        <w:rPr>
          <w:b/>
          <w:bCs/>
          <w:sz w:val="24"/>
          <w:szCs w:val="24"/>
        </w:rPr>
        <w:t>Article 15 – ICT Structures</w:t>
      </w:r>
    </w:p>
    <w:p w14:paraId="4C576C2C" w14:textId="54353907" w:rsidR="009D3D16" w:rsidRPr="000C4031" w:rsidRDefault="009D3D16" w:rsidP="000742F2">
      <w:pPr>
        <w:pStyle w:val="BodyText"/>
        <w:tabs>
          <w:tab w:val="left" w:pos="4783"/>
        </w:tabs>
        <w:spacing w:line="276" w:lineRule="auto"/>
        <w:ind w:right="48"/>
        <w:rPr>
          <w:sz w:val="24"/>
          <w:szCs w:val="24"/>
        </w:rPr>
      </w:pPr>
      <w:r>
        <w:rPr>
          <w:sz w:val="24"/>
          <w:szCs w:val="24"/>
        </w:rPr>
        <w:t>Specifies the competences of the FIU for ICT systems, cybersecurity, and cooperation with AKSHI.</w:t>
      </w:r>
    </w:p>
    <w:p w14:paraId="50DDA8E1" w14:textId="77777777" w:rsidR="009D3D16" w:rsidRPr="000C4031" w:rsidRDefault="009D3D16" w:rsidP="000742F2">
      <w:pPr>
        <w:pStyle w:val="BodyText"/>
        <w:tabs>
          <w:tab w:val="left" w:pos="4783"/>
        </w:tabs>
        <w:spacing w:line="276" w:lineRule="auto"/>
        <w:ind w:right="48"/>
        <w:rPr>
          <w:b/>
          <w:bCs/>
          <w:sz w:val="24"/>
          <w:szCs w:val="24"/>
        </w:rPr>
      </w:pPr>
      <w:r>
        <w:rPr>
          <w:b/>
          <w:bCs/>
          <w:sz w:val="24"/>
          <w:szCs w:val="24"/>
        </w:rPr>
        <w:t>Article 16 – Use of data</w:t>
      </w:r>
    </w:p>
    <w:p w14:paraId="698ACB56" w14:textId="39320FB6" w:rsidR="009D3D16" w:rsidRPr="000C4031" w:rsidRDefault="009D3D16" w:rsidP="000742F2">
      <w:pPr>
        <w:pStyle w:val="BodyText"/>
        <w:tabs>
          <w:tab w:val="left" w:pos="4783"/>
        </w:tabs>
        <w:spacing w:line="276" w:lineRule="auto"/>
        <w:ind w:right="48"/>
        <w:rPr>
          <w:sz w:val="24"/>
          <w:szCs w:val="24"/>
        </w:rPr>
      </w:pPr>
      <w:r>
        <w:rPr>
          <w:sz w:val="24"/>
          <w:szCs w:val="24"/>
        </w:rPr>
        <w:t>Specifies that FIU information does not constitute criminal evidence; law enforcement agencies report every 6 months on its use.</w:t>
      </w:r>
    </w:p>
    <w:p w14:paraId="0CA7969C" w14:textId="77777777" w:rsidR="009D3D16" w:rsidRPr="000C4031" w:rsidRDefault="009D3D16" w:rsidP="000742F2">
      <w:pPr>
        <w:pStyle w:val="BodyText"/>
        <w:tabs>
          <w:tab w:val="left" w:pos="4783"/>
        </w:tabs>
        <w:spacing w:line="276" w:lineRule="auto"/>
        <w:ind w:right="48"/>
        <w:rPr>
          <w:b/>
          <w:bCs/>
          <w:sz w:val="24"/>
          <w:szCs w:val="24"/>
        </w:rPr>
      </w:pPr>
      <w:r>
        <w:rPr>
          <w:b/>
          <w:bCs/>
          <w:sz w:val="24"/>
          <w:szCs w:val="24"/>
        </w:rPr>
        <w:t>Article 17 – Officer for Guaranteeing Fundamental Rights</w:t>
      </w:r>
    </w:p>
    <w:p w14:paraId="14499586" w14:textId="77777777" w:rsidR="009D3D16" w:rsidRPr="000C4031" w:rsidRDefault="009D3D16" w:rsidP="000742F2">
      <w:pPr>
        <w:pStyle w:val="BodyText"/>
        <w:tabs>
          <w:tab w:val="left" w:pos="4783"/>
        </w:tabs>
        <w:spacing w:line="276" w:lineRule="auto"/>
        <w:ind w:right="48"/>
        <w:rPr>
          <w:sz w:val="24"/>
          <w:szCs w:val="24"/>
        </w:rPr>
      </w:pPr>
      <w:r>
        <w:rPr>
          <w:sz w:val="24"/>
          <w:szCs w:val="24"/>
        </w:rPr>
        <w:t xml:space="preserve">Establishes an internal monitoring function for the respect of fundamental rights in the activity of the FIU, with an advisory and independent role </w:t>
      </w:r>
    </w:p>
    <w:p w14:paraId="49AC80AE" w14:textId="77777777" w:rsidR="00AD7853" w:rsidRPr="000C4031" w:rsidRDefault="00AD7853" w:rsidP="000742F2">
      <w:pPr>
        <w:pStyle w:val="BodyText"/>
        <w:tabs>
          <w:tab w:val="left" w:pos="4783"/>
        </w:tabs>
        <w:spacing w:line="276" w:lineRule="auto"/>
        <w:ind w:right="48"/>
        <w:rPr>
          <w:b/>
          <w:bCs/>
          <w:sz w:val="24"/>
          <w:szCs w:val="24"/>
        </w:rPr>
      </w:pPr>
      <w:r>
        <w:rPr>
          <w:b/>
          <w:bCs/>
          <w:sz w:val="24"/>
          <w:szCs w:val="24"/>
        </w:rPr>
        <w:t>PART II – OBLIGATIONS AND COMPETENCES</w:t>
      </w:r>
    </w:p>
    <w:p w14:paraId="79D16CBF" w14:textId="77777777" w:rsidR="00AD7853" w:rsidRPr="000C4031" w:rsidRDefault="00AD7853" w:rsidP="000742F2">
      <w:pPr>
        <w:pStyle w:val="BodyText"/>
        <w:tabs>
          <w:tab w:val="left" w:pos="4783"/>
        </w:tabs>
        <w:spacing w:line="276" w:lineRule="auto"/>
        <w:ind w:right="48"/>
        <w:rPr>
          <w:b/>
          <w:bCs/>
          <w:sz w:val="24"/>
          <w:szCs w:val="24"/>
        </w:rPr>
      </w:pPr>
      <w:r>
        <w:rPr>
          <w:b/>
          <w:bCs/>
          <w:sz w:val="24"/>
          <w:szCs w:val="24"/>
        </w:rPr>
        <w:t>Article 18 – Monitoring measures</w:t>
      </w:r>
    </w:p>
    <w:p w14:paraId="450203DC" w14:textId="54C55C8B" w:rsidR="00AD7853" w:rsidRPr="000C4031" w:rsidRDefault="00AD7853" w:rsidP="000742F2">
      <w:pPr>
        <w:pStyle w:val="BodyText"/>
        <w:tabs>
          <w:tab w:val="left" w:pos="4783"/>
        </w:tabs>
        <w:spacing w:line="276" w:lineRule="auto"/>
        <w:ind w:right="48"/>
        <w:rPr>
          <w:sz w:val="24"/>
          <w:szCs w:val="24"/>
        </w:rPr>
      </w:pPr>
      <w:r>
        <w:rPr>
          <w:sz w:val="24"/>
          <w:szCs w:val="24"/>
        </w:rPr>
        <w:t>Provides for the competence of the FIU to order monitoring measures against obliged entities, including at the request of a homologous FIU.</w:t>
      </w:r>
    </w:p>
    <w:p w14:paraId="795AE78F" w14:textId="72FF042C" w:rsidR="00AD7853" w:rsidRPr="000C4031" w:rsidRDefault="00AD7853" w:rsidP="000742F2">
      <w:pPr>
        <w:pStyle w:val="BodyText"/>
        <w:tabs>
          <w:tab w:val="left" w:pos="4783"/>
        </w:tabs>
        <w:spacing w:line="276" w:lineRule="auto"/>
        <w:ind w:right="48"/>
        <w:rPr>
          <w:b/>
          <w:bCs/>
          <w:sz w:val="24"/>
          <w:szCs w:val="24"/>
        </w:rPr>
      </w:pPr>
      <w:r>
        <w:rPr>
          <w:b/>
          <w:bCs/>
          <w:sz w:val="24"/>
          <w:szCs w:val="24"/>
        </w:rPr>
        <w:t>Article 19 – Temporary measures / preventive intervention</w:t>
      </w:r>
    </w:p>
    <w:p w14:paraId="2F725495" w14:textId="77777777" w:rsidR="00AD7853" w:rsidRPr="000C4031" w:rsidRDefault="00AD7853" w:rsidP="000742F2">
      <w:pPr>
        <w:pStyle w:val="BodyText"/>
        <w:tabs>
          <w:tab w:val="left" w:pos="4783"/>
        </w:tabs>
        <w:spacing w:line="276" w:lineRule="auto"/>
        <w:ind w:right="48"/>
        <w:rPr>
          <w:sz w:val="24"/>
          <w:szCs w:val="24"/>
        </w:rPr>
      </w:pPr>
      <w:r>
        <w:rPr>
          <w:sz w:val="24"/>
          <w:szCs w:val="24"/>
        </w:rPr>
        <w:t>Regulates the competence of the FIU for temporary measures in the function of analysis and prevention of ML/TF.</w:t>
      </w:r>
    </w:p>
    <w:p w14:paraId="5023A6E1" w14:textId="623EA9CE" w:rsidR="00AD7853" w:rsidRPr="000C4031" w:rsidRDefault="00AD7853" w:rsidP="000742F2">
      <w:pPr>
        <w:pStyle w:val="BodyText"/>
        <w:tabs>
          <w:tab w:val="left" w:pos="4783"/>
        </w:tabs>
        <w:spacing w:line="276" w:lineRule="auto"/>
        <w:ind w:right="48"/>
        <w:rPr>
          <w:b/>
          <w:bCs/>
          <w:sz w:val="24"/>
          <w:szCs w:val="24"/>
        </w:rPr>
      </w:pPr>
      <w:r>
        <w:rPr>
          <w:b/>
          <w:bCs/>
          <w:sz w:val="24"/>
          <w:szCs w:val="24"/>
        </w:rPr>
        <w:lastRenderedPageBreak/>
        <w:t>Article 20 – Temporary freezing / blocking</w:t>
      </w:r>
    </w:p>
    <w:p w14:paraId="02C5DBE9" w14:textId="77777777" w:rsidR="00AD7853" w:rsidRPr="000C4031" w:rsidRDefault="00AD7853" w:rsidP="000742F2">
      <w:pPr>
        <w:pStyle w:val="BodyText"/>
        <w:tabs>
          <w:tab w:val="left" w:pos="4783"/>
        </w:tabs>
        <w:spacing w:line="276" w:lineRule="auto"/>
        <w:ind w:right="48"/>
        <w:rPr>
          <w:sz w:val="24"/>
          <w:szCs w:val="24"/>
        </w:rPr>
      </w:pPr>
      <w:r>
        <w:rPr>
          <w:sz w:val="24"/>
          <w:szCs w:val="24"/>
        </w:rPr>
        <w:t>Provides for the right of the FIU to temporarily suspend transactions when there is reasonable suspicion of ML/TF.</w:t>
      </w:r>
    </w:p>
    <w:p w14:paraId="7B9228C5" w14:textId="784CB99B" w:rsidR="00AD7853" w:rsidRPr="000C4031" w:rsidRDefault="00AD7853" w:rsidP="000742F2">
      <w:pPr>
        <w:pStyle w:val="BodyText"/>
        <w:tabs>
          <w:tab w:val="left" w:pos="4783"/>
        </w:tabs>
        <w:spacing w:line="276" w:lineRule="auto"/>
        <w:ind w:right="48"/>
        <w:rPr>
          <w:b/>
          <w:bCs/>
          <w:sz w:val="24"/>
          <w:szCs w:val="24"/>
        </w:rPr>
      </w:pPr>
      <w:r>
        <w:rPr>
          <w:b/>
          <w:bCs/>
          <w:sz w:val="24"/>
          <w:szCs w:val="24"/>
        </w:rPr>
        <w:t>Article 21 – Communication with law enforcement agencies</w:t>
      </w:r>
    </w:p>
    <w:p w14:paraId="31331770" w14:textId="77777777" w:rsidR="00AD7853" w:rsidRPr="000C4031" w:rsidRDefault="00AD7853" w:rsidP="000742F2">
      <w:pPr>
        <w:pStyle w:val="BodyText"/>
        <w:tabs>
          <w:tab w:val="left" w:pos="4783"/>
        </w:tabs>
        <w:spacing w:line="276" w:lineRule="auto"/>
        <w:ind w:right="48"/>
        <w:rPr>
          <w:sz w:val="24"/>
          <w:szCs w:val="24"/>
        </w:rPr>
      </w:pPr>
      <w:r>
        <w:rPr>
          <w:sz w:val="24"/>
          <w:szCs w:val="24"/>
        </w:rPr>
        <w:t>Regulates the referral of cases for criminal investigation and procedural cooperation with the prosecution.</w:t>
      </w:r>
    </w:p>
    <w:p w14:paraId="1016F6A3" w14:textId="77777777" w:rsidR="00AD7853" w:rsidRPr="000C4031" w:rsidRDefault="00AD7853" w:rsidP="000742F2">
      <w:pPr>
        <w:pStyle w:val="BodyText"/>
        <w:tabs>
          <w:tab w:val="left" w:pos="4783"/>
        </w:tabs>
        <w:spacing w:line="276" w:lineRule="auto"/>
        <w:ind w:right="48"/>
        <w:rPr>
          <w:b/>
          <w:bCs/>
          <w:sz w:val="24"/>
          <w:szCs w:val="24"/>
        </w:rPr>
      </w:pPr>
      <w:r>
        <w:rPr>
          <w:b/>
          <w:bCs/>
          <w:sz w:val="24"/>
          <w:szCs w:val="24"/>
        </w:rPr>
        <w:t>Article 22 – Warning notifications</w:t>
      </w:r>
    </w:p>
    <w:p w14:paraId="5C00819D" w14:textId="77777777" w:rsidR="00AD7853" w:rsidRPr="000C4031" w:rsidRDefault="00AD7853" w:rsidP="000742F2">
      <w:pPr>
        <w:pStyle w:val="BodyText"/>
        <w:tabs>
          <w:tab w:val="left" w:pos="4783"/>
        </w:tabs>
        <w:spacing w:line="276" w:lineRule="auto"/>
        <w:ind w:right="48"/>
        <w:rPr>
          <w:sz w:val="24"/>
          <w:szCs w:val="24"/>
        </w:rPr>
      </w:pPr>
      <w:r>
        <w:rPr>
          <w:sz w:val="24"/>
          <w:szCs w:val="24"/>
        </w:rPr>
        <w:t xml:space="preserve">Grants the FIU the competence to issue warning notifications to obliged entities regarding typologies, persons, or areas with high risk; maximum validity 6 months </w:t>
      </w:r>
    </w:p>
    <w:p w14:paraId="3DAD34F7" w14:textId="77777777" w:rsidR="00AD7853" w:rsidRPr="000C4031" w:rsidRDefault="00AD7853" w:rsidP="000742F2">
      <w:pPr>
        <w:pStyle w:val="BodyText"/>
        <w:tabs>
          <w:tab w:val="left" w:pos="4783"/>
        </w:tabs>
        <w:spacing w:line="276" w:lineRule="auto"/>
        <w:ind w:right="48"/>
        <w:rPr>
          <w:b/>
          <w:bCs/>
          <w:sz w:val="24"/>
          <w:szCs w:val="24"/>
        </w:rPr>
      </w:pPr>
      <w:r>
        <w:rPr>
          <w:b/>
          <w:bCs/>
          <w:sz w:val="24"/>
          <w:szCs w:val="24"/>
        </w:rPr>
        <w:t>Article 23 – Annual report of the FIU</w:t>
      </w:r>
    </w:p>
    <w:p w14:paraId="38D5C398" w14:textId="77777777" w:rsidR="00AD7853" w:rsidRPr="000C4031" w:rsidRDefault="00AD7853" w:rsidP="000742F2">
      <w:pPr>
        <w:pStyle w:val="BodyText"/>
        <w:tabs>
          <w:tab w:val="left" w:pos="4783"/>
        </w:tabs>
        <w:spacing w:line="276" w:lineRule="auto"/>
        <w:ind w:right="48"/>
        <w:rPr>
          <w:sz w:val="24"/>
          <w:szCs w:val="24"/>
        </w:rPr>
      </w:pPr>
      <w:r>
        <w:rPr>
          <w:sz w:val="24"/>
          <w:szCs w:val="24"/>
        </w:rPr>
        <w:t xml:space="preserve">Obliges the publication within the first quarter of each year of the annual public report with statistical data on the activity </w:t>
      </w:r>
    </w:p>
    <w:p w14:paraId="76E02FF5" w14:textId="77777777" w:rsidR="002C3AF6" w:rsidRPr="000C4031" w:rsidRDefault="002C3AF6" w:rsidP="000742F2">
      <w:pPr>
        <w:pStyle w:val="BodyText"/>
        <w:tabs>
          <w:tab w:val="left" w:pos="4783"/>
        </w:tabs>
        <w:spacing w:line="276" w:lineRule="auto"/>
        <w:ind w:right="48"/>
        <w:rPr>
          <w:b/>
          <w:bCs/>
          <w:sz w:val="24"/>
          <w:szCs w:val="24"/>
        </w:rPr>
      </w:pPr>
    </w:p>
    <w:p w14:paraId="6275531A" w14:textId="327969E4" w:rsidR="00C04806" w:rsidRPr="000C4031" w:rsidRDefault="00C04806" w:rsidP="000742F2">
      <w:pPr>
        <w:pStyle w:val="BodyText"/>
        <w:tabs>
          <w:tab w:val="left" w:pos="4783"/>
        </w:tabs>
        <w:spacing w:line="276" w:lineRule="auto"/>
        <w:ind w:right="48"/>
        <w:rPr>
          <w:b/>
          <w:bCs/>
          <w:sz w:val="24"/>
          <w:szCs w:val="24"/>
        </w:rPr>
      </w:pPr>
      <w:r>
        <w:rPr>
          <w:b/>
          <w:bCs/>
          <w:sz w:val="24"/>
          <w:szCs w:val="24"/>
        </w:rPr>
        <w:t>SECTION – FINANCIAL SANCTIONS AND POLICIES TOWARDS THIRD COUNTRIES</w:t>
      </w:r>
    </w:p>
    <w:p w14:paraId="4A0207C7"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24 – (Implementation of restrictive financial measures)</w:t>
      </w:r>
    </w:p>
    <w:p w14:paraId="4AF13662" w14:textId="77777777" w:rsidR="00C04806" w:rsidRPr="000C4031" w:rsidRDefault="00C04806" w:rsidP="000742F2">
      <w:pPr>
        <w:pStyle w:val="BodyText"/>
        <w:tabs>
          <w:tab w:val="left" w:pos="4783"/>
        </w:tabs>
        <w:spacing w:line="276" w:lineRule="auto"/>
        <w:ind w:right="48"/>
        <w:rPr>
          <w:sz w:val="24"/>
          <w:szCs w:val="24"/>
        </w:rPr>
      </w:pPr>
      <w:r>
        <w:rPr>
          <w:sz w:val="24"/>
          <w:szCs w:val="24"/>
        </w:rPr>
        <w:t>Regulates the obligations of entities for the implementation of international sanctions.</w:t>
      </w:r>
    </w:p>
    <w:p w14:paraId="22C02652"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25 – (Procedure for the implementation of sanctions)</w:t>
      </w:r>
    </w:p>
    <w:p w14:paraId="408ACDAA" w14:textId="77777777" w:rsidR="00C04806" w:rsidRPr="000C4031" w:rsidRDefault="00C04806" w:rsidP="000742F2">
      <w:pPr>
        <w:pStyle w:val="BodyText"/>
        <w:tabs>
          <w:tab w:val="left" w:pos="4783"/>
        </w:tabs>
        <w:spacing w:line="276" w:lineRule="auto"/>
        <w:ind w:right="48"/>
        <w:rPr>
          <w:sz w:val="24"/>
          <w:szCs w:val="24"/>
        </w:rPr>
      </w:pPr>
      <w:r>
        <w:rPr>
          <w:sz w:val="24"/>
          <w:szCs w:val="24"/>
        </w:rPr>
        <w:t>Specifies the mechanism for freezing and reporting of funds.</w:t>
      </w:r>
    </w:p>
    <w:p w14:paraId="2800BD3D"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26 – Temporary measures for clients subject to UN sanctions</w:t>
      </w:r>
    </w:p>
    <w:p w14:paraId="68078905" w14:textId="1603D2DD" w:rsidR="00C04806" w:rsidRPr="000C4031" w:rsidRDefault="00C04806" w:rsidP="000742F2">
      <w:pPr>
        <w:pStyle w:val="BodyText"/>
        <w:tabs>
          <w:tab w:val="left" w:pos="4783"/>
        </w:tabs>
        <w:spacing w:line="276" w:lineRule="auto"/>
        <w:ind w:right="48"/>
        <w:rPr>
          <w:sz w:val="24"/>
          <w:szCs w:val="24"/>
        </w:rPr>
      </w:pPr>
      <w:r>
        <w:rPr>
          <w:sz w:val="24"/>
          <w:szCs w:val="24"/>
        </w:rPr>
        <w:t>Obliges entities to retain data regarding the funds and transactions of listed clients until the full implementation of the sanctions.</w:t>
      </w:r>
    </w:p>
    <w:p w14:paraId="04206FF8"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27 – High-risk third countries</w:t>
      </w:r>
    </w:p>
    <w:p w14:paraId="24FE594B" w14:textId="77777777" w:rsidR="00C04806" w:rsidRPr="000C4031" w:rsidRDefault="00C04806" w:rsidP="000742F2">
      <w:pPr>
        <w:pStyle w:val="BodyText"/>
        <w:tabs>
          <w:tab w:val="left" w:pos="4783"/>
        </w:tabs>
        <w:spacing w:line="276" w:lineRule="auto"/>
        <w:ind w:right="48"/>
        <w:rPr>
          <w:sz w:val="24"/>
          <w:szCs w:val="24"/>
        </w:rPr>
      </w:pPr>
      <w:r>
        <w:rPr>
          <w:sz w:val="24"/>
          <w:szCs w:val="24"/>
        </w:rPr>
        <w:t xml:space="preserve">Specifies the obligation for enhanced vigilance towards countries identified by the EU as having strategic deficiencies </w:t>
      </w:r>
    </w:p>
    <w:p w14:paraId="68F98417" w14:textId="10BC5B11" w:rsidR="00C04806" w:rsidRPr="000C4031" w:rsidRDefault="00C04806" w:rsidP="000742F2">
      <w:pPr>
        <w:pStyle w:val="BodyText"/>
        <w:tabs>
          <w:tab w:val="left" w:pos="4783"/>
        </w:tabs>
        <w:spacing w:line="276" w:lineRule="auto"/>
        <w:ind w:right="48"/>
        <w:rPr>
          <w:sz w:val="24"/>
          <w:szCs w:val="24"/>
        </w:rPr>
      </w:pPr>
      <w:r>
        <w:rPr>
          <w:b/>
          <w:bCs/>
          <w:sz w:val="24"/>
          <w:szCs w:val="24"/>
        </w:rPr>
        <w:t>Article 28 – Central contact point</w:t>
      </w:r>
    </w:p>
    <w:p w14:paraId="127F6775" w14:textId="12441530" w:rsidR="00C04806" w:rsidRPr="000C4031" w:rsidRDefault="00C04806" w:rsidP="000742F2">
      <w:pPr>
        <w:pStyle w:val="BodyText"/>
        <w:tabs>
          <w:tab w:val="left" w:pos="4783"/>
        </w:tabs>
        <w:spacing w:line="276" w:lineRule="auto"/>
        <w:ind w:right="48"/>
        <w:rPr>
          <w:sz w:val="24"/>
          <w:szCs w:val="24"/>
        </w:rPr>
      </w:pPr>
      <w:r>
        <w:rPr>
          <w:sz w:val="24"/>
          <w:szCs w:val="24"/>
        </w:rPr>
        <w:t>Specifies the obligation for the designation of a central contact point for entities operating cross-border.</w:t>
      </w:r>
    </w:p>
    <w:p w14:paraId="58ED9ABE" w14:textId="77777777" w:rsidR="00C04806" w:rsidRPr="000C4031" w:rsidRDefault="00C04806" w:rsidP="000742F2">
      <w:pPr>
        <w:pStyle w:val="BodyText"/>
        <w:tabs>
          <w:tab w:val="left" w:pos="4783"/>
        </w:tabs>
        <w:spacing w:line="276" w:lineRule="auto"/>
        <w:ind w:right="48"/>
        <w:rPr>
          <w:sz w:val="24"/>
          <w:szCs w:val="24"/>
        </w:rPr>
      </w:pPr>
    </w:p>
    <w:p w14:paraId="3CB0AE66"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CHAPTER VI – SANCTIONS AND MONITORING</w:t>
      </w:r>
    </w:p>
    <w:p w14:paraId="611F500D"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29 – Specific provisions</w:t>
      </w:r>
    </w:p>
    <w:p w14:paraId="34CEE826" w14:textId="403D7134" w:rsidR="00C04806" w:rsidRPr="000C4031" w:rsidRDefault="00C04806" w:rsidP="000742F2">
      <w:pPr>
        <w:pStyle w:val="BodyText"/>
        <w:tabs>
          <w:tab w:val="left" w:pos="4783"/>
        </w:tabs>
        <w:spacing w:line="276" w:lineRule="auto"/>
        <w:ind w:right="48"/>
        <w:rPr>
          <w:sz w:val="24"/>
          <w:szCs w:val="24"/>
        </w:rPr>
      </w:pPr>
      <w:r>
        <w:rPr>
          <w:sz w:val="24"/>
          <w:szCs w:val="24"/>
        </w:rPr>
        <w:t>Specifies the imposition of effective, proportionate, and dissuasive administrative sanctions for violations.</w:t>
      </w:r>
    </w:p>
    <w:p w14:paraId="00ACBF1E"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30 – Consent for further dissemination</w:t>
      </w:r>
    </w:p>
    <w:p w14:paraId="043779E2" w14:textId="2009A952" w:rsidR="00C04806" w:rsidRPr="000C4031" w:rsidRDefault="00C04806" w:rsidP="000742F2">
      <w:pPr>
        <w:pStyle w:val="BodyText"/>
        <w:tabs>
          <w:tab w:val="left" w:pos="4783"/>
        </w:tabs>
        <w:spacing w:line="276" w:lineRule="auto"/>
        <w:ind w:right="48"/>
        <w:rPr>
          <w:sz w:val="24"/>
          <w:szCs w:val="24"/>
        </w:rPr>
      </w:pPr>
      <w:r>
        <w:rPr>
          <w:sz w:val="24"/>
          <w:szCs w:val="24"/>
        </w:rPr>
        <w:t>Establishes rules for the use and dissemination of information exchanged between FIUs; requires prior consent, with specified exceptions.</w:t>
      </w:r>
    </w:p>
    <w:p w14:paraId="5F4B8441"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31 – Effect of criminal law provisions</w:t>
      </w:r>
    </w:p>
    <w:p w14:paraId="63C52839" w14:textId="1DA4F863" w:rsidR="00C04806" w:rsidRPr="000C4031" w:rsidRDefault="00C04806" w:rsidP="000742F2">
      <w:pPr>
        <w:pStyle w:val="BodyText"/>
        <w:tabs>
          <w:tab w:val="left" w:pos="4783"/>
        </w:tabs>
        <w:spacing w:line="276" w:lineRule="auto"/>
        <w:ind w:right="48"/>
        <w:rPr>
          <w:sz w:val="24"/>
          <w:szCs w:val="24"/>
        </w:rPr>
      </w:pPr>
      <w:r>
        <w:rPr>
          <w:sz w:val="24"/>
          <w:szCs w:val="24"/>
        </w:rPr>
        <w:t>Specifies that differences in the definitions of predicate offences do not limit cooperation between FIUs.</w:t>
      </w:r>
    </w:p>
    <w:p w14:paraId="7F2E64D3" w14:textId="0AEDE70A" w:rsidR="00C04806" w:rsidRPr="000C4031" w:rsidRDefault="00C04806" w:rsidP="000742F2">
      <w:pPr>
        <w:pStyle w:val="BodyText"/>
        <w:tabs>
          <w:tab w:val="left" w:pos="4783"/>
        </w:tabs>
        <w:spacing w:line="276" w:lineRule="auto"/>
        <w:ind w:right="48"/>
        <w:rPr>
          <w:sz w:val="24"/>
          <w:szCs w:val="24"/>
        </w:rPr>
      </w:pPr>
      <w:r>
        <w:rPr>
          <w:b/>
          <w:bCs/>
          <w:sz w:val="24"/>
          <w:szCs w:val="24"/>
        </w:rPr>
        <w:t>Article 32 – Reporting confidentiality</w:t>
      </w:r>
    </w:p>
    <w:p w14:paraId="6E088189" w14:textId="45FED54D" w:rsidR="00C04806" w:rsidRPr="000C4031" w:rsidRDefault="00C04806" w:rsidP="000742F2">
      <w:pPr>
        <w:pStyle w:val="BodyText"/>
        <w:tabs>
          <w:tab w:val="left" w:pos="4783"/>
        </w:tabs>
        <w:spacing w:line="276" w:lineRule="auto"/>
        <w:ind w:right="48"/>
        <w:rPr>
          <w:sz w:val="24"/>
          <w:szCs w:val="24"/>
        </w:rPr>
      </w:pPr>
      <w:r>
        <w:rPr>
          <w:sz w:val="24"/>
          <w:szCs w:val="24"/>
        </w:rPr>
        <w:t>The protection of the identity of reporters is guaranteed and the disclosure of the source of reporting is prohibited.</w:t>
      </w:r>
    </w:p>
    <w:p w14:paraId="575E6379" w14:textId="3818F258" w:rsidR="00C04806" w:rsidRPr="000C4031" w:rsidRDefault="00C04806" w:rsidP="000742F2">
      <w:pPr>
        <w:pStyle w:val="BodyText"/>
        <w:tabs>
          <w:tab w:val="left" w:pos="4783"/>
        </w:tabs>
        <w:spacing w:line="276" w:lineRule="auto"/>
        <w:ind w:right="48"/>
        <w:rPr>
          <w:b/>
          <w:bCs/>
          <w:sz w:val="24"/>
          <w:szCs w:val="24"/>
        </w:rPr>
      </w:pPr>
      <w:r>
        <w:rPr>
          <w:b/>
          <w:bCs/>
          <w:sz w:val="24"/>
          <w:szCs w:val="24"/>
        </w:rPr>
        <w:t>Article 33 – Retention of information</w:t>
      </w:r>
    </w:p>
    <w:p w14:paraId="5B72E24C" w14:textId="53B0BA5F" w:rsidR="00C04806" w:rsidRPr="000C4031" w:rsidRDefault="00C04806" w:rsidP="000742F2">
      <w:pPr>
        <w:pStyle w:val="BodyText"/>
        <w:tabs>
          <w:tab w:val="left" w:pos="4783"/>
        </w:tabs>
        <w:spacing w:line="276" w:lineRule="auto"/>
        <w:ind w:right="48"/>
        <w:rPr>
          <w:sz w:val="24"/>
          <w:szCs w:val="24"/>
        </w:rPr>
      </w:pPr>
      <w:r>
        <w:rPr>
          <w:sz w:val="24"/>
          <w:szCs w:val="24"/>
        </w:rPr>
        <w:t xml:space="preserve">Sets the maximum retention period for data (up to 5 additional years after the initial period), </w:t>
      </w:r>
      <w:r>
        <w:rPr>
          <w:sz w:val="24"/>
          <w:szCs w:val="24"/>
        </w:rPr>
        <w:lastRenderedPageBreak/>
        <w:t>in accordance with proportionality.</w:t>
      </w:r>
    </w:p>
    <w:p w14:paraId="616069CE" w14:textId="7E56B35E" w:rsidR="00C04806" w:rsidRPr="000C4031" w:rsidRDefault="00C04806" w:rsidP="000742F2">
      <w:pPr>
        <w:pStyle w:val="BodyText"/>
        <w:tabs>
          <w:tab w:val="left" w:pos="4783"/>
        </w:tabs>
        <w:spacing w:line="276" w:lineRule="auto"/>
        <w:ind w:right="48"/>
        <w:rPr>
          <w:b/>
          <w:bCs/>
          <w:sz w:val="24"/>
          <w:szCs w:val="24"/>
        </w:rPr>
      </w:pPr>
      <w:r>
        <w:rPr>
          <w:b/>
          <w:bCs/>
          <w:sz w:val="24"/>
          <w:szCs w:val="24"/>
        </w:rPr>
        <w:t>Article 34 – Cooperation between authorities</w:t>
      </w:r>
    </w:p>
    <w:p w14:paraId="21328A87" w14:textId="6F070DD4" w:rsidR="00C04806" w:rsidRPr="000C4031" w:rsidRDefault="00C04806" w:rsidP="000742F2">
      <w:pPr>
        <w:pStyle w:val="BodyText"/>
        <w:tabs>
          <w:tab w:val="left" w:pos="4783"/>
        </w:tabs>
        <w:spacing w:line="276" w:lineRule="auto"/>
        <w:ind w:right="48"/>
        <w:rPr>
          <w:sz w:val="24"/>
          <w:szCs w:val="24"/>
        </w:rPr>
      </w:pPr>
      <w:r>
        <w:rPr>
          <w:sz w:val="24"/>
          <w:szCs w:val="24"/>
        </w:rPr>
        <w:t>Regulates the exchange of information in accordance with legislation on AML/CFT and data protection.</w:t>
      </w:r>
    </w:p>
    <w:p w14:paraId="2AF91611"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35 – (Coordination mechanism)</w:t>
      </w:r>
    </w:p>
    <w:p w14:paraId="0FA0A535" w14:textId="332382D1" w:rsidR="00C04806" w:rsidRPr="000C4031" w:rsidRDefault="00C04806" w:rsidP="000742F2">
      <w:pPr>
        <w:pStyle w:val="BodyText"/>
        <w:tabs>
          <w:tab w:val="left" w:pos="4783"/>
        </w:tabs>
        <w:spacing w:line="276" w:lineRule="auto"/>
        <w:ind w:right="48"/>
        <w:rPr>
          <w:sz w:val="24"/>
          <w:szCs w:val="24"/>
        </w:rPr>
      </w:pPr>
      <w:r>
        <w:rPr>
          <w:sz w:val="24"/>
          <w:szCs w:val="24"/>
        </w:rPr>
        <w:t>Provides for the coordinating mechanism between supervisory authorities.</w:t>
      </w:r>
    </w:p>
    <w:p w14:paraId="20EE8F96"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36 – (Supervisory powers)</w:t>
      </w:r>
    </w:p>
    <w:p w14:paraId="7E7F8FB2" w14:textId="630E71E9" w:rsidR="00C04806" w:rsidRPr="000C4031" w:rsidRDefault="00C04806" w:rsidP="000742F2">
      <w:pPr>
        <w:pStyle w:val="BodyText"/>
        <w:tabs>
          <w:tab w:val="left" w:pos="4783"/>
        </w:tabs>
        <w:spacing w:line="276" w:lineRule="auto"/>
        <w:ind w:right="48"/>
        <w:rPr>
          <w:sz w:val="24"/>
          <w:szCs w:val="24"/>
        </w:rPr>
      </w:pPr>
      <w:r>
        <w:rPr>
          <w:sz w:val="24"/>
          <w:szCs w:val="24"/>
        </w:rPr>
        <w:t>Specifies the role of supervisory authorities and, after accession to the EU, the role of AMLA.</w:t>
      </w:r>
    </w:p>
    <w:p w14:paraId="7EB8ACFA"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37 – Compliance with AML legislation</w:t>
      </w:r>
    </w:p>
    <w:p w14:paraId="56625212" w14:textId="53213F07" w:rsidR="00C04806" w:rsidRPr="000C4031" w:rsidRDefault="00C04806" w:rsidP="000742F2">
      <w:pPr>
        <w:pStyle w:val="BodyText"/>
        <w:tabs>
          <w:tab w:val="left" w:pos="4783"/>
        </w:tabs>
        <w:spacing w:line="276" w:lineRule="auto"/>
        <w:ind w:right="48"/>
        <w:rPr>
          <w:sz w:val="24"/>
          <w:szCs w:val="24"/>
        </w:rPr>
      </w:pPr>
      <w:r>
        <w:rPr>
          <w:sz w:val="24"/>
          <w:szCs w:val="24"/>
        </w:rPr>
        <w:t>Ensures harmonious implementation with the existing legislation and the issuance of bylaws.</w:t>
      </w:r>
    </w:p>
    <w:p w14:paraId="14F368D0"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38 – Transitional provisions</w:t>
      </w:r>
    </w:p>
    <w:p w14:paraId="5908B918" w14:textId="4FC45377" w:rsidR="00C04806" w:rsidRPr="000C4031" w:rsidRDefault="00C04806" w:rsidP="000742F2">
      <w:pPr>
        <w:pStyle w:val="BodyText"/>
        <w:tabs>
          <w:tab w:val="left" w:pos="4783"/>
        </w:tabs>
        <w:spacing w:line="276" w:lineRule="auto"/>
        <w:ind w:right="48"/>
        <w:rPr>
          <w:sz w:val="24"/>
          <w:szCs w:val="24"/>
        </w:rPr>
      </w:pPr>
      <w:r>
        <w:rPr>
          <w:sz w:val="24"/>
          <w:szCs w:val="24"/>
        </w:rPr>
        <w:t>Provides for a 6-month deadline for bylaws and the repeal of the relevant part upon accession to the EU.</w:t>
      </w:r>
    </w:p>
    <w:p w14:paraId="15EDCFAA"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39 – Provisions for PEP</w:t>
      </w:r>
    </w:p>
    <w:p w14:paraId="041E5D73" w14:textId="3015E127" w:rsidR="00C04806" w:rsidRPr="000C4031" w:rsidRDefault="00C04806" w:rsidP="000742F2">
      <w:pPr>
        <w:pStyle w:val="BodyText"/>
        <w:tabs>
          <w:tab w:val="left" w:pos="4783"/>
        </w:tabs>
        <w:spacing w:line="276" w:lineRule="auto"/>
        <w:ind w:right="48"/>
        <w:rPr>
          <w:sz w:val="24"/>
          <w:szCs w:val="24"/>
        </w:rPr>
      </w:pPr>
      <w:r>
        <w:rPr>
          <w:sz w:val="24"/>
          <w:szCs w:val="24"/>
        </w:rPr>
        <w:t>Imposes additional measures for politically exposed persons and the issuance of guidelines by the Minister of Finance.</w:t>
      </w:r>
    </w:p>
    <w:p w14:paraId="1BF3C1B2"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40 – List of public functions</w:t>
      </w:r>
    </w:p>
    <w:p w14:paraId="5305167E" w14:textId="09945612" w:rsidR="00C04806" w:rsidRPr="000C4031" w:rsidRDefault="00C04806" w:rsidP="000742F2">
      <w:pPr>
        <w:pStyle w:val="BodyText"/>
        <w:tabs>
          <w:tab w:val="left" w:pos="4783"/>
        </w:tabs>
        <w:spacing w:line="276" w:lineRule="auto"/>
        <w:ind w:right="48"/>
        <w:rPr>
          <w:sz w:val="24"/>
          <w:szCs w:val="24"/>
        </w:rPr>
      </w:pPr>
      <w:r>
        <w:rPr>
          <w:sz w:val="24"/>
          <w:szCs w:val="24"/>
        </w:rPr>
        <w:t>Obliges ILDKPKI and international organisations to update the lists of important public functions.</w:t>
      </w:r>
    </w:p>
    <w:p w14:paraId="053CC322"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41 – PEP beneficiaries of policies</w:t>
      </w:r>
    </w:p>
    <w:p w14:paraId="5CA24D6B" w14:textId="6E2EDA0D" w:rsidR="00C04806" w:rsidRPr="000C4031" w:rsidRDefault="00C04806" w:rsidP="000742F2">
      <w:pPr>
        <w:pStyle w:val="BodyText"/>
        <w:tabs>
          <w:tab w:val="left" w:pos="4783"/>
        </w:tabs>
        <w:spacing w:line="276" w:lineRule="auto"/>
        <w:ind w:right="48"/>
        <w:rPr>
          <w:sz w:val="24"/>
          <w:szCs w:val="24"/>
        </w:rPr>
      </w:pPr>
      <w:r>
        <w:rPr>
          <w:sz w:val="24"/>
          <w:szCs w:val="24"/>
        </w:rPr>
        <w:t>Provides for measures for identifying PEP beneficiaries in life insurance.</w:t>
      </w:r>
    </w:p>
    <w:p w14:paraId="5980DABC"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Articles 42–44 – (Additional CDD obligations and reporting)</w:t>
      </w:r>
    </w:p>
    <w:p w14:paraId="3F544878" w14:textId="77777777" w:rsidR="00C04806" w:rsidRPr="000C4031" w:rsidRDefault="00C04806" w:rsidP="000742F2">
      <w:pPr>
        <w:pStyle w:val="BodyText"/>
        <w:tabs>
          <w:tab w:val="left" w:pos="4783"/>
        </w:tabs>
        <w:spacing w:line="276" w:lineRule="auto"/>
        <w:ind w:right="48"/>
        <w:rPr>
          <w:sz w:val="24"/>
          <w:szCs w:val="24"/>
        </w:rPr>
      </w:pPr>
      <w:r>
        <w:rPr>
          <w:sz w:val="24"/>
          <w:szCs w:val="24"/>
        </w:rPr>
        <w:t>Regulate enhanced vigilance measures and reporting obligations.</w:t>
      </w:r>
    </w:p>
    <w:p w14:paraId="1F6D0C32"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45 – Obligation for reporting by authorities</w:t>
      </w:r>
    </w:p>
    <w:p w14:paraId="39839EB7" w14:textId="678616E5" w:rsidR="00C04806" w:rsidRPr="000C4031" w:rsidRDefault="00C04806" w:rsidP="000742F2">
      <w:pPr>
        <w:pStyle w:val="BodyText"/>
        <w:tabs>
          <w:tab w:val="left" w:pos="4783"/>
        </w:tabs>
        <w:spacing w:line="276" w:lineRule="auto"/>
        <w:ind w:right="48"/>
        <w:rPr>
          <w:sz w:val="24"/>
          <w:szCs w:val="24"/>
        </w:rPr>
      </w:pPr>
      <w:r>
        <w:rPr>
          <w:sz w:val="24"/>
          <w:szCs w:val="24"/>
        </w:rPr>
        <w:t>The supervisory authorities promptly inform the FIU of any suspicion of ML/TF.</w:t>
      </w:r>
    </w:p>
    <w:p w14:paraId="096C9B04" w14:textId="77777777" w:rsidR="00C04806" w:rsidRPr="000C4031" w:rsidRDefault="00C04806" w:rsidP="000742F2">
      <w:pPr>
        <w:pStyle w:val="BodyText"/>
        <w:tabs>
          <w:tab w:val="left" w:pos="4783"/>
        </w:tabs>
        <w:spacing w:line="276" w:lineRule="auto"/>
        <w:ind w:right="48"/>
        <w:rPr>
          <w:b/>
          <w:bCs/>
          <w:sz w:val="24"/>
          <w:szCs w:val="24"/>
        </w:rPr>
      </w:pPr>
      <w:r>
        <w:rPr>
          <w:b/>
          <w:bCs/>
          <w:sz w:val="24"/>
          <w:szCs w:val="24"/>
        </w:rPr>
        <w:t>Article 46 – Exchange of data with the FIU</w:t>
      </w:r>
    </w:p>
    <w:p w14:paraId="26839556" w14:textId="0C418598" w:rsidR="00C04806" w:rsidRPr="000C4031" w:rsidRDefault="00C04806" w:rsidP="000742F2">
      <w:pPr>
        <w:pStyle w:val="BodyText"/>
        <w:tabs>
          <w:tab w:val="left" w:pos="4783"/>
        </w:tabs>
        <w:spacing w:line="276" w:lineRule="auto"/>
        <w:ind w:right="48"/>
        <w:rPr>
          <w:sz w:val="24"/>
          <w:szCs w:val="24"/>
        </w:rPr>
      </w:pPr>
      <w:r>
        <w:rPr>
          <w:sz w:val="24"/>
          <w:szCs w:val="24"/>
        </w:rPr>
        <w:t>Obliges the periodic communication of data from the supervisory authorities</w:t>
      </w:r>
    </w:p>
    <w:p w14:paraId="1D411525"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47 – General principles of supervisory cooperation</w:t>
      </w:r>
    </w:p>
    <w:p w14:paraId="64D4DE91" w14:textId="77777777" w:rsidR="002C3AF6" w:rsidRPr="000C4031" w:rsidRDefault="002C3AF6" w:rsidP="000742F2">
      <w:pPr>
        <w:pStyle w:val="BodyText"/>
        <w:tabs>
          <w:tab w:val="left" w:pos="4783"/>
        </w:tabs>
        <w:spacing w:line="276" w:lineRule="auto"/>
        <w:ind w:right="48"/>
        <w:rPr>
          <w:sz w:val="24"/>
          <w:szCs w:val="24"/>
        </w:rPr>
      </w:pPr>
      <w:r>
        <w:rPr>
          <w:sz w:val="24"/>
          <w:szCs w:val="24"/>
        </w:rPr>
        <w:t>Imposes the obligation for maximum cooperation between supervisory authorities, regardless of institutional status. Cooperation includes inspections on behalf of each other, information exchange, and facilitation of supervisory actions.</w:t>
      </w:r>
    </w:p>
    <w:p w14:paraId="556B4E5F"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48 – Exchange of information on cross-border activities</w:t>
      </w:r>
    </w:p>
    <w:p w14:paraId="10AA695B" w14:textId="77777777" w:rsidR="002C3AF6" w:rsidRPr="000C4031" w:rsidRDefault="002C3AF6" w:rsidP="000742F2">
      <w:pPr>
        <w:pStyle w:val="BodyText"/>
        <w:tabs>
          <w:tab w:val="left" w:pos="4783"/>
        </w:tabs>
        <w:spacing w:line="276" w:lineRule="auto"/>
        <w:ind w:right="48"/>
        <w:rPr>
          <w:sz w:val="24"/>
          <w:szCs w:val="24"/>
        </w:rPr>
      </w:pPr>
      <w:r>
        <w:rPr>
          <w:sz w:val="24"/>
          <w:szCs w:val="24"/>
        </w:rPr>
        <w:t>Regulates the obligation of the authority of the home Member State to inform the authority of the host Member State about the cross-border activities of obliged entities, updates, periodic (at least annual) exchange of information, and immediate notification of the commencement of activities.</w:t>
      </w:r>
    </w:p>
    <w:p w14:paraId="74988F8A"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49 – Group-level cooperation</w:t>
      </w:r>
    </w:p>
    <w:p w14:paraId="1BC785EA" w14:textId="77777777" w:rsidR="002C3AF6" w:rsidRPr="000C4031" w:rsidRDefault="002C3AF6" w:rsidP="000742F2">
      <w:pPr>
        <w:pStyle w:val="BodyText"/>
        <w:tabs>
          <w:tab w:val="left" w:pos="4783"/>
        </w:tabs>
        <w:spacing w:line="276" w:lineRule="auto"/>
        <w:ind w:right="48"/>
        <w:rPr>
          <w:sz w:val="24"/>
          <w:szCs w:val="24"/>
        </w:rPr>
      </w:pPr>
      <w:r>
        <w:rPr>
          <w:sz w:val="24"/>
          <w:szCs w:val="24"/>
        </w:rPr>
        <w:t>Regulates cooperation between the authorities of the home Member State and host Member State for group-level supervision. Provides for extensive information exchange on structure, beneficial ownership, AML/CFT policies, CDD measures, and sanctions. Regulates the role of AMLA in case of disputes and the extension of provisions to the non-financial sector.</w:t>
      </w:r>
    </w:p>
    <w:p w14:paraId="50692152"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50 – Cooperation for entities operating cross-border (not part of a group)</w:t>
      </w:r>
    </w:p>
    <w:p w14:paraId="6C303348" w14:textId="77777777" w:rsidR="002C3AF6" w:rsidRPr="000C4031" w:rsidRDefault="002C3AF6" w:rsidP="000742F2">
      <w:pPr>
        <w:pStyle w:val="BodyText"/>
        <w:tabs>
          <w:tab w:val="left" w:pos="4783"/>
        </w:tabs>
        <w:spacing w:line="276" w:lineRule="auto"/>
        <w:ind w:right="48"/>
        <w:rPr>
          <w:sz w:val="24"/>
          <w:szCs w:val="24"/>
        </w:rPr>
      </w:pPr>
      <w:r>
        <w:rPr>
          <w:sz w:val="24"/>
          <w:szCs w:val="24"/>
        </w:rPr>
        <w:t xml:space="preserve">Establishes the obligation for cooperation and exchange of information between authorities when entities carry out activities in more than one Member State. Provides for coordination in </w:t>
      </w:r>
      <w:r>
        <w:rPr>
          <w:sz w:val="24"/>
          <w:szCs w:val="24"/>
        </w:rPr>
        <w:lastRenderedPageBreak/>
        <w:t>cases of serious breaches and referral to AMLA in the event of disputes.</w:t>
      </w:r>
    </w:p>
    <w:p w14:paraId="102C51F6"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51 – Group-level policies in third countries</w:t>
      </w:r>
    </w:p>
    <w:p w14:paraId="328B891B" w14:textId="4748421A" w:rsidR="002C3AF6" w:rsidRPr="000C4031" w:rsidRDefault="002C3AF6" w:rsidP="000742F2">
      <w:pPr>
        <w:pStyle w:val="BodyText"/>
        <w:tabs>
          <w:tab w:val="left" w:pos="4783"/>
        </w:tabs>
        <w:spacing w:line="276" w:lineRule="auto"/>
        <w:ind w:right="48"/>
        <w:rPr>
          <w:sz w:val="24"/>
          <w:szCs w:val="24"/>
        </w:rPr>
      </w:pPr>
      <w:r>
        <w:rPr>
          <w:sz w:val="24"/>
          <w:szCs w:val="24"/>
        </w:rPr>
        <w:t>Regulates cases where the legislation of a third country hinders the implementation of AML/CFT policies at group level. Authorities inform each other and may undertake coordinated actions.</w:t>
      </w:r>
    </w:p>
    <w:p w14:paraId="2E179DE9"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Supervisory colleges</w:t>
      </w:r>
    </w:p>
    <w:p w14:paraId="5B11C9F6"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52 – Colleges in the financial sector</w:t>
      </w:r>
    </w:p>
    <w:p w14:paraId="547DC5CC" w14:textId="77777777" w:rsidR="002C3AF6" w:rsidRPr="000C4031" w:rsidRDefault="002C3AF6" w:rsidP="000742F2">
      <w:pPr>
        <w:pStyle w:val="BodyText"/>
        <w:tabs>
          <w:tab w:val="left" w:pos="4783"/>
        </w:tabs>
        <w:spacing w:line="276" w:lineRule="auto"/>
        <w:ind w:right="48"/>
        <w:rPr>
          <w:sz w:val="24"/>
          <w:szCs w:val="24"/>
        </w:rPr>
      </w:pPr>
      <w:r>
        <w:rPr>
          <w:sz w:val="24"/>
          <w:szCs w:val="24"/>
        </w:rPr>
        <w:t>Provides for the establishment of supervisory colleges for groups with cross-border presence. Specifies the members, the participation of AMLA and the authorities of third countries as observers, the written agreement, and the functions (coordination, information exchange, joint measures).</w:t>
      </w:r>
    </w:p>
    <w:p w14:paraId="7819FE5E"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53 – Colleges in the non-financial sector</w:t>
      </w:r>
    </w:p>
    <w:p w14:paraId="1840657F" w14:textId="74879D53" w:rsidR="002C3AF6" w:rsidRPr="000C4031" w:rsidRDefault="002C3AF6" w:rsidP="000742F2">
      <w:pPr>
        <w:pStyle w:val="BodyText"/>
        <w:tabs>
          <w:tab w:val="left" w:pos="4783"/>
        </w:tabs>
        <w:spacing w:line="276" w:lineRule="auto"/>
        <w:ind w:right="48"/>
        <w:rPr>
          <w:sz w:val="24"/>
          <w:szCs w:val="24"/>
        </w:rPr>
      </w:pPr>
      <w:r>
        <w:rPr>
          <w:sz w:val="24"/>
          <w:szCs w:val="24"/>
        </w:rPr>
        <w:t>Regulates the establishment of colleges for entities/groups in the non-financial sector. Provides for initiation procedure, participation of EU authorities, involvement of third countries, and a referral mechanism in case of disputes.</w:t>
      </w:r>
    </w:p>
    <w:p w14:paraId="79826AA9"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54 – Cooperation with third countries</w:t>
      </w:r>
    </w:p>
    <w:p w14:paraId="1B42D812" w14:textId="77777777" w:rsidR="002C3AF6" w:rsidRPr="000C4031" w:rsidRDefault="002C3AF6" w:rsidP="000742F2">
      <w:pPr>
        <w:pStyle w:val="BodyText"/>
        <w:tabs>
          <w:tab w:val="left" w:pos="4783"/>
        </w:tabs>
        <w:spacing w:line="276" w:lineRule="auto"/>
        <w:ind w:right="48"/>
        <w:rPr>
          <w:sz w:val="24"/>
          <w:szCs w:val="24"/>
        </w:rPr>
      </w:pPr>
      <w:r>
        <w:rPr>
          <w:sz w:val="24"/>
          <w:szCs w:val="24"/>
        </w:rPr>
        <w:t>Authorises the conclusion of cooperation agreements with counterpart authorities of third countries on a reciprocal basis, with guarantees for professional secrecy and data protection.</w:t>
      </w:r>
    </w:p>
    <w:p w14:paraId="6E67FBFC"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55 – Further regulation of colleges</w:t>
      </w:r>
    </w:p>
    <w:p w14:paraId="263ADD66" w14:textId="77777777" w:rsidR="002C3AF6" w:rsidRPr="000C4031" w:rsidRDefault="002C3AF6" w:rsidP="000742F2">
      <w:pPr>
        <w:pStyle w:val="BodyText"/>
        <w:tabs>
          <w:tab w:val="left" w:pos="4783"/>
        </w:tabs>
        <w:spacing w:line="276" w:lineRule="auto"/>
        <w:ind w:right="48"/>
        <w:rPr>
          <w:sz w:val="24"/>
          <w:szCs w:val="24"/>
        </w:rPr>
      </w:pPr>
      <w:r>
        <w:rPr>
          <w:sz w:val="24"/>
          <w:szCs w:val="24"/>
        </w:rPr>
        <w:t>Provides that the procedural modalities of colleges are regulated by sectoral legislation and bylaws.</w:t>
      </w:r>
    </w:p>
    <w:p w14:paraId="3B4C466E"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56 – Implementation within the framework of European integration</w:t>
      </w:r>
    </w:p>
    <w:p w14:paraId="67D18357" w14:textId="7A4D9F14" w:rsidR="002C3AF6" w:rsidRPr="000C4031" w:rsidRDefault="002C3AF6" w:rsidP="000742F2">
      <w:pPr>
        <w:pStyle w:val="BodyText"/>
        <w:tabs>
          <w:tab w:val="left" w:pos="4783"/>
        </w:tabs>
        <w:spacing w:line="276" w:lineRule="auto"/>
        <w:ind w:right="48"/>
        <w:rPr>
          <w:sz w:val="24"/>
          <w:szCs w:val="24"/>
        </w:rPr>
      </w:pPr>
      <w:r>
        <w:rPr>
          <w:sz w:val="24"/>
          <w:szCs w:val="24"/>
        </w:rPr>
        <w:t>Sanctions that the provisions for international cooperation are applied in accordance with international agreements and, after accession, in accordance with the EU acquis.</w:t>
      </w:r>
    </w:p>
    <w:p w14:paraId="6BA899C3"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Self-regulatory bodies</w:t>
      </w:r>
    </w:p>
    <w:p w14:paraId="3E1FC307"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57 – Supervision of self-regulatory bodies</w:t>
      </w:r>
    </w:p>
    <w:p w14:paraId="36B1A495" w14:textId="4379C5A8" w:rsidR="002C3AF6" w:rsidRPr="000C4031" w:rsidRDefault="002C3AF6" w:rsidP="000742F2">
      <w:pPr>
        <w:pStyle w:val="BodyText"/>
        <w:tabs>
          <w:tab w:val="left" w:pos="4783"/>
        </w:tabs>
        <w:spacing w:line="276" w:lineRule="auto"/>
        <w:ind w:right="48"/>
        <w:rPr>
          <w:sz w:val="24"/>
          <w:szCs w:val="24"/>
        </w:rPr>
      </w:pPr>
      <w:r>
        <w:rPr>
          <w:sz w:val="24"/>
          <w:szCs w:val="24"/>
        </w:rPr>
        <w:t>Establishes the supervision of self-regulatory bodies by a public authority. Specifies control powers, guidance, corrective measures, annual reporting, and an obligation for professional secrecy.</w:t>
      </w:r>
    </w:p>
    <w:p w14:paraId="5803CC02"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Fines and administrative measures</w:t>
      </w:r>
    </w:p>
    <w:p w14:paraId="24B64770"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58 – General provisions</w:t>
      </w:r>
    </w:p>
    <w:p w14:paraId="7FDF5DF0" w14:textId="77777777" w:rsidR="002C3AF6" w:rsidRPr="000C4031" w:rsidRDefault="002C3AF6" w:rsidP="000742F2">
      <w:pPr>
        <w:pStyle w:val="BodyText"/>
        <w:tabs>
          <w:tab w:val="left" w:pos="4783"/>
        </w:tabs>
        <w:spacing w:line="276" w:lineRule="auto"/>
        <w:ind w:right="48"/>
        <w:rPr>
          <w:sz w:val="24"/>
          <w:szCs w:val="24"/>
        </w:rPr>
      </w:pPr>
      <w:r>
        <w:rPr>
          <w:sz w:val="24"/>
          <w:szCs w:val="24"/>
        </w:rPr>
        <w:t>Establishes administrative liability for AML/CFT violations, the principles of proportionality, criteria for determining fines, and the liability of the legal person.</w:t>
      </w:r>
    </w:p>
    <w:p w14:paraId="3723C09E"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59 – Liability of the legal person</w:t>
      </w:r>
    </w:p>
    <w:p w14:paraId="71A12DC2" w14:textId="77777777" w:rsidR="002C3AF6" w:rsidRPr="000C4031" w:rsidRDefault="002C3AF6" w:rsidP="000742F2">
      <w:pPr>
        <w:pStyle w:val="BodyText"/>
        <w:tabs>
          <w:tab w:val="left" w:pos="4783"/>
        </w:tabs>
        <w:spacing w:line="276" w:lineRule="auto"/>
        <w:ind w:right="48"/>
        <w:rPr>
          <w:sz w:val="24"/>
          <w:szCs w:val="24"/>
        </w:rPr>
      </w:pPr>
      <w:r>
        <w:rPr>
          <w:sz w:val="24"/>
          <w:szCs w:val="24"/>
        </w:rPr>
        <w:t>Specifies the liability of the legal person for violations committed by senior management or due to lack of supervision.</w:t>
      </w:r>
    </w:p>
    <w:p w14:paraId="4F656CCD"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60 – Types of measures</w:t>
      </w:r>
    </w:p>
    <w:p w14:paraId="010BE219" w14:textId="77777777" w:rsidR="002C3AF6" w:rsidRPr="000C4031" w:rsidRDefault="002C3AF6" w:rsidP="000742F2">
      <w:pPr>
        <w:pStyle w:val="BodyText"/>
        <w:tabs>
          <w:tab w:val="left" w:pos="4783"/>
        </w:tabs>
        <w:spacing w:line="276" w:lineRule="auto"/>
        <w:ind w:right="48"/>
        <w:rPr>
          <w:sz w:val="24"/>
          <w:szCs w:val="24"/>
        </w:rPr>
      </w:pPr>
      <w:r>
        <w:rPr>
          <w:sz w:val="24"/>
          <w:szCs w:val="24"/>
        </w:rPr>
        <w:t>Lists the powers: finding violations, fines, warning, suspension, license revocation, etc.</w:t>
      </w:r>
    </w:p>
    <w:p w14:paraId="3FED8298"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61 – Inter-institutional coordination</w:t>
      </w:r>
    </w:p>
    <w:p w14:paraId="15B7CCD3" w14:textId="77777777" w:rsidR="002C3AF6" w:rsidRPr="000C4031" w:rsidRDefault="002C3AF6" w:rsidP="000742F2">
      <w:pPr>
        <w:pStyle w:val="BodyText"/>
        <w:tabs>
          <w:tab w:val="left" w:pos="4783"/>
        </w:tabs>
        <w:spacing w:line="276" w:lineRule="auto"/>
        <w:ind w:right="48"/>
        <w:rPr>
          <w:sz w:val="24"/>
          <w:szCs w:val="24"/>
        </w:rPr>
      </w:pPr>
      <w:r>
        <w:rPr>
          <w:sz w:val="24"/>
          <w:szCs w:val="24"/>
        </w:rPr>
        <w:t>Provides for cooperation and coordination between authorities, especially in cross-border cases.</w:t>
      </w:r>
    </w:p>
    <w:p w14:paraId="47398428"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62 – Measures against branches and the provision of services</w:t>
      </w:r>
    </w:p>
    <w:p w14:paraId="048FD3A4" w14:textId="77777777" w:rsidR="002C3AF6" w:rsidRPr="000C4031" w:rsidRDefault="002C3AF6" w:rsidP="000742F2">
      <w:pPr>
        <w:pStyle w:val="BodyText"/>
        <w:tabs>
          <w:tab w:val="left" w:pos="4783"/>
        </w:tabs>
        <w:spacing w:line="276" w:lineRule="auto"/>
        <w:ind w:right="48"/>
        <w:rPr>
          <w:sz w:val="24"/>
          <w:szCs w:val="24"/>
        </w:rPr>
      </w:pPr>
      <w:r>
        <w:rPr>
          <w:sz w:val="24"/>
          <w:szCs w:val="24"/>
        </w:rPr>
        <w:t>Regulates the powers of the host Member State for intervention against branches/entities operating in its territory, including temporary measures and referral to EU mechanisms.</w:t>
      </w:r>
    </w:p>
    <w:p w14:paraId="1CB6FDA4"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lastRenderedPageBreak/>
        <w:t>Article 63 – Administrative fines</w:t>
      </w:r>
    </w:p>
    <w:p w14:paraId="332D45DC" w14:textId="77777777" w:rsidR="002C3AF6" w:rsidRPr="000C4031" w:rsidRDefault="002C3AF6" w:rsidP="000742F2">
      <w:pPr>
        <w:pStyle w:val="BodyText"/>
        <w:tabs>
          <w:tab w:val="left" w:pos="4783"/>
        </w:tabs>
        <w:spacing w:line="276" w:lineRule="auto"/>
        <w:ind w:right="48"/>
        <w:rPr>
          <w:sz w:val="24"/>
          <w:szCs w:val="24"/>
        </w:rPr>
      </w:pPr>
      <w:r>
        <w:rPr>
          <w:sz w:val="24"/>
          <w:szCs w:val="24"/>
        </w:rPr>
        <w:t>Specifies the categories of violations and the specific ranges of fines (up to 10% of turnover or euro equivalent for financial institutions), calculation criteria and procedures.</w:t>
      </w:r>
    </w:p>
    <w:p w14:paraId="6ADDD51F"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64 – Administrative measures</w:t>
      </w:r>
    </w:p>
    <w:p w14:paraId="5B45FC0C" w14:textId="77777777" w:rsidR="002C3AF6" w:rsidRPr="000C4031" w:rsidRDefault="002C3AF6" w:rsidP="000742F2">
      <w:pPr>
        <w:pStyle w:val="BodyText"/>
        <w:tabs>
          <w:tab w:val="left" w:pos="4783"/>
        </w:tabs>
        <w:spacing w:line="276" w:lineRule="auto"/>
        <w:ind w:right="48"/>
        <w:rPr>
          <w:sz w:val="24"/>
          <w:szCs w:val="24"/>
        </w:rPr>
      </w:pPr>
      <w:r>
        <w:rPr>
          <w:sz w:val="24"/>
          <w:szCs w:val="24"/>
        </w:rPr>
        <w:t>Provides for corrective and restrictive measures: orders, suspension of senior management, limitation of activity, revocation of authorisation, etc.</w:t>
      </w:r>
    </w:p>
    <w:p w14:paraId="26E346E1"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65 – Periodic fines</w:t>
      </w:r>
    </w:p>
    <w:p w14:paraId="7822FC81" w14:textId="77777777" w:rsidR="002C3AF6" w:rsidRPr="000C4031" w:rsidRDefault="002C3AF6" w:rsidP="000742F2">
      <w:pPr>
        <w:pStyle w:val="BodyText"/>
        <w:tabs>
          <w:tab w:val="left" w:pos="4783"/>
        </w:tabs>
        <w:spacing w:line="276" w:lineRule="auto"/>
        <w:ind w:right="48"/>
        <w:rPr>
          <w:sz w:val="24"/>
          <w:szCs w:val="24"/>
        </w:rPr>
      </w:pPr>
      <w:r>
        <w:rPr>
          <w:sz w:val="24"/>
          <w:szCs w:val="24"/>
        </w:rPr>
        <w:t>Imposes daily fines for non-compliance with administrative measures, with maximum limits (3% of turnover for legal persons, 2% of income for natural persons).</w:t>
      </w:r>
    </w:p>
    <w:p w14:paraId="713DC7BD"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66 – Publication of sanctions</w:t>
      </w:r>
    </w:p>
    <w:p w14:paraId="6A2486A2" w14:textId="77777777" w:rsidR="002C3AF6" w:rsidRPr="000C4031" w:rsidRDefault="002C3AF6" w:rsidP="000742F2">
      <w:pPr>
        <w:pStyle w:val="BodyText"/>
        <w:tabs>
          <w:tab w:val="left" w:pos="4783"/>
        </w:tabs>
        <w:spacing w:line="276" w:lineRule="auto"/>
        <w:ind w:right="48"/>
        <w:rPr>
          <w:sz w:val="24"/>
          <w:szCs w:val="24"/>
        </w:rPr>
      </w:pPr>
      <w:r>
        <w:rPr>
          <w:sz w:val="24"/>
          <w:szCs w:val="24"/>
        </w:rPr>
        <w:t>Obliges the publication of decisions on fines/measures, with rules for postponement, anonymisation and protection of financial stability.</w:t>
      </w:r>
    </w:p>
    <w:p w14:paraId="164DE120"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67 – Powers for imposition/execution</w:t>
      </w:r>
    </w:p>
    <w:p w14:paraId="44C24E29" w14:textId="77777777" w:rsidR="002C3AF6" w:rsidRPr="000C4031" w:rsidRDefault="002C3AF6" w:rsidP="000742F2">
      <w:pPr>
        <w:pStyle w:val="BodyText"/>
        <w:tabs>
          <w:tab w:val="left" w:pos="4783"/>
        </w:tabs>
        <w:spacing w:line="276" w:lineRule="auto"/>
        <w:ind w:right="48"/>
        <w:rPr>
          <w:sz w:val="24"/>
          <w:szCs w:val="24"/>
        </w:rPr>
      </w:pPr>
      <w:r>
        <w:rPr>
          <w:sz w:val="24"/>
          <w:szCs w:val="24"/>
        </w:rPr>
        <w:t>Regulates the competence and the right to appeal in court.</w:t>
      </w:r>
    </w:p>
    <w:p w14:paraId="6D3D43F2"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68 – Limitation period</w:t>
      </w:r>
    </w:p>
    <w:p w14:paraId="62649EF0" w14:textId="77777777" w:rsidR="002C3AF6" w:rsidRPr="000C4031" w:rsidRDefault="002C3AF6" w:rsidP="000742F2">
      <w:pPr>
        <w:pStyle w:val="BodyText"/>
        <w:tabs>
          <w:tab w:val="left" w:pos="4783"/>
        </w:tabs>
        <w:spacing w:line="276" w:lineRule="auto"/>
        <w:ind w:right="48"/>
        <w:rPr>
          <w:sz w:val="24"/>
          <w:szCs w:val="24"/>
        </w:rPr>
      </w:pPr>
      <w:r>
        <w:rPr>
          <w:sz w:val="24"/>
          <w:szCs w:val="24"/>
        </w:rPr>
        <w:t>Sets a 5-year period for administrative prosecutions, with interruption by a formal act.</w:t>
      </w:r>
    </w:p>
    <w:p w14:paraId="49323920"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69 – Exchange of information on sanctions</w:t>
      </w:r>
    </w:p>
    <w:p w14:paraId="21CE8150" w14:textId="7A45284A" w:rsidR="002C3AF6" w:rsidRPr="000C4031" w:rsidRDefault="002C3AF6" w:rsidP="000742F2">
      <w:pPr>
        <w:pStyle w:val="BodyText"/>
        <w:tabs>
          <w:tab w:val="left" w:pos="4783"/>
        </w:tabs>
        <w:spacing w:line="276" w:lineRule="auto"/>
        <w:ind w:right="48"/>
        <w:rPr>
          <w:sz w:val="24"/>
          <w:szCs w:val="24"/>
        </w:rPr>
      </w:pPr>
      <w:r>
        <w:rPr>
          <w:sz w:val="24"/>
          <w:szCs w:val="24"/>
        </w:rPr>
        <w:t>Obliges notification to AMLA and the EU authorities for fines and measures imposed.</w:t>
      </w:r>
    </w:p>
    <w:p w14:paraId="6A704EC0" w14:textId="77777777" w:rsidR="00B0667A" w:rsidRPr="000C4031" w:rsidRDefault="00B0667A" w:rsidP="000742F2">
      <w:pPr>
        <w:pStyle w:val="BodyText"/>
        <w:tabs>
          <w:tab w:val="left" w:pos="4783"/>
        </w:tabs>
        <w:spacing w:line="276" w:lineRule="auto"/>
        <w:ind w:right="48"/>
        <w:rPr>
          <w:b/>
          <w:bCs/>
          <w:sz w:val="24"/>
          <w:szCs w:val="24"/>
        </w:rPr>
      </w:pPr>
    </w:p>
    <w:p w14:paraId="0A438C6B" w14:textId="18F0D6E2" w:rsidR="002C3AF6" w:rsidRPr="000C4031" w:rsidRDefault="002C3AF6" w:rsidP="000742F2">
      <w:pPr>
        <w:pStyle w:val="BodyText"/>
        <w:tabs>
          <w:tab w:val="left" w:pos="4783"/>
        </w:tabs>
        <w:spacing w:line="276" w:lineRule="auto"/>
        <w:ind w:right="48"/>
        <w:rPr>
          <w:b/>
          <w:bCs/>
          <w:sz w:val="24"/>
          <w:szCs w:val="24"/>
        </w:rPr>
      </w:pPr>
      <w:r>
        <w:rPr>
          <w:b/>
          <w:bCs/>
          <w:sz w:val="24"/>
          <w:szCs w:val="24"/>
        </w:rPr>
        <w:t>Reporting of violations</w:t>
      </w:r>
    </w:p>
    <w:p w14:paraId="5C6E9ABE"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71 – Whistleblowing mechanisms</w:t>
      </w:r>
    </w:p>
    <w:p w14:paraId="3F581C41" w14:textId="6E3CB315" w:rsidR="002C3AF6" w:rsidRPr="000C4031" w:rsidRDefault="002C3AF6" w:rsidP="000742F2">
      <w:pPr>
        <w:pStyle w:val="BodyText"/>
        <w:tabs>
          <w:tab w:val="left" w:pos="4783"/>
        </w:tabs>
        <w:spacing w:line="276" w:lineRule="auto"/>
        <w:ind w:right="48"/>
        <w:rPr>
          <w:sz w:val="24"/>
          <w:szCs w:val="24"/>
        </w:rPr>
      </w:pPr>
      <w:r>
        <w:rPr>
          <w:sz w:val="24"/>
          <w:szCs w:val="24"/>
        </w:rPr>
        <w:t>Implements the law on the protection of whistleblowers in the AML/CFT field, establishes reporting channels and an obligation for annual reporting to AMLA.</w:t>
      </w:r>
    </w:p>
    <w:p w14:paraId="3240C3D4"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Institutional cooperation</w:t>
      </w:r>
    </w:p>
    <w:p w14:paraId="79A56A2A"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72 – Coordination Committee</w:t>
      </w:r>
    </w:p>
    <w:p w14:paraId="59E6B867" w14:textId="77777777" w:rsidR="002C3AF6" w:rsidRPr="000C4031" w:rsidRDefault="002C3AF6" w:rsidP="000742F2">
      <w:pPr>
        <w:pStyle w:val="BodyText"/>
        <w:tabs>
          <w:tab w:val="left" w:pos="4783"/>
        </w:tabs>
        <w:spacing w:line="276" w:lineRule="auto"/>
        <w:ind w:right="48"/>
        <w:rPr>
          <w:sz w:val="24"/>
          <w:szCs w:val="24"/>
        </w:rPr>
      </w:pPr>
      <w:r>
        <w:rPr>
          <w:sz w:val="24"/>
          <w:szCs w:val="24"/>
        </w:rPr>
        <w:t>Creates the political-strategic coordinating body at government level for AML/CFT, with interinstitutional composition.</w:t>
      </w:r>
    </w:p>
    <w:p w14:paraId="033D3E09"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73 – Exchange on beneficial ownership</w:t>
      </w:r>
    </w:p>
    <w:p w14:paraId="5F8180FC" w14:textId="77777777" w:rsidR="002C3AF6" w:rsidRPr="000C4031" w:rsidRDefault="002C3AF6" w:rsidP="000742F2">
      <w:pPr>
        <w:pStyle w:val="BodyText"/>
        <w:tabs>
          <w:tab w:val="left" w:pos="4783"/>
        </w:tabs>
        <w:spacing w:line="276" w:lineRule="auto"/>
        <w:ind w:right="48"/>
        <w:rPr>
          <w:sz w:val="24"/>
          <w:szCs w:val="24"/>
        </w:rPr>
      </w:pPr>
      <w:r>
        <w:rPr>
          <w:sz w:val="24"/>
          <w:szCs w:val="24"/>
        </w:rPr>
        <w:t>Obliges international exchange of information on beneficial owners.</w:t>
      </w:r>
    </w:p>
    <w:p w14:paraId="063E39B7"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74 – Cross-border exchange of AIF</w:t>
      </w:r>
    </w:p>
    <w:p w14:paraId="1C38D6C2" w14:textId="77777777" w:rsidR="002C3AF6" w:rsidRPr="000C4031" w:rsidRDefault="002C3AF6" w:rsidP="000742F2">
      <w:pPr>
        <w:pStyle w:val="BodyText"/>
        <w:tabs>
          <w:tab w:val="left" w:pos="4783"/>
        </w:tabs>
        <w:spacing w:line="276" w:lineRule="auto"/>
        <w:ind w:right="48"/>
        <w:rPr>
          <w:sz w:val="24"/>
          <w:szCs w:val="24"/>
        </w:rPr>
      </w:pPr>
      <w:r>
        <w:rPr>
          <w:sz w:val="24"/>
          <w:szCs w:val="24"/>
        </w:rPr>
        <w:t>Regulates the exchange of information by the AIF with counterpart FIUs, with restrictions only in exceptional cases.</w:t>
      </w:r>
    </w:p>
    <w:p w14:paraId="4B938992"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75 – Exchange by competent authorities</w:t>
      </w:r>
    </w:p>
    <w:p w14:paraId="76118F9C" w14:textId="77777777" w:rsidR="002C3AF6" w:rsidRPr="000C4031" w:rsidRDefault="002C3AF6" w:rsidP="000742F2">
      <w:pPr>
        <w:pStyle w:val="BodyText"/>
        <w:tabs>
          <w:tab w:val="left" w:pos="4783"/>
        </w:tabs>
        <w:spacing w:line="276" w:lineRule="auto"/>
        <w:ind w:right="48"/>
        <w:rPr>
          <w:sz w:val="24"/>
          <w:szCs w:val="24"/>
        </w:rPr>
      </w:pPr>
      <w:r>
        <w:rPr>
          <w:sz w:val="24"/>
          <w:szCs w:val="24"/>
        </w:rPr>
        <w:t>Establishes the principle of non-refusal of cooperation for tax reasons or professional secrecy (with legal exceptions).</w:t>
      </w:r>
    </w:p>
    <w:p w14:paraId="1ABF5141"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76 – List of authorities</w:t>
      </w:r>
    </w:p>
    <w:p w14:paraId="389CEE93" w14:textId="77777777" w:rsidR="002C3AF6" w:rsidRPr="000C4031" w:rsidRDefault="002C3AF6" w:rsidP="000742F2">
      <w:pPr>
        <w:pStyle w:val="BodyText"/>
        <w:tabs>
          <w:tab w:val="left" w:pos="4783"/>
        </w:tabs>
        <w:spacing w:line="276" w:lineRule="auto"/>
        <w:ind w:right="48"/>
        <w:rPr>
          <w:sz w:val="24"/>
          <w:szCs w:val="24"/>
        </w:rPr>
      </w:pPr>
      <w:r>
        <w:rPr>
          <w:sz w:val="24"/>
          <w:szCs w:val="24"/>
        </w:rPr>
        <w:t>Obliges communication of contact points for international cooperation.</w:t>
      </w:r>
    </w:p>
    <w:p w14:paraId="77794D93"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77 – Cooperation with AMLA</w:t>
      </w:r>
    </w:p>
    <w:p w14:paraId="6250A954" w14:textId="55BA9EEE" w:rsidR="002C3AF6" w:rsidRPr="000C4031" w:rsidRDefault="002C3AF6" w:rsidP="000742F2">
      <w:pPr>
        <w:pStyle w:val="BodyText"/>
        <w:tabs>
          <w:tab w:val="left" w:pos="4783"/>
        </w:tabs>
        <w:spacing w:line="276" w:lineRule="auto"/>
        <w:ind w:right="48"/>
        <w:rPr>
          <w:sz w:val="24"/>
          <w:szCs w:val="24"/>
        </w:rPr>
      </w:pPr>
      <w:r>
        <w:rPr>
          <w:sz w:val="24"/>
          <w:szCs w:val="24"/>
        </w:rPr>
        <w:t>Provides for the obligation to make information available to AMLA.</w:t>
      </w:r>
    </w:p>
    <w:p w14:paraId="1E5CD587"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Sectoral cooperation</w:t>
      </w:r>
    </w:p>
    <w:p w14:paraId="6A785D9A"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78 – Financial institutions</w:t>
      </w:r>
    </w:p>
    <w:p w14:paraId="26ABDAAD" w14:textId="77777777" w:rsidR="002C3AF6" w:rsidRPr="000C4031" w:rsidRDefault="002C3AF6" w:rsidP="000742F2">
      <w:pPr>
        <w:pStyle w:val="BodyText"/>
        <w:tabs>
          <w:tab w:val="left" w:pos="4783"/>
        </w:tabs>
        <w:spacing w:line="276" w:lineRule="auto"/>
        <w:ind w:right="48"/>
        <w:rPr>
          <w:sz w:val="24"/>
          <w:szCs w:val="24"/>
        </w:rPr>
      </w:pPr>
      <w:r>
        <w:rPr>
          <w:sz w:val="24"/>
          <w:szCs w:val="24"/>
        </w:rPr>
        <w:t>Establishes cooperation between financial authorities and the FIU, with preservation of professional secrecy.</w:t>
      </w:r>
    </w:p>
    <w:p w14:paraId="29F0F0BF"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79 – Weakness in internal control</w:t>
      </w:r>
    </w:p>
    <w:p w14:paraId="1B509752" w14:textId="77777777" w:rsidR="002C3AF6" w:rsidRPr="000C4031" w:rsidRDefault="002C3AF6" w:rsidP="000742F2">
      <w:pPr>
        <w:pStyle w:val="BodyText"/>
        <w:tabs>
          <w:tab w:val="left" w:pos="4783"/>
        </w:tabs>
        <w:spacing w:line="276" w:lineRule="auto"/>
        <w:ind w:right="48"/>
        <w:rPr>
          <w:sz w:val="24"/>
          <w:szCs w:val="24"/>
        </w:rPr>
      </w:pPr>
      <w:r>
        <w:rPr>
          <w:sz w:val="24"/>
          <w:szCs w:val="24"/>
        </w:rPr>
        <w:lastRenderedPageBreak/>
        <w:t>Provides for notification and coordination with the prudential authorities when increased risk is detected.</w:t>
      </w:r>
    </w:p>
    <w:p w14:paraId="7DC9E6A6"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80 – Refusal of banking relationship</w:t>
      </w:r>
    </w:p>
    <w:p w14:paraId="45A2618B" w14:textId="77777777" w:rsidR="002C3AF6" w:rsidRPr="000C4031" w:rsidRDefault="002C3AF6" w:rsidP="000742F2">
      <w:pPr>
        <w:pStyle w:val="BodyText"/>
        <w:tabs>
          <w:tab w:val="left" w:pos="4783"/>
        </w:tabs>
        <w:spacing w:line="276" w:lineRule="auto"/>
        <w:ind w:right="48"/>
        <w:rPr>
          <w:sz w:val="24"/>
          <w:szCs w:val="24"/>
        </w:rPr>
      </w:pPr>
      <w:r>
        <w:rPr>
          <w:sz w:val="24"/>
          <w:szCs w:val="24"/>
        </w:rPr>
        <w:t>Regulates cases where the termination of the relationship is not justified by CDD.</w:t>
      </w:r>
    </w:p>
    <w:p w14:paraId="0184F96D"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81 – Auditors</w:t>
      </w:r>
    </w:p>
    <w:p w14:paraId="65617B99" w14:textId="77777777" w:rsidR="002C3AF6" w:rsidRPr="000C4031" w:rsidRDefault="002C3AF6" w:rsidP="000742F2">
      <w:pPr>
        <w:pStyle w:val="BodyText"/>
        <w:tabs>
          <w:tab w:val="left" w:pos="4783"/>
        </w:tabs>
        <w:spacing w:line="276" w:lineRule="auto"/>
        <w:ind w:right="48"/>
        <w:rPr>
          <w:sz w:val="24"/>
          <w:szCs w:val="24"/>
        </w:rPr>
      </w:pPr>
      <w:r>
        <w:rPr>
          <w:sz w:val="24"/>
          <w:szCs w:val="24"/>
        </w:rPr>
        <w:t>Establishes cooperation between audit authorities and the FIU.</w:t>
      </w:r>
    </w:p>
    <w:p w14:paraId="67CF94D7"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82 – Financial restrictive measures</w:t>
      </w:r>
    </w:p>
    <w:p w14:paraId="218DF5DE" w14:textId="77777777" w:rsidR="002C3AF6" w:rsidRPr="000C4031" w:rsidRDefault="002C3AF6" w:rsidP="000742F2">
      <w:pPr>
        <w:pStyle w:val="BodyText"/>
        <w:tabs>
          <w:tab w:val="left" w:pos="4783"/>
        </w:tabs>
        <w:spacing w:line="276" w:lineRule="auto"/>
        <w:ind w:right="48"/>
        <w:rPr>
          <w:sz w:val="24"/>
          <w:szCs w:val="24"/>
        </w:rPr>
      </w:pPr>
      <w:r>
        <w:rPr>
          <w:sz w:val="24"/>
          <w:szCs w:val="24"/>
        </w:rPr>
        <w:t>Regulates cooperation for the implementation of sanctions.</w:t>
      </w:r>
    </w:p>
    <w:p w14:paraId="5E1DFF7E"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83 – Professional secrecy</w:t>
      </w:r>
    </w:p>
    <w:p w14:paraId="3FDF674E" w14:textId="77777777" w:rsidR="002C3AF6" w:rsidRPr="000C4031" w:rsidRDefault="002C3AF6" w:rsidP="000742F2">
      <w:pPr>
        <w:pStyle w:val="BodyText"/>
        <w:tabs>
          <w:tab w:val="left" w:pos="4783"/>
        </w:tabs>
        <w:spacing w:line="276" w:lineRule="auto"/>
        <w:ind w:right="48"/>
        <w:rPr>
          <w:sz w:val="24"/>
          <w:szCs w:val="24"/>
        </w:rPr>
      </w:pPr>
      <w:r>
        <w:rPr>
          <w:sz w:val="24"/>
          <w:szCs w:val="24"/>
        </w:rPr>
        <w:t>Establishes a general obligation for the preservation of secrecy and regulates permitted exceptions for exchange.</w:t>
      </w:r>
    </w:p>
    <w:p w14:paraId="788AEFB4"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84 – Exchange with other authorities</w:t>
      </w:r>
    </w:p>
    <w:p w14:paraId="6D701443" w14:textId="009F0D0A" w:rsidR="002C3AF6" w:rsidRPr="000C4031" w:rsidRDefault="002C3AF6" w:rsidP="000742F2">
      <w:pPr>
        <w:pStyle w:val="BodyText"/>
        <w:tabs>
          <w:tab w:val="left" w:pos="4783"/>
        </w:tabs>
        <w:spacing w:line="276" w:lineRule="auto"/>
        <w:ind w:right="48"/>
        <w:rPr>
          <w:sz w:val="24"/>
          <w:szCs w:val="24"/>
        </w:rPr>
      </w:pPr>
      <w:r>
        <w:rPr>
          <w:sz w:val="24"/>
          <w:szCs w:val="24"/>
        </w:rPr>
        <w:t>Allows information exchange with national and parliamentary authorities under certain conditions.</w:t>
      </w:r>
    </w:p>
    <w:p w14:paraId="7FC62E8B"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Data protection</w:t>
      </w:r>
    </w:p>
    <w:p w14:paraId="70F49363"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85 – Processing of sensitive data</w:t>
      </w:r>
    </w:p>
    <w:p w14:paraId="71C737C5" w14:textId="77777777" w:rsidR="002C3AF6" w:rsidRPr="000C4031" w:rsidRDefault="002C3AF6" w:rsidP="000742F2">
      <w:pPr>
        <w:pStyle w:val="BodyText"/>
        <w:tabs>
          <w:tab w:val="left" w:pos="4783"/>
        </w:tabs>
        <w:spacing w:line="276" w:lineRule="auto"/>
        <w:ind w:right="48"/>
        <w:rPr>
          <w:sz w:val="24"/>
          <w:szCs w:val="24"/>
        </w:rPr>
      </w:pPr>
      <w:r>
        <w:rPr>
          <w:sz w:val="24"/>
          <w:szCs w:val="24"/>
        </w:rPr>
        <w:t>Allows the processing of special categories of personal data for AML/CFT purposes, with strict safeguards.</w:t>
      </w:r>
    </w:p>
    <w:p w14:paraId="02B375AF" w14:textId="77777777" w:rsidR="002C3AF6" w:rsidRPr="000C4031" w:rsidRDefault="002C3AF6" w:rsidP="000742F2">
      <w:pPr>
        <w:pStyle w:val="BodyText"/>
        <w:tabs>
          <w:tab w:val="left" w:pos="4783"/>
        </w:tabs>
        <w:spacing w:line="276" w:lineRule="auto"/>
        <w:ind w:right="48"/>
        <w:rPr>
          <w:b/>
          <w:bCs/>
          <w:sz w:val="24"/>
          <w:szCs w:val="24"/>
        </w:rPr>
      </w:pPr>
      <w:r>
        <w:rPr>
          <w:b/>
          <w:bCs/>
          <w:sz w:val="24"/>
          <w:szCs w:val="24"/>
        </w:rPr>
        <w:t>Article 86 – Implementation of EU provisions</w:t>
      </w:r>
    </w:p>
    <w:p w14:paraId="6481251E" w14:textId="0BECF739" w:rsidR="00590247" w:rsidRPr="000C4031" w:rsidRDefault="002C3AF6" w:rsidP="000742F2">
      <w:pPr>
        <w:pStyle w:val="BodyText"/>
        <w:tabs>
          <w:tab w:val="left" w:pos="4783"/>
        </w:tabs>
        <w:spacing w:line="276" w:lineRule="auto"/>
        <w:ind w:right="48"/>
        <w:rPr>
          <w:sz w:val="24"/>
          <w:szCs w:val="24"/>
        </w:rPr>
      </w:pPr>
      <w:r>
        <w:rPr>
          <w:sz w:val="24"/>
          <w:szCs w:val="24"/>
        </w:rPr>
        <w:t>Establishes the precedence of EU acts after accession and their direct implementation.</w:t>
      </w:r>
    </w:p>
    <w:p w14:paraId="146F6D54" w14:textId="77777777" w:rsidR="00590247" w:rsidRPr="000C4031" w:rsidRDefault="00590247" w:rsidP="000742F2">
      <w:pPr>
        <w:widowControl/>
        <w:autoSpaceDE/>
        <w:autoSpaceDN/>
        <w:spacing w:line="276" w:lineRule="auto"/>
        <w:outlineLvl w:val="0"/>
        <w:rPr>
          <w:b/>
          <w:bCs/>
          <w:kern w:val="36"/>
          <w:sz w:val="24"/>
          <w:szCs w:val="24"/>
        </w:rPr>
      </w:pPr>
      <w:r>
        <w:rPr>
          <w:b/>
          <w:bCs/>
          <w:kern w:val="36"/>
          <w:sz w:val="24"/>
          <w:szCs w:val="24"/>
        </w:rPr>
        <w:t>PART II</w:t>
      </w:r>
    </w:p>
    <w:p w14:paraId="57A96AE0" w14:textId="27290124" w:rsidR="00590247" w:rsidRPr="000C4031" w:rsidRDefault="00590247" w:rsidP="000742F2">
      <w:pPr>
        <w:widowControl/>
        <w:autoSpaceDE/>
        <w:autoSpaceDN/>
        <w:spacing w:line="276" w:lineRule="auto"/>
        <w:outlineLvl w:val="1"/>
        <w:rPr>
          <w:b/>
          <w:bCs/>
          <w:sz w:val="24"/>
          <w:szCs w:val="24"/>
        </w:rPr>
      </w:pPr>
      <w:r>
        <w:rPr>
          <w:b/>
          <w:bCs/>
          <w:sz w:val="24"/>
          <w:szCs w:val="24"/>
        </w:rPr>
        <w:t>Measures for the implementation of Regulation (EU) 1624/2024</w:t>
      </w:r>
    </w:p>
    <w:p w14:paraId="1975E5E0" w14:textId="77777777" w:rsidR="00590247" w:rsidRPr="000C4031" w:rsidRDefault="00590247" w:rsidP="000742F2">
      <w:pPr>
        <w:widowControl/>
        <w:autoSpaceDE/>
        <w:autoSpaceDN/>
        <w:spacing w:line="276" w:lineRule="auto"/>
        <w:outlineLvl w:val="1"/>
        <w:rPr>
          <w:b/>
          <w:bCs/>
          <w:sz w:val="24"/>
          <w:szCs w:val="24"/>
        </w:rPr>
      </w:pPr>
      <w:r>
        <w:rPr>
          <w:b/>
          <w:bCs/>
          <w:sz w:val="24"/>
          <w:szCs w:val="24"/>
        </w:rPr>
        <w:t>CHAPTER I – GENERAL PROVISIONS</w:t>
      </w:r>
    </w:p>
    <w:p w14:paraId="5B007553" w14:textId="77777777" w:rsidR="00590247" w:rsidRPr="000C4031" w:rsidRDefault="00590247" w:rsidP="000742F2">
      <w:pPr>
        <w:widowControl/>
        <w:autoSpaceDE/>
        <w:autoSpaceDN/>
        <w:spacing w:line="276" w:lineRule="auto"/>
        <w:outlineLvl w:val="2"/>
        <w:rPr>
          <w:b/>
          <w:bCs/>
          <w:sz w:val="24"/>
          <w:szCs w:val="24"/>
        </w:rPr>
      </w:pPr>
      <w:r>
        <w:rPr>
          <w:b/>
          <w:bCs/>
          <w:sz w:val="24"/>
          <w:szCs w:val="24"/>
        </w:rPr>
        <w:t>Article 1 – Subject matter</w:t>
      </w:r>
    </w:p>
    <w:p w14:paraId="3BA1DEC6" w14:textId="77777777" w:rsidR="00590247" w:rsidRPr="000C4031" w:rsidRDefault="00590247" w:rsidP="000742F2">
      <w:pPr>
        <w:widowControl/>
        <w:autoSpaceDE/>
        <w:autoSpaceDN/>
        <w:spacing w:line="276" w:lineRule="auto"/>
        <w:rPr>
          <w:sz w:val="24"/>
          <w:szCs w:val="24"/>
        </w:rPr>
      </w:pPr>
      <w:r>
        <w:rPr>
          <w:sz w:val="24"/>
          <w:szCs w:val="24"/>
        </w:rPr>
        <w:t>Defines the material scope of Part II, by regulating:</w:t>
      </w:r>
    </w:p>
    <w:p w14:paraId="4BEC21CE" w14:textId="77777777" w:rsidR="00590247" w:rsidRPr="000C4031" w:rsidRDefault="00590247" w:rsidP="000742F2">
      <w:pPr>
        <w:widowControl/>
        <w:numPr>
          <w:ilvl w:val="0"/>
          <w:numId w:val="3"/>
        </w:numPr>
        <w:tabs>
          <w:tab w:val="clear" w:pos="720"/>
          <w:tab w:val="left" w:pos="540"/>
          <w:tab w:val="num" w:pos="630"/>
        </w:tabs>
        <w:autoSpaceDE/>
        <w:autoSpaceDN/>
        <w:spacing w:line="276" w:lineRule="auto"/>
        <w:ind w:left="0" w:firstLine="0"/>
        <w:rPr>
          <w:sz w:val="24"/>
          <w:szCs w:val="24"/>
        </w:rPr>
      </w:pPr>
      <w:r>
        <w:rPr>
          <w:sz w:val="24"/>
          <w:szCs w:val="24"/>
        </w:rPr>
        <w:t>preventive measures against money laundering, terrorist financing, and proliferation of weapons of mass destruction;</w:t>
      </w:r>
    </w:p>
    <w:p w14:paraId="3CD9A770" w14:textId="77777777" w:rsidR="00590247" w:rsidRPr="000C4031" w:rsidRDefault="00590247" w:rsidP="000742F2">
      <w:pPr>
        <w:widowControl/>
        <w:numPr>
          <w:ilvl w:val="0"/>
          <w:numId w:val="3"/>
        </w:numPr>
        <w:tabs>
          <w:tab w:val="clear" w:pos="720"/>
          <w:tab w:val="left" w:pos="540"/>
          <w:tab w:val="num" w:pos="630"/>
        </w:tabs>
        <w:autoSpaceDE/>
        <w:autoSpaceDN/>
        <w:spacing w:line="276" w:lineRule="auto"/>
        <w:ind w:left="0" w:firstLine="0"/>
        <w:rPr>
          <w:sz w:val="24"/>
          <w:szCs w:val="24"/>
        </w:rPr>
      </w:pPr>
      <w:r>
        <w:rPr>
          <w:sz w:val="24"/>
          <w:szCs w:val="24"/>
        </w:rPr>
        <w:t>transparency regarding beneficial ownership;</w:t>
      </w:r>
    </w:p>
    <w:p w14:paraId="04F95818" w14:textId="77777777" w:rsidR="00590247" w:rsidRPr="000C4031" w:rsidRDefault="00590247" w:rsidP="000742F2">
      <w:pPr>
        <w:widowControl/>
        <w:numPr>
          <w:ilvl w:val="0"/>
          <w:numId w:val="3"/>
        </w:numPr>
        <w:tabs>
          <w:tab w:val="clear" w:pos="720"/>
          <w:tab w:val="left" w:pos="540"/>
          <w:tab w:val="num" w:pos="630"/>
        </w:tabs>
        <w:autoSpaceDE/>
        <w:autoSpaceDN/>
        <w:spacing w:line="276" w:lineRule="auto"/>
        <w:ind w:left="0" w:firstLine="0"/>
        <w:rPr>
          <w:sz w:val="24"/>
          <w:szCs w:val="24"/>
        </w:rPr>
      </w:pPr>
      <w:r>
        <w:rPr>
          <w:sz w:val="24"/>
          <w:szCs w:val="24"/>
        </w:rPr>
        <w:t>restriction of the use of anonymous instruments.</w:t>
      </w:r>
    </w:p>
    <w:p w14:paraId="6CB5537A" w14:textId="77777777" w:rsidR="00590247" w:rsidRPr="000C4031" w:rsidRDefault="00590247" w:rsidP="000742F2">
      <w:pPr>
        <w:widowControl/>
        <w:autoSpaceDE/>
        <w:autoSpaceDN/>
        <w:spacing w:line="276" w:lineRule="auto"/>
        <w:outlineLvl w:val="2"/>
        <w:rPr>
          <w:b/>
          <w:bCs/>
          <w:sz w:val="24"/>
          <w:szCs w:val="24"/>
        </w:rPr>
      </w:pPr>
      <w:r>
        <w:rPr>
          <w:b/>
          <w:bCs/>
          <w:sz w:val="24"/>
          <w:szCs w:val="24"/>
        </w:rPr>
        <w:t>Article 2 – Definitions</w:t>
      </w:r>
    </w:p>
    <w:p w14:paraId="05BF66ED" w14:textId="7D1539C1" w:rsidR="001A7009" w:rsidRPr="000C4031" w:rsidRDefault="00590247" w:rsidP="00CC47AB">
      <w:pPr>
        <w:widowControl/>
        <w:autoSpaceDE/>
        <w:autoSpaceDN/>
        <w:spacing w:line="276" w:lineRule="auto"/>
        <w:jc w:val="both"/>
        <w:rPr>
          <w:sz w:val="24"/>
          <w:szCs w:val="24"/>
        </w:rPr>
      </w:pPr>
      <w:r>
        <w:rPr>
          <w:sz w:val="24"/>
          <w:szCs w:val="24"/>
        </w:rPr>
        <w:t>Provides the basic definitions used in this part, including: laundering of proceeds of crime, terrorist financing, funds/property, credit and financial institutions, crypto-assets, crypto-asset service providers, trusts, beneficial owner, politically exposed person (PEP), financial restrictive measures, competent authorities, as well as other concepts related to subjects, legal structures, and transactions.</w:t>
      </w:r>
      <w:r>
        <w:rPr>
          <w:sz w:val="24"/>
          <w:szCs w:val="24"/>
        </w:rPr>
        <w:br/>
        <w:t>Also defines rules for thresholds and notification to the European Commission after accession.</w:t>
      </w:r>
    </w:p>
    <w:p w14:paraId="410A49AF" w14:textId="53C34874" w:rsidR="00590247" w:rsidRPr="000C4031" w:rsidRDefault="00590247" w:rsidP="000742F2">
      <w:pPr>
        <w:widowControl/>
        <w:autoSpaceDE/>
        <w:autoSpaceDN/>
        <w:spacing w:line="276" w:lineRule="auto"/>
        <w:outlineLvl w:val="1"/>
        <w:rPr>
          <w:b/>
          <w:bCs/>
          <w:sz w:val="24"/>
          <w:szCs w:val="24"/>
        </w:rPr>
      </w:pPr>
      <w:r>
        <w:rPr>
          <w:b/>
          <w:bCs/>
          <w:sz w:val="24"/>
          <w:szCs w:val="24"/>
        </w:rPr>
        <w:t>SECTION 2 – Scope of application</w:t>
      </w:r>
    </w:p>
    <w:p w14:paraId="42B9A394" w14:textId="77777777" w:rsidR="00590247" w:rsidRPr="000C4031" w:rsidRDefault="00590247" w:rsidP="000742F2">
      <w:pPr>
        <w:widowControl/>
        <w:autoSpaceDE/>
        <w:autoSpaceDN/>
        <w:spacing w:line="276" w:lineRule="auto"/>
        <w:outlineLvl w:val="2"/>
        <w:rPr>
          <w:b/>
          <w:bCs/>
          <w:sz w:val="24"/>
          <w:szCs w:val="24"/>
        </w:rPr>
      </w:pPr>
      <w:r>
        <w:rPr>
          <w:b/>
          <w:bCs/>
          <w:sz w:val="24"/>
          <w:szCs w:val="24"/>
        </w:rPr>
        <w:t>Article 3 – Obliged entities</w:t>
      </w:r>
    </w:p>
    <w:p w14:paraId="66C538E8" w14:textId="77777777" w:rsidR="00590247" w:rsidRPr="000C4031" w:rsidRDefault="00590247" w:rsidP="000742F2">
      <w:pPr>
        <w:widowControl/>
        <w:autoSpaceDE/>
        <w:autoSpaceDN/>
        <w:spacing w:line="276" w:lineRule="auto"/>
        <w:rPr>
          <w:sz w:val="24"/>
          <w:szCs w:val="24"/>
        </w:rPr>
      </w:pPr>
      <w:r>
        <w:rPr>
          <w:sz w:val="24"/>
          <w:szCs w:val="24"/>
        </w:rPr>
        <w:t>Lists the categories of entities subject to the law, including:</w:t>
      </w:r>
    </w:p>
    <w:p w14:paraId="37251BCF" w14:textId="77777777" w:rsidR="00590247" w:rsidRPr="000C4031" w:rsidRDefault="00590247" w:rsidP="000742F2">
      <w:pPr>
        <w:widowControl/>
        <w:numPr>
          <w:ilvl w:val="0"/>
          <w:numId w:val="4"/>
        </w:numPr>
        <w:autoSpaceDE/>
        <w:autoSpaceDN/>
        <w:spacing w:line="276" w:lineRule="auto"/>
        <w:rPr>
          <w:sz w:val="24"/>
          <w:szCs w:val="24"/>
        </w:rPr>
      </w:pPr>
      <w:r>
        <w:rPr>
          <w:sz w:val="24"/>
          <w:szCs w:val="24"/>
        </w:rPr>
        <w:t>credit and financial institutions;</w:t>
      </w:r>
    </w:p>
    <w:p w14:paraId="25A8B3E2" w14:textId="77777777" w:rsidR="00590247" w:rsidRPr="000C4031" w:rsidRDefault="00590247" w:rsidP="000742F2">
      <w:pPr>
        <w:widowControl/>
        <w:numPr>
          <w:ilvl w:val="0"/>
          <w:numId w:val="4"/>
        </w:numPr>
        <w:autoSpaceDE/>
        <w:autoSpaceDN/>
        <w:spacing w:line="276" w:lineRule="auto"/>
        <w:rPr>
          <w:sz w:val="24"/>
          <w:szCs w:val="24"/>
        </w:rPr>
      </w:pPr>
      <w:r>
        <w:rPr>
          <w:sz w:val="24"/>
          <w:szCs w:val="24"/>
        </w:rPr>
        <w:t>legal professionals, statutory auditors, accountants;</w:t>
      </w:r>
    </w:p>
    <w:p w14:paraId="5409BD37" w14:textId="77777777" w:rsidR="00590247" w:rsidRPr="000C4031" w:rsidRDefault="00590247" w:rsidP="000742F2">
      <w:pPr>
        <w:widowControl/>
        <w:numPr>
          <w:ilvl w:val="0"/>
          <w:numId w:val="4"/>
        </w:numPr>
        <w:autoSpaceDE/>
        <w:autoSpaceDN/>
        <w:spacing w:line="276" w:lineRule="auto"/>
        <w:rPr>
          <w:sz w:val="24"/>
          <w:szCs w:val="24"/>
        </w:rPr>
      </w:pPr>
      <w:r>
        <w:rPr>
          <w:sz w:val="24"/>
          <w:szCs w:val="24"/>
        </w:rPr>
        <w:t>real estate agents;</w:t>
      </w:r>
    </w:p>
    <w:p w14:paraId="14ACD833" w14:textId="77777777" w:rsidR="00590247" w:rsidRPr="000C4031" w:rsidRDefault="00590247" w:rsidP="000742F2">
      <w:pPr>
        <w:widowControl/>
        <w:numPr>
          <w:ilvl w:val="0"/>
          <w:numId w:val="4"/>
        </w:numPr>
        <w:autoSpaceDE/>
        <w:autoSpaceDN/>
        <w:spacing w:line="276" w:lineRule="auto"/>
        <w:rPr>
          <w:sz w:val="24"/>
          <w:szCs w:val="24"/>
        </w:rPr>
      </w:pPr>
      <w:r>
        <w:rPr>
          <w:sz w:val="24"/>
          <w:szCs w:val="24"/>
        </w:rPr>
        <w:t>traders of high-value goods, precious metals and stones;</w:t>
      </w:r>
    </w:p>
    <w:p w14:paraId="45EEE19C" w14:textId="77777777" w:rsidR="00590247" w:rsidRPr="000C4031" w:rsidRDefault="00590247" w:rsidP="000742F2">
      <w:pPr>
        <w:widowControl/>
        <w:numPr>
          <w:ilvl w:val="0"/>
          <w:numId w:val="4"/>
        </w:numPr>
        <w:autoSpaceDE/>
        <w:autoSpaceDN/>
        <w:spacing w:line="276" w:lineRule="auto"/>
        <w:rPr>
          <w:sz w:val="24"/>
          <w:szCs w:val="24"/>
        </w:rPr>
      </w:pPr>
      <w:r>
        <w:rPr>
          <w:sz w:val="24"/>
          <w:szCs w:val="24"/>
        </w:rPr>
        <w:t>gambling service providers;</w:t>
      </w:r>
    </w:p>
    <w:p w14:paraId="785209A4" w14:textId="77777777" w:rsidR="00590247" w:rsidRPr="000C4031" w:rsidRDefault="00590247" w:rsidP="000742F2">
      <w:pPr>
        <w:widowControl/>
        <w:numPr>
          <w:ilvl w:val="0"/>
          <w:numId w:val="4"/>
        </w:numPr>
        <w:autoSpaceDE/>
        <w:autoSpaceDN/>
        <w:spacing w:line="276" w:lineRule="auto"/>
        <w:rPr>
          <w:sz w:val="24"/>
          <w:szCs w:val="24"/>
        </w:rPr>
      </w:pPr>
      <w:r>
        <w:rPr>
          <w:sz w:val="24"/>
          <w:szCs w:val="24"/>
        </w:rPr>
        <w:lastRenderedPageBreak/>
        <w:t>crowdfunding providers;</w:t>
      </w:r>
    </w:p>
    <w:p w14:paraId="7E48CEF6" w14:textId="77777777" w:rsidR="00590247" w:rsidRPr="000C4031" w:rsidRDefault="00590247" w:rsidP="000742F2">
      <w:pPr>
        <w:widowControl/>
        <w:numPr>
          <w:ilvl w:val="0"/>
          <w:numId w:val="4"/>
        </w:numPr>
        <w:autoSpaceDE/>
        <w:autoSpaceDN/>
        <w:spacing w:line="276" w:lineRule="auto"/>
        <w:rPr>
          <w:sz w:val="24"/>
          <w:szCs w:val="24"/>
        </w:rPr>
      </w:pPr>
      <w:r>
        <w:rPr>
          <w:sz w:val="24"/>
          <w:szCs w:val="24"/>
        </w:rPr>
        <w:t>migration operators through investments;</w:t>
      </w:r>
    </w:p>
    <w:p w14:paraId="0DE98C97" w14:textId="341965C5" w:rsidR="001A7009" w:rsidRPr="000C4031" w:rsidRDefault="00590247" w:rsidP="000742F2">
      <w:pPr>
        <w:widowControl/>
        <w:numPr>
          <w:ilvl w:val="0"/>
          <w:numId w:val="4"/>
        </w:numPr>
        <w:autoSpaceDE/>
        <w:autoSpaceDN/>
        <w:spacing w:line="276" w:lineRule="auto"/>
        <w:rPr>
          <w:sz w:val="24"/>
          <w:szCs w:val="24"/>
        </w:rPr>
      </w:pPr>
      <w:r>
        <w:rPr>
          <w:sz w:val="24"/>
          <w:szCs w:val="24"/>
        </w:rPr>
        <w:t>agents and professional football clubs, for certain transactions.</w:t>
      </w:r>
    </w:p>
    <w:p w14:paraId="7C423A4D" w14:textId="02B5A78D" w:rsidR="00590247" w:rsidRPr="000C4031" w:rsidRDefault="00590247" w:rsidP="000742F2">
      <w:pPr>
        <w:widowControl/>
        <w:autoSpaceDE/>
        <w:autoSpaceDN/>
        <w:spacing w:line="276" w:lineRule="auto"/>
        <w:outlineLvl w:val="2"/>
        <w:rPr>
          <w:b/>
          <w:bCs/>
          <w:sz w:val="24"/>
          <w:szCs w:val="24"/>
        </w:rPr>
      </w:pPr>
      <w:r>
        <w:rPr>
          <w:b/>
          <w:bCs/>
          <w:sz w:val="24"/>
          <w:szCs w:val="24"/>
        </w:rPr>
        <w:t>Article 4 – Exemptions for gambling services</w:t>
      </w:r>
    </w:p>
    <w:p w14:paraId="13C38CD1" w14:textId="77777777" w:rsidR="00590247" w:rsidRPr="000C4031" w:rsidRDefault="00590247" w:rsidP="000742F2">
      <w:pPr>
        <w:widowControl/>
        <w:autoSpaceDE/>
        <w:autoSpaceDN/>
        <w:spacing w:line="276" w:lineRule="auto"/>
        <w:rPr>
          <w:sz w:val="24"/>
          <w:szCs w:val="24"/>
        </w:rPr>
      </w:pPr>
      <w:r>
        <w:rPr>
          <w:sz w:val="24"/>
          <w:szCs w:val="24"/>
        </w:rPr>
        <w:t>Provides for the possibility of partial/full exemption of certain gambling service providers, based on risk assessment, with the exception of casinos and online high-risk operators. Sets out a monitoring obligation to avoid abuse.</w:t>
      </w:r>
    </w:p>
    <w:p w14:paraId="4FFDF6AE" w14:textId="77777777" w:rsidR="00590247" w:rsidRPr="000C4031" w:rsidRDefault="00590247" w:rsidP="000742F2">
      <w:pPr>
        <w:widowControl/>
        <w:autoSpaceDE/>
        <w:autoSpaceDN/>
        <w:spacing w:line="276" w:lineRule="auto"/>
        <w:outlineLvl w:val="2"/>
        <w:rPr>
          <w:b/>
          <w:bCs/>
          <w:sz w:val="24"/>
          <w:szCs w:val="24"/>
        </w:rPr>
      </w:pPr>
      <w:r>
        <w:rPr>
          <w:b/>
          <w:bCs/>
          <w:sz w:val="24"/>
          <w:szCs w:val="24"/>
        </w:rPr>
        <w:t>Article 5 – Exemptions for professional football clubs</w:t>
      </w:r>
    </w:p>
    <w:p w14:paraId="5CED595C" w14:textId="77777777" w:rsidR="00590247" w:rsidRPr="000C4031" w:rsidRDefault="00590247" w:rsidP="000742F2">
      <w:pPr>
        <w:widowControl/>
        <w:autoSpaceDE/>
        <w:autoSpaceDN/>
        <w:spacing w:line="276" w:lineRule="auto"/>
        <w:rPr>
          <w:sz w:val="24"/>
          <w:szCs w:val="24"/>
        </w:rPr>
      </w:pPr>
      <w:r>
        <w:rPr>
          <w:sz w:val="24"/>
          <w:szCs w:val="24"/>
        </w:rPr>
        <w:t>Allows exemptions for clubs with low turnover or operating in lower categories, based on risk assessment. Provides for continuous monitoring to avoid misuse.</w:t>
      </w:r>
    </w:p>
    <w:p w14:paraId="188A0AB2" w14:textId="77777777" w:rsidR="00590247" w:rsidRPr="000C4031" w:rsidRDefault="00590247" w:rsidP="000742F2">
      <w:pPr>
        <w:widowControl/>
        <w:autoSpaceDE/>
        <w:autoSpaceDN/>
        <w:spacing w:line="276" w:lineRule="auto"/>
        <w:outlineLvl w:val="2"/>
        <w:rPr>
          <w:b/>
          <w:bCs/>
          <w:sz w:val="24"/>
          <w:szCs w:val="24"/>
        </w:rPr>
      </w:pPr>
      <w:r>
        <w:rPr>
          <w:b/>
          <w:bCs/>
          <w:sz w:val="24"/>
          <w:szCs w:val="24"/>
        </w:rPr>
        <w:t>Article 6 – Exemptions for certain financial activities</w:t>
      </w:r>
    </w:p>
    <w:p w14:paraId="5103E00D" w14:textId="4D61F428" w:rsidR="0006355F" w:rsidRPr="000C4031" w:rsidRDefault="00590247" w:rsidP="000742F2">
      <w:pPr>
        <w:widowControl/>
        <w:autoSpaceDE/>
        <w:autoSpaceDN/>
        <w:spacing w:line="276" w:lineRule="auto"/>
        <w:rPr>
          <w:sz w:val="24"/>
          <w:szCs w:val="24"/>
        </w:rPr>
      </w:pPr>
      <w:r>
        <w:rPr>
          <w:sz w:val="24"/>
          <w:szCs w:val="24"/>
        </w:rPr>
        <w:t>Provides for exemptions for very limited and auxiliary financial activities, if strict criteria for turnover thresholds, percentages and transaction limits are met (not above 1000 euros). Risk assessment and monitoring are required.</w:t>
      </w:r>
    </w:p>
    <w:p w14:paraId="09617ECC" w14:textId="4C3CBBF7" w:rsidR="00590247" w:rsidRPr="000C4031" w:rsidRDefault="00590247" w:rsidP="000742F2">
      <w:pPr>
        <w:widowControl/>
        <w:autoSpaceDE/>
        <w:autoSpaceDN/>
        <w:spacing w:line="276" w:lineRule="auto"/>
        <w:outlineLvl w:val="1"/>
        <w:rPr>
          <w:b/>
          <w:bCs/>
          <w:sz w:val="24"/>
          <w:szCs w:val="24"/>
        </w:rPr>
      </w:pPr>
      <w:r>
        <w:rPr>
          <w:b/>
          <w:bCs/>
          <w:sz w:val="24"/>
          <w:szCs w:val="24"/>
        </w:rPr>
        <w:t>SECTION 3 – Cross-border activities</w:t>
      </w:r>
    </w:p>
    <w:p w14:paraId="7C49FE3F" w14:textId="77777777" w:rsidR="00590247" w:rsidRPr="000C4031" w:rsidRDefault="00590247" w:rsidP="000742F2">
      <w:pPr>
        <w:widowControl/>
        <w:autoSpaceDE/>
        <w:autoSpaceDN/>
        <w:spacing w:line="276" w:lineRule="auto"/>
        <w:outlineLvl w:val="2"/>
        <w:rPr>
          <w:b/>
          <w:bCs/>
          <w:sz w:val="24"/>
          <w:szCs w:val="24"/>
        </w:rPr>
      </w:pPr>
      <w:r>
        <w:rPr>
          <w:b/>
          <w:bCs/>
          <w:sz w:val="24"/>
          <w:szCs w:val="24"/>
        </w:rPr>
        <w:t>Article 7 – Notification of cross-border activities</w:t>
      </w:r>
    </w:p>
    <w:p w14:paraId="3DABA22F" w14:textId="77777777" w:rsidR="00590247" w:rsidRPr="000C4031" w:rsidRDefault="00590247" w:rsidP="000742F2">
      <w:pPr>
        <w:widowControl/>
        <w:autoSpaceDE/>
        <w:autoSpaceDN/>
        <w:spacing w:line="276" w:lineRule="auto"/>
        <w:rPr>
          <w:sz w:val="24"/>
          <w:szCs w:val="24"/>
        </w:rPr>
      </w:pPr>
      <w:r>
        <w:rPr>
          <w:sz w:val="24"/>
          <w:szCs w:val="24"/>
        </w:rPr>
        <w:t>Obliges entities to notify the supervisory authority about conducting activities in other states.</w:t>
      </w:r>
      <w:r>
        <w:rPr>
          <w:sz w:val="24"/>
          <w:szCs w:val="24"/>
        </w:rPr>
        <w:br/>
        <w:t>Regulates:</w:t>
      </w:r>
    </w:p>
    <w:p w14:paraId="7C79C31B" w14:textId="77777777" w:rsidR="00590247" w:rsidRPr="000C4031" w:rsidRDefault="00590247" w:rsidP="000742F2">
      <w:pPr>
        <w:widowControl/>
        <w:numPr>
          <w:ilvl w:val="0"/>
          <w:numId w:val="5"/>
        </w:numPr>
        <w:tabs>
          <w:tab w:val="clear" w:pos="720"/>
          <w:tab w:val="num" w:pos="450"/>
        </w:tabs>
        <w:autoSpaceDE/>
        <w:autoSpaceDN/>
        <w:spacing w:line="276" w:lineRule="auto"/>
        <w:ind w:left="0" w:firstLine="0"/>
        <w:rPr>
          <w:sz w:val="24"/>
          <w:szCs w:val="24"/>
        </w:rPr>
      </w:pPr>
      <w:r>
        <w:rPr>
          <w:sz w:val="24"/>
          <w:szCs w:val="24"/>
        </w:rPr>
        <w:t>notification deadlines;</w:t>
      </w:r>
    </w:p>
    <w:p w14:paraId="663EE16F" w14:textId="77777777" w:rsidR="00590247" w:rsidRPr="000C4031" w:rsidRDefault="00590247" w:rsidP="000742F2">
      <w:pPr>
        <w:widowControl/>
        <w:numPr>
          <w:ilvl w:val="0"/>
          <w:numId w:val="5"/>
        </w:numPr>
        <w:tabs>
          <w:tab w:val="clear" w:pos="720"/>
          <w:tab w:val="num" w:pos="450"/>
        </w:tabs>
        <w:autoSpaceDE/>
        <w:autoSpaceDN/>
        <w:spacing w:line="276" w:lineRule="auto"/>
        <w:ind w:left="0" w:firstLine="0"/>
        <w:rPr>
          <w:sz w:val="24"/>
          <w:szCs w:val="24"/>
        </w:rPr>
      </w:pPr>
      <w:r>
        <w:rPr>
          <w:sz w:val="24"/>
          <w:szCs w:val="24"/>
        </w:rPr>
        <w:t>implementation of the law of the host state;</w:t>
      </w:r>
    </w:p>
    <w:p w14:paraId="6D4A1144" w14:textId="7AAA2976" w:rsidR="00590247" w:rsidRPr="000C4031" w:rsidRDefault="00590247" w:rsidP="000742F2">
      <w:pPr>
        <w:widowControl/>
        <w:numPr>
          <w:ilvl w:val="0"/>
          <w:numId w:val="5"/>
        </w:numPr>
        <w:tabs>
          <w:tab w:val="clear" w:pos="720"/>
          <w:tab w:val="num" w:pos="450"/>
        </w:tabs>
        <w:autoSpaceDE/>
        <w:autoSpaceDN/>
        <w:spacing w:line="276" w:lineRule="auto"/>
        <w:ind w:left="0" w:firstLine="0"/>
        <w:rPr>
          <w:sz w:val="24"/>
          <w:szCs w:val="24"/>
        </w:rPr>
      </w:pPr>
      <w:r>
        <w:rPr>
          <w:sz w:val="24"/>
          <w:szCs w:val="24"/>
        </w:rPr>
        <w:t>the obligation for a central contact point when required.</w:t>
      </w:r>
    </w:p>
    <w:p w14:paraId="4D85422E" w14:textId="77777777" w:rsidR="00590247" w:rsidRPr="000C4031" w:rsidRDefault="00590247" w:rsidP="000742F2">
      <w:pPr>
        <w:widowControl/>
        <w:autoSpaceDE/>
        <w:autoSpaceDN/>
        <w:spacing w:line="276" w:lineRule="auto"/>
        <w:outlineLvl w:val="0"/>
        <w:rPr>
          <w:b/>
          <w:bCs/>
          <w:kern w:val="36"/>
          <w:sz w:val="24"/>
          <w:szCs w:val="24"/>
        </w:rPr>
      </w:pPr>
      <w:r>
        <w:rPr>
          <w:b/>
          <w:bCs/>
          <w:kern w:val="36"/>
          <w:sz w:val="24"/>
          <w:szCs w:val="24"/>
        </w:rPr>
        <w:t>CHAPTER II</w:t>
      </w:r>
    </w:p>
    <w:p w14:paraId="6035645B" w14:textId="1471E5BB" w:rsidR="00590247" w:rsidRPr="000C4031" w:rsidRDefault="00590247" w:rsidP="000742F2">
      <w:pPr>
        <w:widowControl/>
        <w:autoSpaceDE/>
        <w:autoSpaceDN/>
        <w:spacing w:line="276" w:lineRule="auto"/>
        <w:outlineLvl w:val="1"/>
        <w:rPr>
          <w:b/>
          <w:bCs/>
          <w:sz w:val="24"/>
          <w:szCs w:val="24"/>
        </w:rPr>
      </w:pPr>
      <w:r>
        <w:rPr>
          <w:b/>
          <w:bCs/>
          <w:sz w:val="24"/>
          <w:szCs w:val="24"/>
        </w:rPr>
        <w:t>Internal policies, procedures and controls</w:t>
      </w:r>
    </w:p>
    <w:p w14:paraId="7B57CFFF" w14:textId="77777777" w:rsidR="00590247" w:rsidRPr="000C4031" w:rsidRDefault="00590247" w:rsidP="000742F2">
      <w:pPr>
        <w:widowControl/>
        <w:autoSpaceDE/>
        <w:autoSpaceDN/>
        <w:spacing w:line="276" w:lineRule="auto"/>
        <w:outlineLvl w:val="1"/>
        <w:rPr>
          <w:b/>
          <w:bCs/>
          <w:sz w:val="24"/>
          <w:szCs w:val="24"/>
        </w:rPr>
      </w:pPr>
      <w:r>
        <w:rPr>
          <w:b/>
          <w:bCs/>
          <w:sz w:val="24"/>
          <w:szCs w:val="24"/>
        </w:rPr>
        <w:t>SECTION 1 – Internal organisation</w:t>
      </w:r>
    </w:p>
    <w:p w14:paraId="72D35AC7" w14:textId="77777777" w:rsidR="00590247" w:rsidRPr="000C4031" w:rsidRDefault="00590247" w:rsidP="000742F2">
      <w:pPr>
        <w:widowControl/>
        <w:autoSpaceDE/>
        <w:autoSpaceDN/>
        <w:spacing w:line="276" w:lineRule="auto"/>
        <w:outlineLvl w:val="2"/>
        <w:rPr>
          <w:b/>
          <w:bCs/>
          <w:sz w:val="24"/>
          <w:szCs w:val="24"/>
        </w:rPr>
      </w:pPr>
      <w:r>
        <w:rPr>
          <w:b/>
          <w:bCs/>
          <w:sz w:val="24"/>
          <w:szCs w:val="24"/>
        </w:rPr>
        <w:t>Article 8 – Internal policies and controls</w:t>
      </w:r>
    </w:p>
    <w:p w14:paraId="314E68EC" w14:textId="77777777" w:rsidR="00590247" w:rsidRPr="000C4031" w:rsidRDefault="00590247" w:rsidP="000742F2">
      <w:pPr>
        <w:widowControl/>
        <w:autoSpaceDE/>
        <w:autoSpaceDN/>
        <w:spacing w:line="276" w:lineRule="auto"/>
        <w:rPr>
          <w:sz w:val="24"/>
          <w:szCs w:val="24"/>
        </w:rPr>
      </w:pPr>
      <w:r>
        <w:rPr>
          <w:sz w:val="24"/>
          <w:szCs w:val="24"/>
        </w:rPr>
        <w:t>Obliges entities to adopt written policies and procedures for AML/CFT risk management and implementation of financial sanctions.</w:t>
      </w:r>
      <w:r>
        <w:rPr>
          <w:sz w:val="24"/>
          <w:szCs w:val="24"/>
        </w:rPr>
        <w:br/>
        <w:t>Requires:</w:t>
      </w:r>
    </w:p>
    <w:p w14:paraId="281BFD7A" w14:textId="77777777" w:rsidR="00590247" w:rsidRPr="000C4031" w:rsidRDefault="00590247" w:rsidP="000742F2">
      <w:pPr>
        <w:widowControl/>
        <w:numPr>
          <w:ilvl w:val="0"/>
          <w:numId w:val="6"/>
        </w:numPr>
        <w:autoSpaceDE/>
        <w:autoSpaceDN/>
        <w:spacing w:line="276" w:lineRule="auto"/>
        <w:rPr>
          <w:sz w:val="24"/>
          <w:szCs w:val="24"/>
        </w:rPr>
      </w:pPr>
      <w:r>
        <w:rPr>
          <w:sz w:val="24"/>
          <w:szCs w:val="24"/>
        </w:rPr>
        <w:t>risk assessment;</w:t>
      </w:r>
    </w:p>
    <w:p w14:paraId="54D7FFB2" w14:textId="77777777" w:rsidR="00590247" w:rsidRPr="000C4031" w:rsidRDefault="00590247" w:rsidP="000742F2">
      <w:pPr>
        <w:widowControl/>
        <w:numPr>
          <w:ilvl w:val="0"/>
          <w:numId w:val="6"/>
        </w:numPr>
        <w:autoSpaceDE/>
        <w:autoSpaceDN/>
        <w:spacing w:line="276" w:lineRule="auto"/>
        <w:rPr>
          <w:sz w:val="24"/>
          <w:szCs w:val="24"/>
        </w:rPr>
      </w:pPr>
      <w:r>
        <w:rPr>
          <w:sz w:val="24"/>
          <w:szCs w:val="24"/>
        </w:rPr>
        <w:t>management framework;</w:t>
      </w:r>
    </w:p>
    <w:p w14:paraId="7D79295A" w14:textId="77777777" w:rsidR="00590247" w:rsidRPr="000C4031" w:rsidRDefault="00590247" w:rsidP="000742F2">
      <w:pPr>
        <w:widowControl/>
        <w:numPr>
          <w:ilvl w:val="0"/>
          <w:numId w:val="6"/>
        </w:numPr>
        <w:autoSpaceDE/>
        <w:autoSpaceDN/>
        <w:spacing w:line="276" w:lineRule="auto"/>
        <w:rPr>
          <w:sz w:val="24"/>
          <w:szCs w:val="24"/>
        </w:rPr>
      </w:pPr>
      <w:r>
        <w:rPr>
          <w:sz w:val="24"/>
          <w:szCs w:val="24"/>
        </w:rPr>
        <w:t>customer due diligence procedures;</w:t>
      </w:r>
    </w:p>
    <w:p w14:paraId="2C344BCC" w14:textId="77777777" w:rsidR="00590247" w:rsidRPr="000C4031" w:rsidRDefault="00590247" w:rsidP="000742F2">
      <w:pPr>
        <w:widowControl/>
        <w:numPr>
          <w:ilvl w:val="0"/>
          <w:numId w:val="6"/>
        </w:numPr>
        <w:autoSpaceDE/>
        <w:autoSpaceDN/>
        <w:spacing w:line="276" w:lineRule="auto"/>
        <w:rPr>
          <w:sz w:val="24"/>
          <w:szCs w:val="24"/>
        </w:rPr>
      </w:pPr>
      <w:r>
        <w:rPr>
          <w:sz w:val="24"/>
          <w:szCs w:val="24"/>
        </w:rPr>
        <w:t>reporting of suspicions;</w:t>
      </w:r>
    </w:p>
    <w:p w14:paraId="6D4C8C60" w14:textId="77777777" w:rsidR="00590247" w:rsidRPr="000C4031" w:rsidRDefault="00590247" w:rsidP="000742F2">
      <w:pPr>
        <w:widowControl/>
        <w:numPr>
          <w:ilvl w:val="0"/>
          <w:numId w:val="6"/>
        </w:numPr>
        <w:autoSpaceDE/>
        <w:autoSpaceDN/>
        <w:spacing w:line="276" w:lineRule="auto"/>
        <w:rPr>
          <w:sz w:val="24"/>
          <w:szCs w:val="24"/>
        </w:rPr>
      </w:pPr>
      <w:r>
        <w:rPr>
          <w:sz w:val="24"/>
          <w:szCs w:val="24"/>
        </w:rPr>
        <w:t>internal audit;</w:t>
      </w:r>
    </w:p>
    <w:p w14:paraId="2CB232B7" w14:textId="77777777" w:rsidR="00590247" w:rsidRPr="000C4031" w:rsidRDefault="00590247" w:rsidP="000742F2">
      <w:pPr>
        <w:widowControl/>
        <w:numPr>
          <w:ilvl w:val="0"/>
          <w:numId w:val="6"/>
        </w:numPr>
        <w:autoSpaceDE/>
        <w:autoSpaceDN/>
        <w:spacing w:line="276" w:lineRule="auto"/>
        <w:rPr>
          <w:sz w:val="24"/>
          <w:szCs w:val="24"/>
        </w:rPr>
      </w:pPr>
      <w:r>
        <w:rPr>
          <w:sz w:val="24"/>
          <w:szCs w:val="24"/>
        </w:rPr>
        <w:t>periodic training.</w:t>
      </w:r>
    </w:p>
    <w:p w14:paraId="4B50696D" w14:textId="77777777" w:rsidR="00590247" w:rsidRPr="000C4031" w:rsidRDefault="00590247" w:rsidP="000742F2">
      <w:pPr>
        <w:widowControl/>
        <w:autoSpaceDE/>
        <w:autoSpaceDN/>
        <w:spacing w:line="276" w:lineRule="auto"/>
        <w:outlineLvl w:val="2"/>
        <w:rPr>
          <w:b/>
          <w:bCs/>
          <w:sz w:val="24"/>
          <w:szCs w:val="24"/>
        </w:rPr>
      </w:pPr>
      <w:r>
        <w:rPr>
          <w:b/>
          <w:bCs/>
          <w:sz w:val="24"/>
          <w:szCs w:val="24"/>
        </w:rPr>
        <w:t>Article 9 – Business-wide risk assessment</w:t>
      </w:r>
    </w:p>
    <w:p w14:paraId="66E9575B" w14:textId="77777777" w:rsidR="00590247" w:rsidRPr="000C4031" w:rsidRDefault="00590247" w:rsidP="000742F2">
      <w:pPr>
        <w:widowControl/>
        <w:autoSpaceDE/>
        <w:autoSpaceDN/>
        <w:spacing w:line="276" w:lineRule="auto"/>
        <w:rPr>
          <w:sz w:val="24"/>
          <w:szCs w:val="24"/>
        </w:rPr>
      </w:pPr>
      <w:r>
        <w:rPr>
          <w:sz w:val="24"/>
          <w:szCs w:val="24"/>
        </w:rPr>
        <w:t>Obliges each entity to identify and document the risks of money laundering and terrorist financing, taking into account national, EU and international factors.</w:t>
      </w:r>
      <w:r>
        <w:rPr>
          <w:sz w:val="24"/>
          <w:szCs w:val="24"/>
        </w:rPr>
        <w:br/>
        <w:t>The assessment is approved by the governing body and is updated regularly.</w:t>
      </w:r>
    </w:p>
    <w:p w14:paraId="20C93951" w14:textId="77777777" w:rsidR="00590247" w:rsidRPr="000C4031" w:rsidRDefault="00590247" w:rsidP="000742F2">
      <w:pPr>
        <w:widowControl/>
        <w:autoSpaceDE/>
        <w:autoSpaceDN/>
        <w:spacing w:line="276" w:lineRule="auto"/>
        <w:outlineLvl w:val="2"/>
        <w:rPr>
          <w:b/>
          <w:bCs/>
          <w:sz w:val="24"/>
          <w:szCs w:val="24"/>
        </w:rPr>
      </w:pPr>
      <w:r>
        <w:rPr>
          <w:b/>
          <w:bCs/>
          <w:sz w:val="24"/>
          <w:szCs w:val="24"/>
        </w:rPr>
        <w:t>Article 10 – Compliance functions</w:t>
      </w:r>
    </w:p>
    <w:p w14:paraId="62A8AA8C" w14:textId="77777777" w:rsidR="00590247" w:rsidRPr="000C4031" w:rsidRDefault="00590247" w:rsidP="000742F2">
      <w:pPr>
        <w:widowControl/>
        <w:autoSpaceDE/>
        <w:autoSpaceDN/>
        <w:spacing w:line="276" w:lineRule="auto"/>
        <w:rPr>
          <w:sz w:val="24"/>
          <w:szCs w:val="24"/>
        </w:rPr>
      </w:pPr>
      <w:r>
        <w:rPr>
          <w:sz w:val="24"/>
          <w:szCs w:val="24"/>
        </w:rPr>
        <w:t>Provides for:</w:t>
      </w:r>
    </w:p>
    <w:p w14:paraId="7BA399B1" w14:textId="77777777" w:rsidR="00590247" w:rsidRPr="000C4031" w:rsidRDefault="00590247" w:rsidP="000742F2">
      <w:pPr>
        <w:widowControl/>
        <w:numPr>
          <w:ilvl w:val="0"/>
          <w:numId w:val="7"/>
        </w:numPr>
        <w:autoSpaceDE/>
        <w:autoSpaceDN/>
        <w:spacing w:line="276" w:lineRule="auto"/>
        <w:rPr>
          <w:sz w:val="24"/>
          <w:szCs w:val="24"/>
        </w:rPr>
      </w:pPr>
      <w:r>
        <w:rPr>
          <w:sz w:val="24"/>
          <w:szCs w:val="24"/>
        </w:rPr>
        <w:t>the appointment of a person responsible for AML/CFT at management level;</w:t>
      </w:r>
    </w:p>
    <w:p w14:paraId="4E4C1D87" w14:textId="77777777" w:rsidR="00590247" w:rsidRPr="000C4031" w:rsidRDefault="00590247" w:rsidP="000742F2">
      <w:pPr>
        <w:widowControl/>
        <w:numPr>
          <w:ilvl w:val="0"/>
          <w:numId w:val="7"/>
        </w:numPr>
        <w:autoSpaceDE/>
        <w:autoSpaceDN/>
        <w:spacing w:line="276" w:lineRule="auto"/>
        <w:rPr>
          <w:sz w:val="24"/>
          <w:szCs w:val="24"/>
        </w:rPr>
      </w:pPr>
      <w:r>
        <w:rPr>
          <w:sz w:val="24"/>
          <w:szCs w:val="24"/>
        </w:rPr>
        <w:t>the appointment of an operational compliance officer;</w:t>
      </w:r>
    </w:p>
    <w:p w14:paraId="59159231" w14:textId="77777777" w:rsidR="00590247" w:rsidRPr="000C4031" w:rsidRDefault="00590247" w:rsidP="000742F2">
      <w:pPr>
        <w:widowControl/>
        <w:numPr>
          <w:ilvl w:val="0"/>
          <w:numId w:val="7"/>
        </w:numPr>
        <w:autoSpaceDE/>
        <w:autoSpaceDN/>
        <w:spacing w:line="276" w:lineRule="auto"/>
        <w:rPr>
          <w:sz w:val="24"/>
          <w:szCs w:val="24"/>
        </w:rPr>
      </w:pPr>
      <w:r>
        <w:rPr>
          <w:sz w:val="24"/>
          <w:szCs w:val="24"/>
        </w:rPr>
        <w:t>the obligation for direct reporting to the governing bodies;</w:t>
      </w:r>
    </w:p>
    <w:p w14:paraId="2B964CF3" w14:textId="77777777" w:rsidR="00590247" w:rsidRPr="000C4031" w:rsidRDefault="00590247" w:rsidP="000742F2">
      <w:pPr>
        <w:widowControl/>
        <w:numPr>
          <w:ilvl w:val="0"/>
          <w:numId w:val="7"/>
        </w:numPr>
        <w:autoSpaceDE/>
        <w:autoSpaceDN/>
        <w:spacing w:line="276" w:lineRule="auto"/>
        <w:rPr>
          <w:sz w:val="24"/>
          <w:szCs w:val="24"/>
        </w:rPr>
      </w:pPr>
      <w:r>
        <w:rPr>
          <w:sz w:val="24"/>
          <w:szCs w:val="24"/>
        </w:rPr>
        <w:t>protection against retaliation;</w:t>
      </w:r>
    </w:p>
    <w:p w14:paraId="3A498114" w14:textId="1C6417A1" w:rsidR="0006355F" w:rsidRPr="000C4031" w:rsidRDefault="00590247" w:rsidP="000742F2">
      <w:pPr>
        <w:widowControl/>
        <w:numPr>
          <w:ilvl w:val="0"/>
          <w:numId w:val="7"/>
        </w:numPr>
        <w:autoSpaceDE/>
        <w:autoSpaceDN/>
        <w:spacing w:line="276" w:lineRule="auto"/>
        <w:rPr>
          <w:sz w:val="24"/>
          <w:szCs w:val="24"/>
        </w:rPr>
      </w:pPr>
      <w:r>
        <w:rPr>
          <w:sz w:val="24"/>
          <w:szCs w:val="24"/>
        </w:rPr>
        <w:lastRenderedPageBreak/>
        <w:t>sufficient human and technical resources.</w:t>
      </w:r>
    </w:p>
    <w:p w14:paraId="2DB70162" w14:textId="1CB72D17" w:rsidR="00590247" w:rsidRPr="000C4031" w:rsidRDefault="00590247" w:rsidP="000742F2">
      <w:pPr>
        <w:widowControl/>
        <w:autoSpaceDE/>
        <w:autoSpaceDN/>
        <w:spacing w:line="276" w:lineRule="auto"/>
        <w:outlineLvl w:val="2"/>
        <w:rPr>
          <w:b/>
          <w:bCs/>
          <w:sz w:val="24"/>
          <w:szCs w:val="24"/>
        </w:rPr>
      </w:pPr>
      <w:r>
        <w:rPr>
          <w:b/>
          <w:bCs/>
          <w:sz w:val="24"/>
          <w:szCs w:val="24"/>
        </w:rPr>
        <w:t>Article 11 – Awareness and training</w:t>
      </w:r>
    </w:p>
    <w:p w14:paraId="1257CBD6" w14:textId="46EB418C" w:rsidR="0006355F" w:rsidRPr="000C4031" w:rsidRDefault="00590247" w:rsidP="000742F2">
      <w:pPr>
        <w:widowControl/>
        <w:autoSpaceDE/>
        <w:autoSpaceDN/>
        <w:spacing w:line="276" w:lineRule="auto"/>
        <w:rPr>
          <w:sz w:val="24"/>
          <w:szCs w:val="24"/>
        </w:rPr>
      </w:pPr>
      <w:r>
        <w:rPr>
          <w:sz w:val="24"/>
          <w:szCs w:val="24"/>
        </w:rPr>
        <w:t>Obliges entities to continuously train staff for the identification and reporting of suspicious cases.</w:t>
      </w:r>
    </w:p>
    <w:p w14:paraId="499C51D4" w14:textId="30E9BF2C" w:rsidR="00590247" w:rsidRPr="000C4031" w:rsidRDefault="00590247" w:rsidP="000742F2">
      <w:pPr>
        <w:widowControl/>
        <w:autoSpaceDE/>
        <w:autoSpaceDN/>
        <w:spacing w:line="276" w:lineRule="auto"/>
        <w:outlineLvl w:val="2"/>
        <w:rPr>
          <w:b/>
          <w:bCs/>
          <w:sz w:val="24"/>
          <w:szCs w:val="24"/>
        </w:rPr>
      </w:pPr>
      <w:r>
        <w:rPr>
          <w:b/>
          <w:bCs/>
          <w:sz w:val="24"/>
          <w:szCs w:val="24"/>
        </w:rPr>
        <w:t>Article 12 – Integrity of employees</w:t>
      </w:r>
    </w:p>
    <w:p w14:paraId="0CFBFB39" w14:textId="77777777" w:rsidR="00590247" w:rsidRPr="000C4031" w:rsidRDefault="00590247" w:rsidP="000742F2">
      <w:pPr>
        <w:widowControl/>
        <w:autoSpaceDE/>
        <w:autoSpaceDN/>
        <w:spacing w:line="276" w:lineRule="auto"/>
        <w:rPr>
          <w:sz w:val="24"/>
          <w:szCs w:val="24"/>
        </w:rPr>
      </w:pPr>
      <w:r>
        <w:rPr>
          <w:sz w:val="24"/>
          <w:szCs w:val="24"/>
        </w:rPr>
        <w:t>Requires verification of the reputation, competence and integrity of persons dealing with AML/CFT.</w:t>
      </w:r>
      <w:r>
        <w:rPr>
          <w:sz w:val="24"/>
          <w:szCs w:val="24"/>
        </w:rPr>
        <w:br/>
        <w:t>Provides rules for the avoidance of conflicts of interest.</w:t>
      </w:r>
    </w:p>
    <w:p w14:paraId="39E17EF1" w14:textId="77777777" w:rsidR="00590247" w:rsidRPr="000C4031" w:rsidRDefault="00590247" w:rsidP="000742F2">
      <w:pPr>
        <w:widowControl/>
        <w:autoSpaceDE/>
        <w:autoSpaceDN/>
        <w:spacing w:line="276" w:lineRule="auto"/>
        <w:outlineLvl w:val="2"/>
        <w:rPr>
          <w:b/>
          <w:bCs/>
          <w:sz w:val="24"/>
          <w:szCs w:val="24"/>
        </w:rPr>
      </w:pPr>
      <w:r>
        <w:rPr>
          <w:b/>
          <w:bCs/>
          <w:sz w:val="24"/>
          <w:szCs w:val="24"/>
        </w:rPr>
        <w:t>Article 13 – Reporting of violations</w:t>
      </w:r>
    </w:p>
    <w:p w14:paraId="1ACFB719" w14:textId="77777777" w:rsidR="00590247" w:rsidRPr="000C4031" w:rsidRDefault="00590247" w:rsidP="000742F2">
      <w:pPr>
        <w:widowControl/>
        <w:autoSpaceDE/>
        <w:autoSpaceDN/>
        <w:spacing w:line="276" w:lineRule="auto"/>
        <w:rPr>
          <w:sz w:val="24"/>
          <w:szCs w:val="24"/>
        </w:rPr>
      </w:pPr>
      <w:r>
        <w:rPr>
          <w:sz w:val="24"/>
          <w:szCs w:val="24"/>
        </w:rPr>
        <w:t>Obliges the establishment of internal channels for reporting violations and the protection of whistleblowers, according to the relevant legislation.</w:t>
      </w:r>
    </w:p>
    <w:p w14:paraId="2DB001DD" w14:textId="77777777" w:rsidR="00590247" w:rsidRPr="000C4031" w:rsidRDefault="00590247" w:rsidP="000742F2">
      <w:pPr>
        <w:widowControl/>
        <w:autoSpaceDE/>
        <w:autoSpaceDN/>
        <w:spacing w:line="276" w:lineRule="auto"/>
        <w:outlineLvl w:val="2"/>
        <w:rPr>
          <w:b/>
          <w:bCs/>
          <w:sz w:val="24"/>
          <w:szCs w:val="24"/>
        </w:rPr>
      </w:pPr>
      <w:r>
        <w:rPr>
          <w:b/>
          <w:bCs/>
          <w:sz w:val="24"/>
          <w:szCs w:val="24"/>
        </w:rPr>
        <w:t>Article 14 – The situation of particular employees</w:t>
      </w:r>
    </w:p>
    <w:p w14:paraId="5C93BD85" w14:textId="0514B637" w:rsidR="00590247" w:rsidRPr="000C4031" w:rsidRDefault="00590247" w:rsidP="000742F2">
      <w:pPr>
        <w:widowControl/>
        <w:autoSpaceDE/>
        <w:autoSpaceDN/>
        <w:spacing w:line="276" w:lineRule="auto"/>
        <w:rPr>
          <w:sz w:val="24"/>
          <w:szCs w:val="24"/>
        </w:rPr>
      </w:pPr>
      <w:r>
        <w:rPr>
          <w:sz w:val="24"/>
          <w:szCs w:val="24"/>
        </w:rPr>
        <w:t>Specifies that when professionals carry out activity as employees, responsibility falls on the legal person.</w:t>
      </w:r>
    </w:p>
    <w:p w14:paraId="2ADA7E58" w14:textId="77777777" w:rsidR="00590247" w:rsidRPr="000C4031" w:rsidRDefault="00590247" w:rsidP="000742F2">
      <w:pPr>
        <w:widowControl/>
        <w:autoSpaceDE/>
        <w:autoSpaceDN/>
        <w:spacing w:line="276" w:lineRule="auto"/>
        <w:outlineLvl w:val="1"/>
        <w:rPr>
          <w:b/>
          <w:bCs/>
          <w:sz w:val="24"/>
          <w:szCs w:val="24"/>
        </w:rPr>
      </w:pPr>
      <w:r>
        <w:rPr>
          <w:b/>
          <w:bCs/>
          <w:sz w:val="24"/>
          <w:szCs w:val="24"/>
        </w:rPr>
        <w:t>SECTION 2 – Requirements for groups</w:t>
      </w:r>
    </w:p>
    <w:p w14:paraId="1B2DC672" w14:textId="77777777" w:rsidR="00590247" w:rsidRPr="000C4031" w:rsidRDefault="00590247" w:rsidP="000742F2">
      <w:pPr>
        <w:widowControl/>
        <w:autoSpaceDE/>
        <w:autoSpaceDN/>
        <w:spacing w:line="276" w:lineRule="auto"/>
        <w:outlineLvl w:val="2"/>
        <w:rPr>
          <w:b/>
          <w:bCs/>
          <w:sz w:val="24"/>
          <w:szCs w:val="24"/>
        </w:rPr>
      </w:pPr>
      <w:r>
        <w:rPr>
          <w:b/>
          <w:bCs/>
          <w:sz w:val="24"/>
          <w:szCs w:val="24"/>
        </w:rPr>
        <w:t>Article 15 – Group-level requirements</w:t>
      </w:r>
    </w:p>
    <w:p w14:paraId="4622BA09" w14:textId="77777777" w:rsidR="00590247" w:rsidRPr="000C4031" w:rsidRDefault="00590247" w:rsidP="000742F2">
      <w:pPr>
        <w:widowControl/>
        <w:autoSpaceDE/>
        <w:autoSpaceDN/>
        <w:spacing w:line="276" w:lineRule="auto"/>
        <w:rPr>
          <w:sz w:val="24"/>
          <w:szCs w:val="24"/>
        </w:rPr>
      </w:pPr>
      <w:r>
        <w:rPr>
          <w:sz w:val="24"/>
          <w:szCs w:val="24"/>
        </w:rPr>
        <w:t>Obliges the parent undertaking to implement unified policies and controls at group level, including information exchange within the group and risk assessment at group level.</w:t>
      </w:r>
    </w:p>
    <w:p w14:paraId="3D47D512" w14:textId="77777777" w:rsidR="00590247" w:rsidRPr="000C4031" w:rsidRDefault="00590247" w:rsidP="000742F2">
      <w:pPr>
        <w:widowControl/>
        <w:autoSpaceDE/>
        <w:autoSpaceDN/>
        <w:spacing w:line="276" w:lineRule="auto"/>
        <w:outlineLvl w:val="2"/>
        <w:rPr>
          <w:b/>
          <w:bCs/>
          <w:sz w:val="24"/>
          <w:szCs w:val="24"/>
        </w:rPr>
      </w:pPr>
      <w:r>
        <w:rPr>
          <w:b/>
          <w:bCs/>
          <w:sz w:val="24"/>
          <w:szCs w:val="24"/>
        </w:rPr>
        <w:t>Article 16 – Branches in third countries</w:t>
      </w:r>
    </w:p>
    <w:p w14:paraId="4C2E1692" w14:textId="40D0807B" w:rsidR="00590247" w:rsidRPr="000C4031" w:rsidRDefault="00590247" w:rsidP="000742F2">
      <w:pPr>
        <w:widowControl/>
        <w:autoSpaceDE/>
        <w:autoSpaceDN/>
        <w:spacing w:line="276" w:lineRule="auto"/>
        <w:rPr>
          <w:sz w:val="24"/>
          <w:szCs w:val="24"/>
        </w:rPr>
      </w:pPr>
      <w:r>
        <w:rPr>
          <w:sz w:val="24"/>
          <w:szCs w:val="24"/>
        </w:rPr>
        <w:t>Requires that branches/subsidiaries in countries with lower standards apply the standards of this law.</w:t>
      </w:r>
      <w:r>
        <w:rPr>
          <w:sz w:val="24"/>
          <w:szCs w:val="24"/>
        </w:rPr>
        <w:br/>
        <w:t>In case of legal impediments, additional measures or interruption of activity are required.</w:t>
      </w:r>
    </w:p>
    <w:p w14:paraId="19DDD3B1" w14:textId="77777777" w:rsidR="00590247" w:rsidRPr="000C4031" w:rsidRDefault="00590247" w:rsidP="000742F2">
      <w:pPr>
        <w:widowControl/>
        <w:autoSpaceDE/>
        <w:autoSpaceDN/>
        <w:spacing w:line="276" w:lineRule="auto"/>
        <w:rPr>
          <w:sz w:val="24"/>
          <w:szCs w:val="24"/>
        </w:rPr>
      </w:pPr>
    </w:p>
    <w:p w14:paraId="1F24B057" w14:textId="77777777" w:rsidR="00590247" w:rsidRPr="000C4031" w:rsidRDefault="00590247" w:rsidP="000742F2">
      <w:pPr>
        <w:widowControl/>
        <w:autoSpaceDE/>
        <w:autoSpaceDN/>
        <w:spacing w:line="276" w:lineRule="auto"/>
        <w:outlineLvl w:val="1"/>
        <w:rPr>
          <w:b/>
          <w:bCs/>
          <w:sz w:val="24"/>
          <w:szCs w:val="24"/>
        </w:rPr>
      </w:pPr>
      <w:r>
        <w:rPr>
          <w:b/>
          <w:bCs/>
          <w:sz w:val="24"/>
          <w:szCs w:val="24"/>
        </w:rPr>
        <w:t>SECTION 3 – Contracting</w:t>
      </w:r>
    </w:p>
    <w:p w14:paraId="5D8DB027" w14:textId="77777777" w:rsidR="00590247" w:rsidRPr="000C4031" w:rsidRDefault="00590247" w:rsidP="000742F2">
      <w:pPr>
        <w:widowControl/>
        <w:autoSpaceDE/>
        <w:autoSpaceDN/>
        <w:spacing w:line="276" w:lineRule="auto"/>
        <w:outlineLvl w:val="2"/>
        <w:rPr>
          <w:b/>
          <w:bCs/>
          <w:sz w:val="24"/>
          <w:szCs w:val="24"/>
        </w:rPr>
      </w:pPr>
      <w:r>
        <w:rPr>
          <w:b/>
          <w:bCs/>
          <w:sz w:val="24"/>
          <w:szCs w:val="24"/>
        </w:rPr>
        <w:t>Article 17 – Contracting</w:t>
      </w:r>
    </w:p>
    <w:p w14:paraId="17CBE8E2" w14:textId="4A3E6B54" w:rsidR="00590247" w:rsidRPr="000C4031" w:rsidRDefault="00590247" w:rsidP="000742F2">
      <w:pPr>
        <w:widowControl/>
        <w:autoSpaceDE/>
        <w:autoSpaceDN/>
        <w:spacing w:line="276" w:lineRule="auto"/>
        <w:rPr>
          <w:sz w:val="24"/>
          <w:szCs w:val="24"/>
        </w:rPr>
      </w:pPr>
      <w:r>
        <w:rPr>
          <w:sz w:val="24"/>
          <w:szCs w:val="24"/>
        </w:rPr>
        <w:t>Allows outsourcing of some tasks, but not of essential functions (e.g. approval of risk assessment, decision-making concerning clients, reporting of suspicions).</w:t>
      </w:r>
      <w:r>
        <w:rPr>
          <w:sz w:val="24"/>
          <w:szCs w:val="24"/>
        </w:rPr>
        <w:br/>
        <w:t>The subject bears full responsibility and must ensure effective supervision.</w:t>
      </w:r>
    </w:p>
    <w:p w14:paraId="04B1DD54" w14:textId="77777777" w:rsidR="00590247" w:rsidRPr="000C4031" w:rsidRDefault="00590247" w:rsidP="000742F2">
      <w:pPr>
        <w:widowControl/>
        <w:autoSpaceDE/>
        <w:autoSpaceDN/>
        <w:spacing w:line="276" w:lineRule="auto"/>
        <w:outlineLvl w:val="0"/>
        <w:rPr>
          <w:b/>
          <w:bCs/>
          <w:kern w:val="36"/>
          <w:sz w:val="24"/>
          <w:szCs w:val="24"/>
        </w:rPr>
      </w:pPr>
      <w:r>
        <w:rPr>
          <w:b/>
          <w:bCs/>
          <w:kern w:val="36"/>
          <w:sz w:val="24"/>
          <w:szCs w:val="24"/>
        </w:rPr>
        <w:t>CHAPTER III</w:t>
      </w:r>
    </w:p>
    <w:p w14:paraId="1647549D" w14:textId="16078495" w:rsidR="00590247" w:rsidRPr="000C4031" w:rsidRDefault="00590247" w:rsidP="000742F2">
      <w:pPr>
        <w:widowControl/>
        <w:autoSpaceDE/>
        <w:autoSpaceDN/>
        <w:spacing w:line="276" w:lineRule="auto"/>
        <w:outlineLvl w:val="1"/>
        <w:rPr>
          <w:b/>
          <w:bCs/>
          <w:sz w:val="24"/>
          <w:szCs w:val="24"/>
        </w:rPr>
      </w:pPr>
      <w:r>
        <w:rPr>
          <w:b/>
          <w:bCs/>
          <w:sz w:val="24"/>
          <w:szCs w:val="24"/>
        </w:rPr>
        <w:t>Customer due diligence</w:t>
      </w:r>
    </w:p>
    <w:p w14:paraId="4985C5A1" w14:textId="77777777" w:rsidR="00590247" w:rsidRPr="000C4031" w:rsidRDefault="00590247" w:rsidP="000742F2">
      <w:pPr>
        <w:widowControl/>
        <w:autoSpaceDE/>
        <w:autoSpaceDN/>
        <w:spacing w:line="276" w:lineRule="auto"/>
        <w:outlineLvl w:val="2"/>
        <w:rPr>
          <w:b/>
          <w:bCs/>
          <w:sz w:val="24"/>
          <w:szCs w:val="24"/>
        </w:rPr>
      </w:pPr>
      <w:r>
        <w:rPr>
          <w:b/>
          <w:bCs/>
          <w:sz w:val="24"/>
          <w:szCs w:val="24"/>
        </w:rPr>
        <w:t>Article 18 – Implementation of due diligence measures</w:t>
      </w:r>
    </w:p>
    <w:p w14:paraId="2BFB8CFA" w14:textId="77777777" w:rsidR="00590247" w:rsidRPr="000C4031" w:rsidRDefault="00590247" w:rsidP="000742F2">
      <w:pPr>
        <w:widowControl/>
        <w:autoSpaceDE/>
        <w:autoSpaceDN/>
        <w:spacing w:line="276" w:lineRule="auto"/>
        <w:rPr>
          <w:sz w:val="24"/>
          <w:szCs w:val="24"/>
        </w:rPr>
      </w:pPr>
      <w:r>
        <w:rPr>
          <w:sz w:val="24"/>
          <w:szCs w:val="24"/>
        </w:rPr>
        <w:t>Defines the cases when subjects must apply customer due diligence measures, including:</w:t>
      </w:r>
    </w:p>
    <w:p w14:paraId="6C5C2457" w14:textId="77777777" w:rsidR="00590247" w:rsidRPr="000C4031" w:rsidRDefault="00590247" w:rsidP="000742F2">
      <w:pPr>
        <w:widowControl/>
        <w:numPr>
          <w:ilvl w:val="0"/>
          <w:numId w:val="8"/>
        </w:numPr>
        <w:tabs>
          <w:tab w:val="clear" w:pos="720"/>
          <w:tab w:val="num" w:pos="540"/>
        </w:tabs>
        <w:autoSpaceDE/>
        <w:autoSpaceDN/>
        <w:spacing w:line="276" w:lineRule="auto"/>
        <w:ind w:left="0" w:firstLine="0"/>
        <w:rPr>
          <w:sz w:val="24"/>
          <w:szCs w:val="24"/>
        </w:rPr>
      </w:pPr>
      <w:r>
        <w:rPr>
          <w:sz w:val="24"/>
          <w:szCs w:val="24"/>
        </w:rPr>
        <w:t>establishment of the business relationship;</w:t>
      </w:r>
    </w:p>
    <w:p w14:paraId="25EB0F6C" w14:textId="77777777" w:rsidR="00590247" w:rsidRPr="000C4031" w:rsidRDefault="00590247" w:rsidP="000742F2">
      <w:pPr>
        <w:widowControl/>
        <w:numPr>
          <w:ilvl w:val="0"/>
          <w:numId w:val="8"/>
        </w:numPr>
        <w:tabs>
          <w:tab w:val="clear" w:pos="720"/>
          <w:tab w:val="num" w:pos="540"/>
        </w:tabs>
        <w:autoSpaceDE/>
        <w:autoSpaceDN/>
        <w:spacing w:line="276" w:lineRule="auto"/>
        <w:ind w:left="0" w:firstLine="0"/>
        <w:rPr>
          <w:sz w:val="24"/>
          <w:szCs w:val="24"/>
        </w:rPr>
      </w:pPr>
      <w:r>
        <w:rPr>
          <w:sz w:val="24"/>
          <w:szCs w:val="24"/>
        </w:rPr>
        <w:t>transactions above certain thresholds (€10,000, €1,000, €3,000, €2,000 depending on the sector);</w:t>
      </w:r>
    </w:p>
    <w:p w14:paraId="45BB78C7" w14:textId="77777777" w:rsidR="00590247" w:rsidRPr="000C4031" w:rsidRDefault="00590247" w:rsidP="000742F2">
      <w:pPr>
        <w:widowControl/>
        <w:numPr>
          <w:ilvl w:val="0"/>
          <w:numId w:val="8"/>
        </w:numPr>
        <w:tabs>
          <w:tab w:val="clear" w:pos="720"/>
          <w:tab w:val="num" w:pos="540"/>
        </w:tabs>
        <w:autoSpaceDE/>
        <w:autoSpaceDN/>
        <w:spacing w:line="276" w:lineRule="auto"/>
        <w:ind w:left="0" w:firstLine="0"/>
        <w:rPr>
          <w:sz w:val="24"/>
          <w:szCs w:val="24"/>
        </w:rPr>
      </w:pPr>
      <w:r>
        <w:rPr>
          <w:sz w:val="24"/>
          <w:szCs w:val="24"/>
        </w:rPr>
        <w:t>suspicions of money laundering;</w:t>
      </w:r>
    </w:p>
    <w:p w14:paraId="44153C44" w14:textId="77777777" w:rsidR="00590247" w:rsidRPr="000C4031" w:rsidRDefault="00590247" w:rsidP="000742F2">
      <w:pPr>
        <w:widowControl/>
        <w:numPr>
          <w:ilvl w:val="0"/>
          <w:numId w:val="8"/>
        </w:numPr>
        <w:tabs>
          <w:tab w:val="clear" w:pos="720"/>
          <w:tab w:val="num" w:pos="540"/>
        </w:tabs>
        <w:autoSpaceDE/>
        <w:autoSpaceDN/>
        <w:spacing w:line="276" w:lineRule="auto"/>
        <w:ind w:left="0" w:firstLine="0"/>
        <w:rPr>
          <w:sz w:val="24"/>
          <w:szCs w:val="24"/>
        </w:rPr>
      </w:pPr>
      <w:r>
        <w:rPr>
          <w:sz w:val="24"/>
          <w:szCs w:val="24"/>
        </w:rPr>
        <w:t>suspicions about identity.</w:t>
      </w:r>
    </w:p>
    <w:p w14:paraId="7DB5CB99" w14:textId="77777777" w:rsidR="00590247" w:rsidRPr="000C4031" w:rsidRDefault="00590247" w:rsidP="000742F2">
      <w:pPr>
        <w:widowControl/>
        <w:tabs>
          <w:tab w:val="num" w:pos="540"/>
        </w:tabs>
        <w:autoSpaceDE/>
        <w:autoSpaceDN/>
        <w:spacing w:line="276" w:lineRule="auto"/>
        <w:rPr>
          <w:sz w:val="24"/>
          <w:szCs w:val="24"/>
        </w:rPr>
      </w:pPr>
      <w:r>
        <w:rPr>
          <w:sz w:val="24"/>
          <w:szCs w:val="24"/>
        </w:rPr>
        <w:t>Provides specific rules for:</w:t>
      </w:r>
    </w:p>
    <w:p w14:paraId="4250B70D" w14:textId="77777777" w:rsidR="00590247" w:rsidRPr="000C4031" w:rsidRDefault="00590247" w:rsidP="000742F2">
      <w:pPr>
        <w:widowControl/>
        <w:numPr>
          <w:ilvl w:val="0"/>
          <w:numId w:val="9"/>
        </w:numPr>
        <w:tabs>
          <w:tab w:val="clear" w:pos="720"/>
          <w:tab w:val="num" w:pos="540"/>
        </w:tabs>
        <w:autoSpaceDE/>
        <w:autoSpaceDN/>
        <w:spacing w:line="276" w:lineRule="auto"/>
        <w:ind w:left="0" w:firstLine="0"/>
        <w:rPr>
          <w:sz w:val="24"/>
          <w:szCs w:val="24"/>
        </w:rPr>
      </w:pPr>
      <w:r>
        <w:rPr>
          <w:sz w:val="24"/>
          <w:szCs w:val="24"/>
        </w:rPr>
        <w:t>financial institutions;</w:t>
      </w:r>
    </w:p>
    <w:p w14:paraId="2D8B3AFA" w14:textId="77777777" w:rsidR="00590247" w:rsidRPr="000C4031" w:rsidRDefault="00590247" w:rsidP="000742F2">
      <w:pPr>
        <w:widowControl/>
        <w:numPr>
          <w:ilvl w:val="0"/>
          <w:numId w:val="9"/>
        </w:numPr>
        <w:tabs>
          <w:tab w:val="clear" w:pos="720"/>
          <w:tab w:val="num" w:pos="540"/>
        </w:tabs>
        <w:autoSpaceDE/>
        <w:autoSpaceDN/>
        <w:spacing w:line="276" w:lineRule="auto"/>
        <w:ind w:left="0" w:firstLine="0"/>
        <w:rPr>
          <w:sz w:val="24"/>
          <w:szCs w:val="24"/>
        </w:rPr>
      </w:pPr>
      <w:r>
        <w:rPr>
          <w:sz w:val="24"/>
          <w:szCs w:val="24"/>
        </w:rPr>
        <w:t>crypto-asset providers;</w:t>
      </w:r>
    </w:p>
    <w:p w14:paraId="516246B6" w14:textId="77777777" w:rsidR="00590247" w:rsidRPr="000C4031" w:rsidRDefault="00590247" w:rsidP="000742F2">
      <w:pPr>
        <w:widowControl/>
        <w:numPr>
          <w:ilvl w:val="0"/>
          <w:numId w:val="9"/>
        </w:numPr>
        <w:tabs>
          <w:tab w:val="clear" w:pos="720"/>
          <w:tab w:val="num" w:pos="540"/>
        </w:tabs>
        <w:autoSpaceDE/>
        <w:autoSpaceDN/>
        <w:spacing w:line="276" w:lineRule="auto"/>
        <w:ind w:left="0" w:firstLine="0"/>
        <w:rPr>
          <w:sz w:val="24"/>
          <w:szCs w:val="24"/>
        </w:rPr>
      </w:pPr>
      <w:r>
        <w:rPr>
          <w:sz w:val="24"/>
          <w:szCs w:val="24"/>
        </w:rPr>
        <w:t>gambling;</w:t>
      </w:r>
    </w:p>
    <w:p w14:paraId="400A06D9" w14:textId="6A9C18CC" w:rsidR="00C452DC" w:rsidRPr="000C4031" w:rsidRDefault="00590247" w:rsidP="000742F2">
      <w:pPr>
        <w:widowControl/>
        <w:numPr>
          <w:ilvl w:val="0"/>
          <w:numId w:val="9"/>
        </w:numPr>
        <w:tabs>
          <w:tab w:val="clear" w:pos="720"/>
          <w:tab w:val="num" w:pos="540"/>
        </w:tabs>
        <w:autoSpaceDE/>
        <w:autoSpaceDN/>
        <w:spacing w:line="276" w:lineRule="auto"/>
        <w:ind w:left="0" w:firstLine="0"/>
        <w:rPr>
          <w:sz w:val="24"/>
          <w:szCs w:val="24"/>
        </w:rPr>
      </w:pPr>
      <w:r>
        <w:rPr>
          <w:sz w:val="24"/>
          <w:szCs w:val="24"/>
        </w:rPr>
        <w:t>electronic money with low risk.</w:t>
      </w:r>
    </w:p>
    <w:p w14:paraId="71E67EF3" w14:textId="4CCF194A" w:rsidR="00DE7352" w:rsidRPr="000C4031" w:rsidRDefault="00DE7352" w:rsidP="000742F2">
      <w:pPr>
        <w:widowControl/>
        <w:autoSpaceDE/>
        <w:autoSpaceDN/>
        <w:spacing w:line="276" w:lineRule="auto"/>
        <w:outlineLvl w:val="1"/>
        <w:rPr>
          <w:b/>
          <w:bCs/>
          <w:sz w:val="24"/>
          <w:szCs w:val="24"/>
        </w:rPr>
      </w:pPr>
      <w:r>
        <w:rPr>
          <w:b/>
          <w:bCs/>
          <w:sz w:val="24"/>
          <w:szCs w:val="24"/>
        </w:rPr>
        <w:t>Article 19 – Customer due diligence measures</w:t>
      </w:r>
    </w:p>
    <w:p w14:paraId="32A12AF0" w14:textId="77777777" w:rsidR="00DE7352" w:rsidRPr="000C4031" w:rsidRDefault="00DE7352" w:rsidP="000742F2">
      <w:pPr>
        <w:widowControl/>
        <w:autoSpaceDE/>
        <w:autoSpaceDN/>
        <w:spacing w:line="276" w:lineRule="auto"/>
        <w:jc w:val="both"/>
        <w:outlineLvl w:val="1"/>
        <w:rPr>
          <w:bCs/>
          <w:sz w:val="24"/>
          <w:szCs w:val="24"/>
        </w:rPr>
      </w:pPr>
      <w:r>
        <w:rPr>
          <w:bCs/>
          <w:sz w:val="24"/>
          <w:szCs w:val="24"/>
        </w:rPr>
        <w:lastRenderedPageBreak/>
        <w:t>Defines the minimum content of customer due diligence (CDD) measures, including: identification and verification of the customer and beneficial owner; understanding the structure of ownership and control; assessment of the purpose and nature of the relationship; verification against financial sanctions; determination of PEP status; identification of persons acting on behalf of the client; as well as ongoing monitoring of the relationship.</w:t>
      </w:r>
    </w:p>
    <w:p w14:paraId="499BB069" w14:textId="75E2551B" w:rsidR="00DE7352" w:rsidRPr="000C4031" w:rsidRDefault="00DE7352" w:rsidP="000742F2">
      <w:pPr>
        <w:widowControl/>
        <w:autoSpaceDE/>
        <w:autoSpaceDN/>
        <w:spacing w:line="276" w:lineRule="auto"/>
        <w:jc w:val="both"/>
        <w:outlineLvl w:val="1"/>
        <w:rPr>
          <w:bCs/>
          <w:sz w:val="24"/>
          <w:szCs w:val="24"/>
        </w:rPr>
      </w:pPr>
      <w:r>
        <w:rPr>
          <w:bCs/>
          <w:sz w:val="24"/>
          <w:szCs w:val="24"/>
        </w:rPr>
        <w:t>Provides for a risk-based approach (simplified or enhanced measures), issuance of guidelines by the minister responsible for finance on the proposal of AIF, and the obligation to prove to the supervisory authority the adequacy of the measures.</w:t>
      </w:r>
    </w:p>
    <w:p w14:paraId="3E1C6F03" w14:textId="749C5148" w:rsidR="00DE7352" w:rsidRPr="000C4031" w:rsidRDefault="00DE7352" w:rsidP="000742F2">
      <w:pPr>
        <w:widowControl/>
        <w:autoSpaceDE/>
        <w:autoSpaceDN/>
        <w:spacing w:line="276" w:lineRule="auto"/>
        <w:outlineLvl w:val="1"/>
        <w:rPr>
          <w:b/>
          <w:bCs/>
          <w:sz w:val="24"/>
          <w:szCs w:val="24"/>
        </w:rPr>
      </w:pPr>
      <w:r>
        <w:rPr>
          <w:b/>
          <w:bCs/>
          <w:sz w:val="24"/>
          <w:szCs w:val="24"/>
        </w:rPr>
        <w:t>Article 20 – Inability to implement CDD measures</w:t>
      </w:r>
    </w:p>
    <w:p w14:paraId="63DBAB51" w14:textId="77777777" w:rsidR="00DE7352" w:rsidRPr="000C4031" w:rsidRDefault="00DE7352" w:rsidP="000742F2">
      <w:pPr>
        <w:widowControl/>
        <w:autoSpaceDE/>
        <w:autoSpaceDN/>
        <w:spacing w:line="276" w:lineRule="auto"/>
        <w:jc w:val="both"/>
        <w:outlineLvl w:val="1"/>
        <w:rPr>
          <w:bCs/>
          <w:sz w:val="24"/>
          <w:szCs w:val="24"/>
        </w:rPr>
      </w:pPr>
      <w:r>
        <w:rPr>
          <w:bCs/>
          <w:sz w:val="24"/>
          <w:szCs w:val="24"/>
        </w:rPr>
        <w:t>Provides that, when CDD requirements cannot be fulfilled, the subject does not establish or terminates the relationship and considers reporting the suspicious transaction.</w:t>
      </w:r>
    </w:p>
    <w:p w14:paraId="7D482B79" w14:textId="77777777" w:rsidR="00DE7352" w:rsidRPr="000C4031" w:rsidRDefault="00DE7352" w:rsidP="000742F2">
      <w:pPr>
        <w:widowControl/>
        <w:autoSpaceDE/>
        <w:autoSpaceDN/>
        <w:spacing w:line="276" w:lineRule="auto"/>
        <w:jc w:val="both"/>
        <w:outlineLvl w:val="1"/>
        <w:rPr>
          <w:bCs/>
          <w:sz w:val="24"/>
          <w:szCs w:val="24"/>
        </w:rPr>
      </w:pPr>
      <w:r>
        <w:rPr>
          <w:bCs/>
          <w:sz w:val="24"/>
          <w:szCs w:val="24"/>
        </w:rPr>
        <w:t>Establishes exemptions for legal professions within the framework of judicial protection, with limitations in cases of involvement or awareness of money laundering/FT.</w:t>
      </w:r>
    </w:p>
    <w:p w14:paraId="4CE2EA25" w14:textId="01702E11" w:rsidR="00DE7352" w:rsidRPr="000C4031" w:rsidRDefault="00DE7352" w:rsidP="000742F2">
      <w:pPr>
        <w:widowControl/>
        <w:autoSpaceDE/>
        <w:autoSpaceDN/>
        <w:spacing w:line="276" w:lineRule="auto"/>
        <w:jc w:val="both"/>
        <w:outlineLvl w:val="1"/>
        <w:rPr>
          <w:bCs/>
          <w:sz w:val="24"/>
          <w:szCs w:val="24"/>
        </w:rPr>
      </w:pPr>
      <w:r>
        <w:rPr>
          <w:bCs/>
          <w:sz w:val="24"/>
          <w:szCs w:val="24"/>
        </w:rPr>
        <w:t>Provides for the obligation to maintain and update documentation related to the actions taken.</w:t>
      </w:r>
    </w:p>
    <w:p w14:paraId="25E3F003" w14:textId="2BE73809" w:rsidR="00DE7352" w:rsidRPr="000C4031" w:rsidRDefault="00DE7352" w:rsidP="000742F2">
      <w:pPr>
        <w:widowControl/>
        <w:autoSpaceDE/>
        <w:autoSpaceDN/>
        <w:spacing w:line="276" w:lineRule="auto"/>
        <w:outlineLvl w:val="1"/>
        <w:rPr>
          <w:b/>
          <w:bCs/>
          <w:sz w:val="24"/>
          <w:szCs w:val="24"/>
        </w:rPr>
      </w:pPr>
      <w:r>
        <w:rPr>
          <w:b/>
          <w:bCs/>
          <w:sz w:val="24"/>
          <w:szCs w:val="24"/>
        </w:rPr>
        <w:t>Article 21 – Identification and verification of identity</w:t>
      </w:r>
    </w:p>
    <w:p w14:paraId="347B6E2B" w14:textId="77777777" w:rsidR="00DE7352" w:rsidRPr="000C4031" w:rsidRDefault="00DE7352" w:rsidP="000742F2">
      <w:pPr>
        <w:widowControl/>
        <w:autoSpaceDE/>
        <w:autoSpaceDN/>
        <w:spacing w:line="276" w:lineRule="auto"/>
        <w:jc w:val="both"/>
        <w:outlineLvl w:val="1"/>
        <w:rPr>
          <w:bCs/>
          <w:sz w:val="24"/>
          <w:szCs w:val="24"/>
        </w:rPr>
      </w:pPr>
      <w:r>
        <w:rPr>
          <w:bCs/>
          <w:sz w:val="24"/>
          <w:szCs w:val="24"/>
        </w:rPr>
        <w:t>Defines the minimum data for the identification of natural persons, legal persons, trusts, and other legal arrangements.</w:t>
      </w:r>
    </w:p>
    <w:p w14:paraId="7E3E419B" w14:textId="77777777" w:rsidR="00DE7352" w:rsidRPr="000C4031" w:rsidRDefault="00DE7352" w:rsidP="000742F2">
      <w:pPr>
        <w:widowControl/>
        <w:autoSpaceDE/>
        <w:autoSpaceDN/>
        <w:spacing w:line="276" w:lineRule="auto"/>
        <w:jc w:val="both"/>
        <w:outlineLvl w:val="1"/>
        <w:rPr>
          <w:bCs/>
          <w:sz w:val="24"/>
          <w:szCs w:val="24"/>
        </w:rPr>
      </w:pPr>
      <w:r>
        <w:rPr>
          <w:bCs/>
          <w:sz w:val="24"/>
          <w:szCs w:val="24"/>
        </w:rPr>
        <w:t>Regulates the identification of the beneficial owner, including the case when such owner cannot be identified (identification of senior management).</w:t>
      </w:r>
    </w:p>
    <w:p w14:paraId="3567DD48" w14:textId="77777777" w:rsidR="00DE7352" w:rsidRPr="000C4031" w:rsidRDefault="00DE7352" w:rsidP="000742F2">
      <w:pPr>
        <w:widowControl/>
        <w:autoSpaceDE/>
        <w:autoSpaceDN/>
        <w:spacing w:line="276" w:lineRule="auto"/>
        <w:jc w:val="both"/>
        <w:outlineLvl w:val="1"/>
        <w:rPr>
          <w:bCs/>
          <w:sz w:val="24"/>
          <w:szCs w:val="24"/>
        </w:rPr>
      </w:pPr>
      <w:r>
        <w:rPr>
          <w:bCs/>
          <w:sz w:val="24"/>
          <w:szCs w:val="24"/>
        </w:rPr>
        <w:t>Establishes specific obligations for virtual IBANs and for verification through public documents or electronic identification means.</w:t>
      </w:r>
    </w:p>
    <w:p w14:paraId="7363534F" w14:textId="47A4017D" w:rsidR="00DE7352" w:rsidRPr="000C4031" w:rsidRDefault="00DE7352" w:rsidP="000742F2">
      <w:pPr>
        <w:widowControl/>
        <w:autoSpaceDE/>
        <w:autoSpaceDN/>
        <w:spacing w:line="276" w:lineRule="auto"/>
        <w:jc w:val="both"/>
        <w:outlineLvl w:val="1"/>
        <w:rPr>
          <w:b/>
          <w:bCs/>
          <w:sz w:val="24"/>
          <w:szCs w:val="24"/>
        </w:rPr>
      </w:pPr>
      <w:r>
        <w:rPr>
          <w:bCs/>
          <w:sz w:val="24"/>
          <w:szCs w:val="24"/>
        </w:rPr>
        <w:t>Provides for the obligation to consult central registers for the verification of beneficial ownership.</w:t>
      </w:r>
      <w:r>
        <w:rPr>
          <w:b/>
          <w:bCs/>
          <w:sz w:val="24"/>
          <w:szCs w:val="24"/>
        </w:rPr>
        <w:t xml:space="preserve"> beneficial ownership.</w:t>
      </w:r>
    </w:p>
    <w:p w14:paraId="7A177CDF" w14:textId="5BB579F0" w:rsidR="00DE7352" w:rsidRPr="000C4031" w:rsidRDefault="00DE7352" w:rsidP="000742F2">
      <w:pPr>
        <w:widowControl/>
        <w:autoSpaceDE/>
        <w:autoSpaceDN/>
        <w:spacing w:line="276" w:lineRule="auto"/>
        <w:outlineLvl w:val="1"/>
        <w:rPr>
          <w:b/>
          <w:bCs/>
          <w:sz w:val="24"/>
          <w:szCs w:val="24"/>
        </w:rPr>
      </w:pPr>
      <w:r>
        <w:rPr>
          <w:b/>
          <w:bCs/>
          <w:sz w:val="24"/>
          <w:szCs w:val="24"/>
        </w:rPr>
        <w:t>Article 22 – Timing of verification</w:t>
      </w:r>
    </w:p>
    <w:p w14:paraId="721E80BA" w14:textId="77777777" w:rsidR="00DE7352" w:rsidRPr="000C4031" w:rsidRDefault="00DE7352" w:rsidP="000742F2">
      <w:pPr>
        <w:widowControl/>
        <w:autoSpaceDE/>
        <w:autoSpaceDN/>
        <w:spacing w:line="276" w:lineRule="auto"/>
        <w:outlineLvl w:val="1"/>
        <w:rPr>
          <w:bCs/>
          <w:sz w:val="24"/>
          <w:szCs w:val="24"/>
        </w:rPr>
      </w:pPr>
      <w:r>
        <w:rPr>
          <w:bCs/>
          <w:sz w:val="24"/>
          <w:szCs w:val="24"/>
        </w:rPr>
        <w:t>Establishes the principle that verification is carried out before the establishment of the business relationship or execution of the transaction, with limited exceptions for low risk.</w:t>
      </w:r>
    </w:p>
    <w:p w14:paraId="27C109FD" w14:textId="79DA04E7" w:rsidR="00DE7352" w:rsidRPr="000C4031" w:rsidRDefault="00DE7352" w:rsidP="000742F2">
      <w:pPr>
        <w:widowControl/>
        <w:autoSpaceDE/>
        <w:autoSpaceDN/>
        <w:spacing w:line="276" w:lineRule="auto"/>
        <w:outlineLvl w:val="1"/>
        <w:rPr>
          <w:bCs/>
          <w:sz w:val="24"/>
          <w:szCs w:val="24"/>
        </w:rPr>
      </w:pPr>
      <w:r>
        <w:rPr>
          <w:bCs/>
          <w:sz w:val="24"/>
          <w:szCs w:val="24"/>
        </w:rPr>
        <w:t>Regulates cases of opening accounts with preliminary protection measures and the obligation to obtain evidence of registration in the Register of Beneficial Owners.</w:t>
      </w:r>
    </w:p>
    <w:p w14:paraId="7634A5C1" w14:textId="605D74EE" w:rsidR="00DE7352" w:rsidRPr="000C4031" w:rsidRDefault="00DE7352" w:rsidP="000742F2">
      <w:pPr>
        <w:widowControl/>
        <w:autoSpaceDE/>
        <w:autoSpaceDN/>
        <w:spacing w:line="276" w:lineRule="auto"/>
        <w:outlineLvl w:val="1"/>
        <w:rPr>
          <w:b/>
          <w:bCs/>
          <w:sz w:val="24"/>
          <w:szCs w:val="24"/>
        </w:rPr>
      </w:pPr>
      <w:r>
        <w:rPr>
          <w:b/>
          <w:bCs/>
          <w:sz w:val="24"/>
          <w:szCs w:val="24"/>
        </w:rPr>
        <w:t>Article 23 – Reporting of discrepancies in the register of beneficial owners</w:t>
      </w:r>
    </w:p>
    <w:p w14:paraId="5CC7E6FB" w14:textId="77777777" w:rsidR="00DE7352" w:rsidRPr="000C4031" w:rsidRDefault="00DE7352" w:rsidP="000742F2">
      <w:pPr>
        <w:widowControl/>
        <w:autoSpaceDE/>
        <w:autoSpaceDN/>
        <w:spacing w:line="276" w:lineRule="auto"/>
        <w:outlineLvl w:val="1"/>
        <w:rPr>
          <w:bCs/>
          <w:sz w:val="24"/>
          <w:szCs w:val="24"/>
        </w:rPr>
      </w:pPr>
      <w:r>
        <w:rPr>
          <w:bCs/>
          <w:sz w:val="24"/>
          <w:szCs w:val="24"/>
        </w:rPr>
        <w:t>Obliges reporting within 14 days of any discrepancy identified.</w:t>
      </w:r>
    </w:p>
    <w:p w14:paraId="7BF50D69" w14:textId="77777777" w:rsidR="00DE7352" w:rsidRPr="000C4031" w:rsidRDefault="00DE7352" w:rsidP="000742F2">
      <w:pPr>
        <w:widowControl/>
        <w:autoSpaceDE/>
        <w:autoSpaceDN/>
        <w:spacing w:line="276" w:lineRule="auto"/>
        <w:outlineLvl w:val="1"/>
        <w:rPr>
          <w:bCs/>
          <w:sz w:val="24"/>
          <w:szCs w:val="24"/>
        </w:rPr>
      </w:pPr>
      <w:r>
        <w:rPr>
          <w:bCs/>
          <w:sz w:val="24"/>
          <w:szCs w:val="24"/>
        </w:rPr>
        <w:t>Provides for exceptions for minor errors or outdated data, as well as the procedure when the client does not correct the data.</w:t>
      </w:r>
    </w:p>
    <w:p w14:paraId="2A33407E" w14:textId="3BFB1E2F" w:rsidR="00DE7352" w:rsidRPr="000C4031" w:rsidRDefault="00DE7352" w:rsidP="000742F2">
      <w:pPr>
        <w:widowControl/>
        <w:autoSpaceDE/>
        <w:autoSpaceDN/>
        <w:spacing w:line="276" w:lineRule="auto"/>
        <w:outlineLvl w:val="1"/>
        <w:rPr>
          <w:bCs/>
          <w:sz w:val="24"/>
          <w:szCs w:val="24"/>
        </w:rPr>
      </w:pPr>
      <w:r>
        <w:rPr>
          <w:bCs/>
          <w:sz w:val="24"/>
          <w:szCs w:val="24"/>
        </w:rPr>
        <w:t>Exempts legal professions within the scope of judicial representation, with specific limitations.</w:t>
      </w:r>
    </w:p>
    <w:p w14:paraId="5F0DF6B5" w14:textId="7C5BA91F" w:rsidR="00DE7352" w:rsidRPr="000C4031" w:rsidRDefault="00DE7352" w:rsidP="000742F2">
      <w:pPr>
        <w:widowControl/>
        <w:autoSpaceDE/>
        <w:autoSpaceDN/>
        <w:spacing w:line="276" w:lineRule="auto"/>
        <w:outlineLvl w:val="1"/>
        <w:rPr>
          <w:b/>
          <w:bCs/>
          <w:sz w:val="24"/>
          <w:szCs w:val="24"/>
        </w:rPr>
      </w:pPr>
      <w:r>
        <w:rPr>
          <w:b/>
          <w:bCs/>
          <w:sz w:val="24"/>
          <w:szCs w:val="24"/>
        </w:rPr>
        <w:t>Article 24 – Purpose and nature of the relationship</w:t>
      </w:r>
    </w:p>
    <w:p w14:paraId="63BA224D" w14:textId="2BC1CC1D" w:rsidR="00DE7352" w:rsidRPr="000C4031" w:rsidRDefault="00DE7352" w:rsidP="000742F2">
      <w:pPr>
        <w:widowControl/>
        <w:autoSpaceDE/>
        <w:autoSpaceDN/>
        <w:spacing w:line="276" w:lineRule="auto"/>
        <w:jc w:val="both"/>
        <w:outlineLvl w:val="1"/>
        <w:rPr>
          <w:bCs/>
          <w:sz w:val="24"/>
          <w:szCs w:val="24"/>
        </w:rPr>
      </w:pPr>
      <w:r>
        <w:rPr>
          <w:bCs/>
          <w:sz w:val="24"/>
          <w:szCs w:val="24"/>
        </w:rPr>
        <w:t>Obliges entities to understand the economic reasoning, the source and destination of the funds, as well as the client's activity profile before establishing the business relationship or executing the transaction.</w:t>
      </w:r>
    </w:p>
    <w:p w14:paraId="2A264D26" w14:textId="63740238" w:rsidR="00DE7352" w:rsidRPr="000C4031" w:rsidRDefault="00DE7352" w:rsidP="000742F2">
      <w:pPr>
        <w:widowControl/>
        <w:autoSpaceDE/>
        <w:autoSpaceDN/>
        <w:spacing w:line="276" w:lineRule="auto"/>
        <w:outlineLvl w:val="1"/>
        <w:rPr>
          <w:b/>
          <w:bCs/>
          <w:sz w:val="24"/>
          <w:szCs w:val="24"/>
        </w:rPr>
      </w:pPr>
      <w:r>
        <w:rPr>
          <w:b/>
          <w:bCs/>
          <w:sz w:val="24"/>
          <w:szCs w:val="24"/>
        </w:rPr>
        <w:t>Article 25 – Ongoing monitoring</w:t>
      </w:r>
    </w:p>
    <w:p w14:paraId="1A6A63FA" w14:textId="77777777" w:rsidR="00DE7352" w:rsidRPr="000C4031" w:rsidRDefault="00DE7352" w:rsidP="000742F2">
      <w:pPr>
        <w:widowControl/>
        <w:autoSpaceDE/>
        <w:autoSpaceDN/>
        <w:spacing w:line="276" w:lineRule="auto"/>
        <w:outlineLvl w:val="1"/>
        <w:rPr>
          <w:bCs/>
          <w:sz w:val="24"/>
          <w:szCs w:val="24"/>
        </w:rPr>
      </w:pPr>
      <w:r>
        <w:rPr>
          <w:bCs/>
          <w:sz w:val="24"/>
          <w:szCs w:val="24"/>
        </w:rPr>
        <w:t>Imposes the obligation for ongoing monitoring of the relationship and transactions, periodic updating of data (1 year for high risk, 5 years for others) and regular verification of compliance with financial sanctions.</w:t>
      </w:r>
    </w:p>
    <w:p w14:paraId="17932B19" w14:textId="0C38D625" w:rsidR="00DE7352" w:rsidRPr="000C4031" w:rsidRDefault="00DE7352" w:rsidP="000742F2">
      <w:pPr>
        <w:widowControl/>
        <w:autoSpaceDE/>
        <w:autoSpaceDN/>
        <w:spacing w:line="276" w:lineRule="auto"/>
        <w:outlineLvl w:val="1"/>
        <w:rPr>
          <w:bCs/>
          <w:sz w:val="24"/>
          <w:szCs w:val="24"/>
        </w:rPr>
      </w:pPr>
      <w:r>
        <w:rPr>
          <w:bCs/>
          <w:sz w:val="24"/>
          <w:szCs w:val="24"/>
        </w:rPr>
        <w:t>Provides for the issuance of guidelines by the minister upon proposal by the AIF.</w:t>
      </w:r>
    </w:p>
    <w:p w14:paraId="21DD0F65" w14:textId="74861733" w:rsidR="00DE7352" w:rsidRPr="000C4031" w:rsidRDefault="00DE7352" w:rsidP="000742F2">
      <w:pPr>
        <w:widowControl/>
        <w:autoSpaceDE/>
        <w:autoSpaceDN/>
        <w:spacing w:line="276" w:lineRule="auto"/>
        <w:outlineLvl w:val="1"/>
        <w:rPr>
          <w:b/>
          <w:bCs/>
          <w:sz w:val="24"/>
          <w:szCs w:val="24"/>
        </w:rPr>
      </w:pPr>
      <w:r>
        <w:rPr>
          <w:b/>
          <w:bCs/>
          <w:sz w:val="24"/>
          <w:szCs w:val="24"/>
        </w:rPr>
        <w:t>Article 26 – Temporary measures for clients under UN sanctions</w:t>
      </w:r>
    </w:p>
    <w:p w14:paraId="15AE1939" w14:textId="7B7C12A5" w:rsidR="00DE7352" w:rsidRPr="000C4031" w:rsidRDefault="00DE7352" w:rsidP="000742F2">
      <w:pPr>
        <w:widowControl/>
        <w:autoSpaceDE/>
        <w:autoSpaceDN/>
        <w:spacing w:line="276" w:lineRule="auto"/>
        <w:outlineLvl w:val="1"/>
        <w:rPr>
          <w:bCs/>
          <w:sz w:val="24"/>
          <w:szCs w:val="24"/>
        </w:rPr>
      </w:pPr>
      <w:r>
        <w:rPr>
          <w:bCs/>
          <w:sz w:val="24"/>
          <w:szCs w:val="24"/>
        </w:rPr>
        <w:lastRenderedPageBreak/>
        <w:t>Obliges the retention of data on funds and transactions of clients sanctioned by the UN, during the period between the publication of sanctions and their implementation in the EU.</w:t>
      </w:r>
    </w:p>
    <w:p w14:paraId="530A4ED6" w14:textId="77777777" w:rsidR="00DE7352" w:rsidRPr="000C4031" w:rsidRDefault="00DE7352" w:rsidP="000742F2">
      <w:pPr>
        <w:widowControl/>
        <w:autoSpaceDE/>
        <w:autoSpaceDN/>
        <w:spacing w:line="276" w:lineRule="auto"/>
        <w:outlineLvl w:val="1"/>
        <w:rPr>
          <w:b/>
          <w:bCs/>
          <w:sz w:val="24"/>
          <w:szCs w:val="24"/>
        </w:rPr>
      </w:pPr>
      <w:r>
        <w:rPr>
          <w:b/>
          <w:bCs/>
          <w:sz w:val="24"/>
          <w:szCs w:val="24"/>
        </w:rPr>
        <w:t>Policies for third countries</w:t>
      </w:r>
    </w:p>
    <w:p w14:paraId="2776921F" w14:textId="5734FF34" w:rsidR="00DE7352" w:rsidRPr="000C4031" w:rsidRDefault="00DE7352" w:rsidP="000742F2">
      <w:pPr>
        <w:widowControl/>
        <w:autoSpaceDE/>
        <w:autoSpaceDN/>
        <w:spacing w:line="276" w:lineRule="auto"/>
        <w:outlineLvl w:val="1"/>
        <w:rPr>
          <w:bCs/>
          <w:sz w:val="24"/>
          <w:szCs w:val="24"/>
        </w:rPr>
      </w:pPr>
      <w:r>
        <w:rPr>
          <w:bCs/>
          <w:sz w:val="24"/>
          <w:szCs w:val="24"/>
        </w:rPr>
        <w:t>Article 27 – Third countries with strategic deficiencies</w:t>
      </w:r>
    </w:p>
    <w:p w14:paraId="782955AA" w14:textId="425DB06D" w:rsidR="00DE7352" w:rsidRPr="000C4031" w:rsidRDefault="00DE7352" w:rsidP="000742F2">
      <w:pPr>
        <w:widowControl/>
        <w:autoSpaceDE/>
        <w:autoSpaceDN/>
        <w:spacing w:line="276" w:lineRule="auto"/>
        <w:outlineLvl w:val="1"/>
        <w:rPr>
          <w:bCs/>
          <w:sz w:val="24"/>
          <w:szCs w:val="24"/>
        </w:rPr>
      </w:pPr>
      <w:r>
        <w:rPr>
          <w:bCs/>
          <w:sz w:val="24"/>
          <w:szCs w:val="24"/>
        </w:rPr>
        <w:t>Refers to EU lists for high-risk countries and obliges the implementation of enhanced measures and respective countermeasures.</w:t>
      </w:r>
    </w:p>
    <w:p w14:paraId="7422CEE0" w14:textId="272F5B83" w:rsidR="00DE7352" w:rsidRPr="000C4031" w:rsidRDefault="00DE7352" w:rsidP="000742F2">
      <w:pPr>
        <w:widowControl/>
        <w:autoSpaceDE/>
        <w:autoSpaceDN/>
        <w:spacing w:line="276" w:lineRule="auto"/>
        <w:outlineLvl w:val="1"/>
        <w:rPr>
          <w:b/>
          <w:bCs/>
          <w:sz w:val="24"/>
          <w:szCs w:val="24"/>
        </w:rPr>
      </w:pPr>
      <w:r>
        <w:rPr>
          <w:b/>
          <w:bCs/>
          <w:sz w:val="24"/>
          <w:szCs w:val="24"/>
        </w:rPr>
        <w:t>Article 28 – Countries with deficiencies in compliance systems</w:t>
      </w:r>
    </w:p>
    <w:p w14:paraId="7503ACDB" w14:textId="568834C8" w:rsidR="00DE7352" w:rsidRPr="000C4031" w:rsidRDefault="00DE7352" w:rsidP="000742F2">
      <w:pPr>
        <w:widowControl/>
        <w:autoSpaceDE/>
        <w:autoSpaceDN/>
        <w:spacing w:line="276" w:lineRule="auto"/>
        <w:outlineLvl w:val="1"/>
        <w:rPr>
          <w:bCs/>
          <w:sz w:val="24"/>
          <w:szCs w:val="24"/>
        </w:rPr>
      </w:pPr>
      <w:r>
        <w:rPr>
          <w:bCs/>
          <w:sz w:val="24"/>
          <w:szCs w:val="24"/>
        </w:rPr>
        <w:t>Provides for enhanced measures for countries identified by the EU with weaknesses in the AML/CFT regime.</w:t>
      </w:r>
    </w:p>
    <w:p w14:paraId="30AA8F7C" w14:textId="5ED68076" w:rsidR="00DE7352" w:rsidRPr="000C4031" w:rsidRDefault="00DE7352" w:rsidP="000742F2">
      <w:pPr>
        <w:widowControl/>
        <w:autoSpaceDE/>
        <w:autoSpaceDN/>
        <w:spacing w:line="276" w:lineRule="auto"/>
        <w:outlineLvl w:val="1"/>
        <w:rPr>
          <w:b/>
          <w:bCs/>
          <w:sz w:val="24"/>
          <w:szCs w:val="24"/>
        </w:rPr>
      </w:pPr>
      <w:r>
        <w:rPr>
          <w:b/>
          <w:bCs/>
          <w:sz w:val="24"/>
          <w:szCs w:val="24"/>
        </w:rPr>
        <w:t>Article 29 – High-risk third countries</w:t>
      </w:r>
    </w:p>
    <w:p w14:paraId="72B8AFA4" w14:textId="1F462249" w:rsidR="00DE7352" w:rsidRPr="000C4031" w:rsidRDefault="00DE7352" w:rsidP="000742F2">
      <w:pPr>
        <w:widowControl/>
        <w:autoSpaceDE/>
        <w:autoSpaceDN/>
        <w:spacing w:line="276" w:lineRule="auto"/>
        <w:outlineLvl w:val="1"/>
        <w:rPr>
          <w:bCs/>
          <w:sz w:val="24"/>
          <w:szCs w:val="24"/>
        </w:rPr>
      </w:pPr>
      <w:r>
        <w:rPr>
          <w:bCs/>
          <w:sz w:val="24"/>
          <w:szCs w:val="24"/>
        </w:rPr>
        <w:t>Provides for the implementation of specific countermeasures in accordance with EU acts for countries that pose a serious threat to the financial system.</w:t>
      </w:r>
    </w:p>
    <w:p w14:paraId="32372A27" w14:textId="77777777" w:rsidR="00DE7352" w:rsidRPr="000C4031" w:rsidRDefault="00DE7352" w:rsidP="000742F2">
      <w:pPr>
        <w:widowControl/>
        <w:autoSpaceDE/>
        <w:autoSpaceDN/>
        <w:spacing w:line="276" w:lineRule="auto"/>
        <w:outlineLvl w:val="1"/>
        <w:rPr>
          <w:b/>
          <w:bCs/>
          <w:sz w:val="24"/>
          <w:szCs w:val="24"/>
        </w:rPr>
      </w:pPr>
      <w:r>
        <w:rPr>
          <w:b/>
          <w:bCs/>
          <w:sz w:val="24"/>
          <w:szCs w:val="24"/>
        </w:rPr>
        <w:t>Simplified due diligence</w:t>
      </w:r>
    </w:p>
    <w:p w14:paraId="345C44FC" w14:textId="660B20D5" w:rsidR="00DE7352" w:rsidRPr="000C4031" w:rsidRDefault="00DE7352" w:rsidP="000742F2">
      <w:pPr>
        <w:widowControl/>
        <w:autoSpaceDE/>
        <w:autoSpaceDN/>
        <w:spacing w:line="276" w:lineRule="auto"/>
        <w:outlineLvl w:val="1"/>
        <w:rPr>
          <w:b/>
          <w:bCs/>
          <w:sz w:val="24"/>
          <w:szCs w:val="24"/>
        </w:rPr>
      </w:pPr>
      <w:r>
        <w:rPr>
          <w:b/>
          <w:bCs/>
          <w:sz w:val="24"/>
          <w:szCs w:val="24"/>
        </w:rPr>
        <w:t>Article 30 – Measures of simplified due diligence</w:t>
      </w:r>
    </w:p>
    <w:p w14:paraId="52CF56A1" w14:textId="77777777" w:rsidR="00DE7352" w:rsidRPr="000C4031" w:rsidRDefault="00DE7352" w:rsidP="000742F2">
      <w:pPr>
        <w:widowControl/>
        <w:autoSpaceDE/>
        <w:autoSpaceDN/>
        <w:spacing w:line="276" w:lineRule="auto"/>
        <w:outlineLvl w:val="1"/>
        <w:rPr>
          <w:bCs/>
          <w:sz w:val="24"/>
          <w:szCs w:val="24"/>
        </w:rPr>
      </w:pPr>
      <w:r>
        <w:rPr>
          <w:bCs/>
          <w:sz w:val="24"/>
          <w:szCs w:val="24"/>
        </w:rPr>
        <w:t>Allows the application of reduced measures when low risk is identified, including postponement of verification (up to 60 days), reduction of updates and depth of review.</w:t>
      </w:r>
    </w:p>
    <w:p w14:paraId="38CF7EF4" w14:textId="609E1871" w:rsidR="00DE7352" w:rsidRPr="000C4031" w:rsidRDefault="00DE7352" w:rsidP="000742F2">
      <w:pPr>
        <w:widowControl/>
        <w:autoSpaceDE/>
        <w:autoSpaceDN/>
        <w:spacing w:line="276" w:lineRule="auto"/>
        <w:outlineLvl w:val="1"/>
        <w:rPr>
          <w:bCs/>
          <w:sz w:val="24"/>
          <w:szCs w:val="24"/>
        </w:rPr>
      </w:pPr>
      <w:r>
        <w:rPr>
          <w:bCs/>
          <w:sz w:val="24"/>
          <w:szCs w:val="24"/>
        </w:rPr>
        <w:t>Excludes their application when there are suspicions of money laundering, information discrepancies, or attempts to evade sanctions.</w:t>
      </w:r>
    </w:p>
    <w:p w14:paraId="0B4618CE" w14:textId="77777777" w:rsidR="00DE7352" w:rsidRPr="000C4031" w:rsidRDefault="00DE7352" w:rsidP="000742F2">
      <w:pPr>
        <w:widowControl/>
        <w:autoSpaceDE/>
        <w:autoSpaceDN/>
        <w:spacing w:line="276" w:lineRule="auto"/>
        <w:outlineLvl w:val="1"/>
        <w:rPr>
          <w:b/>
          <w:bCs/>
          <w:sz w:val="24"/>
          <w:szCs w:val="24"/>
        </w:rPr>
      </w:pPr>
      <w:r>
        <w:rPr>
          <w:b/>
          <w:bCs/>
          <w:sz w:val="24"/>
          <w:szCs w:val="24"/>
        </w:rPr>
        <w:t>Enhanced due diligence</w:t>
      </w:r>
    </w:p>
    <w:p w14:paraId="7595B6FF" w14:textId="53F76FC8" w:rsidR="00DE7352" w:rsidRPr="000C4031" w:rsidRDefault="00DE7352" w:rsidP="000742F2">
      <w:pPr>
        <w:widowControl/>
        <w:autoSpaceDE/>
        <w:autoSpaceDN/>
        <w:spacing w:line="276" w:lineRule="auto"/>
        <w:outlineLvl w:val="1"/>
        <w:rPr>
          <w:b/>
          <w:bCs/>
          <w:sz w:val="24"/>
          <w:szCs w:val="24"/>
        </w:rPr>
      </w:pPr>
      <w:r>
        <w:rPr>
          <w:b/>
          <w:bCs/>
          <w:sz w:val="24"/>
          <w:szCs w:val="24"/>
        </w:rPr>
        <w:t>Article 31 – Scope of application</w:t>
      </w:r>
    </w:p>
    <w:p w14:paraId="0B9A45EF" w14:textId="77777777" w:rsidR="00DE7352" w:rsidRPr="000C4031" w:rsidRDefault="00DE7352" w:rsidP="000742F2">
      <w:pPr>
        <w:widowControl/>
        <w:autoSpaceDE/>
        <w:autoSpaceDN/>
        <w:spacing w:line="276" w:lineRule="auto"/>
        <w:outlineLvl w:val="1"/>
        <w:rPr>
          <w:bCs/>
          <w:sz w:val="24"/>
          <w:szCs w:val="24"/>
        </w:rPr>
      </w:pPr>
      <w:r>
        <w:rPr>
          <w:bCs/>
          <w:sz w:val="24"/>
          <w:szCs w:val="24"/>
        </w:rPr>
        <w:t>Requires enhanced measures in case of high risk, including thorough analysis of the source of funds/property, approval by senior management, and intensified monitoring.</w:t>
      </w:r>
    </w:p>
    <w:p w14:paraId="29509471" w14:textId="61E42F89" w:rsidR="00DE7352" w:rsidRPr="000C4031" w:rsidRDefault="00DE7352" w:rsidP="000742F2">
      <w:pPr>
        <w:widowControl/>
        <w:autoSpaceDE/>
        <w:autoSpaceDN/>
        <w:spacing w:line="276" w:lineRule="auto"/>
        <w:outlineLvl w:val="1"/>
        <w:rPr>
          <w:bCs/>
          <w:sz w:val="24"/>
          <w:szCs w:val="24"/>
        </w:rPr>
      </w:pPr>
      <w:r>
        <w:rPr>
          <w:bCs/>
          <w:sz w:val="24"/>
          <w:szCs w:val="24"/>
        </w:rPr>
        <w:t>Imposes additional requirements for clients with very high wealth and authorises the FIU to request special measures based on national risk assessments.</w:t>
      </w:r>
    </w:p>
    <w:p w14:paraId="38CEA8CC" w14:textId="2C1CA3A8" w:rsidR="00DE7352" w:rsidRPr="000C4031" w:rsidRDefault="00DE7352" w:rsidP="000742F2">
      <w:pPr>
        <w:widowControl/>
        <w:autoSpaceDE/>
        <w:autoSpaceDN/>
        <w:spacing w:line="276" w:lineRule="auto"/>
        <w:jc w:val="both"/>
        <w:outlineLvl w:val="1"/>
        <w:rPr>
          <w:b/>
          <w:bCs/>
          <w:sz w:val="24"/>
          <w:szCs w:val="24"/>
        </w:rPr>
      </w:pPr>
      <w:r>
        <w:rPr>
          <w:b/>
          <w:bCs/>
          <w:sz w:val="24"/>
          <w:szCs w:val="24"/>
        </w:rPr>
        <w:t>Article 32 – Countermeasures</w:t>
      </w:r>
    </w:p>
    <w:p w14:paraId="6D65A281" w14:textId="0A0094AE" w:rsidR="00DE7352" w:rsidRPr="000C4031" w:rsidRDefault="00DE7352" w:rsidP="000742F2">
      <w:pPr>
        <w:widowControl/>
        <w:autoSpaceDE/>
        <w:autoSpaceDN/>
        <w:spacing w:line="276" w:lineRule="auto"/>
        <w:jc w:val="both"/>
        <w:outlineLvl w:val="1"/>
        <w:rPr>
          <w:bCs/>
          <w:sz w:val="24"/>
          <w:szCs w:val="24"/>
        </w:rPr>
      </w:pPr>
      <w:r>
        <w:rPr>
          <w:bCs/>
          <w:sz w:val="24"/>
          <w:szCs w:val="24"/>
        </w:rPr>
        <w:t>Provides for the implementation of countermeasures pursuant to EU acts for third countries identified as posing a threat.</w:t>
      </w:r>
    </w:p>
    <w:p w14:paraId="6F18107E" w14:textId="77777777" w:rsidR="00DE7352" w:rsidRPr="000C4031" w:rsidRDefault="00DE7352" w:rsidP="000742F2">
      <w:pPr>
        <w:widowControl/>
        <w:autoSpaceDE/>
        <w:autoSpaceDN/>
        <w:spacing w:line="276" w:lineRule="auto"/>
        <w:jc w:val="both"/>
        <w:outlineLvl w:val="1"/>
        <w:rPr>
          <w:b/>
          <w:bCs/>
          <w:sz w:val="24"/>
          <w:szCs w:val="24"/>
        </w:rPr>
      </w:pPr>
      <w:r>
        <w:rPr>
          <w:b/>
          <w:bCs/>
          <w:sz w:val="24"/>
          <w:szCs w:val="24"/>
        </w:rPr>
        <w:t>Correspondent relationships and cryptoassets</w:t>
      </w:r>
    </w:p>
    <w:p w14:paraId="1D0A2AC7" w14:textId="61BF407E" w:rsidR="00DE7352" w:rsidRPr="000C4031" w:rsidRDefault="00DE7352" w:rsidP="000742F2">
      <w:pPr>
        <w:widowControl/>
        <w:autoSpaceDE/>
        <w:autoSpaceDN/>
        <w:spacing w:line="276" w:lineRule="auto"/>
        <w:jc w:val="both"/>
        <w:outlineLvl w:val="1"/>
        <w:rPr>
          <w:b/>
          <w:bCs/>
          <w:sz w:val="24"/>
          <w:szCs w:val="24"/>
        </w:rPr>
      </w:pPr>
      <w:r>
        <w:rPr>
          <w:b/>
          <w:bCs/>
          <w:sz w:val="24"/>
          <w:szCs w:val="24"/>
        </w:rPr>
        <w:t>Article 33 – Cross-border correspondent relationships</w:t>
      </w:r>
    </w:p>
    <w:p w14:paraId="71DE0E1E" w14:textId="5E6A5562" w:rsidR="00DE7352" w:rsidRPr="000C4031" w:rsidRDefault="00DE7352" w:rsidP="000742F2">
      <w:pPr>
        <w:widowControl/>
        <w:autoSpaceDE/>
        <w:autoSpaceDN/>
        <w:spacing w:line="276" w:lineRule="auto"/>
        <w:jc w:val="both"/>
        <w:outlineLvl w:val="1"/>
        <w:rPr>
          <w:bCs/>
          <w:sz w:val="24"/>
          <w:szCs w:val="24"/>
        </w:rPr>
      </w:pPr>
      <w:r>
        <w:rPr>
          <w:bCs/>
          <w:sz w:val="24"/>
          <w:szCs w:val="24"/>
        </w:rPr>
        <w:t>Imposes enhanced requirements for correspondent relationships with institutions of third countries, including assessment of reputation and AML/CFT controls and approval by senior management.</w:t>
      </w:r>
    </w:p>
    <w:p w14:paraId="51374C29" w14:textId="011A0129" w:rsidR="00DE7352" w:rsidRPr="000C4031" w:rsidRDefault="00DE7352" w:rsidP="000742F2">
      <w:pPr>
        <w:widowControl/>
        <w:autoSpaceDE/>
        <w:autoSpaceDN/>
        <w:spacing w:line="276" w:lineRule="auto"/>
        <w:jc w:val="both"/>
        <w:outlineLvl w:val="1"/>
        <w:rPr>
          <w:b/>
          <w:bCs/>
          <w:sz w:val="24"/>
          <w:szCs w:val="24"/>
        </w:rPr>
      </w:pPr>
      <w:r>
        <w:rPr>
          <w:b/>
          <w:bCs/>
          <w:sz w:val="24"/>
          <w:szCs w:val="24"/>
        </w:rPr>
        <w:t>Article 34 – Correspondent relationships for cryptoassets</w:t>
      </w:r>
    </w:p>
    <w:p w14:paraId="11F8C58E" w14:textId="305A6D97" w:rsidR="00DE7352" w:rsidRPr="000C4031" w:rsidRDefault="00DE7352" w:rsidP="000742F2">
      <w:pPr>
        <w:widowControl/>
        <w:autoSpaceDE/>
        <w:autoSpaceDN/>
        <w:spacing w:line="276" w:lineRule="auto"/>
        <w:jc w:val="both"/>
        <w:outlineLvl w:val="1"/>
        <w:rPr>
          <w:bCs/>
          <w:sz w:val="24"/>
          <w:szCs w:val="24"/>
        </w:rPr>
      </w:pPr>
      <w:r>
        <w:rPr>
          <w:bCs/>
          <w:sz w:val="24"/>
          <w:szCs w:val="24"/>
        </w:rPr>
        <w:t>Imposes special requirements for cryptoasset service providers, including verification of the licensing of the host party and issuance of guidelines within the specified deadline.</w:t>
      </w:r>
    </w:p>
    <w:p w14:paraId="4102E3C8" w14:textId="5DAB3E23" w:rsidR="00DE7352" w:rsidRPr="000C4031" w:rsidRDefault="00DE7352" w:rsidP="000742F2">
      <w:pPr>
        <w:widowControl/>
        <w:autoSpaceDE/>
        <w:autoSpaceDN/>
        <w:spacing w:line="276" w:lineRule="auto"/>
        <w:jc w:val="both"/>
        <w:outlineLvl w:val="1"/>
        <w:rPr>
          <w:b/>
          <w:bCs/>
          <w:sz w:val="24"/>
          <w:szCs w:val="24"/>
        </w:rPr>
      </w:pPr>
      <w:r>
        <w:rPr>
          <w:b/>
          <w:bCs/>
          <w:sz w:val="24"/>
          <w:szCs w:val="24"/>
        </w:rPr>
        <w:t>Article 35 – Host institutions of third countries</w:t>
      </w:r>
    </w:p>
    <w:p w14:paraId="5BF7FE5D" w14:textId="6542A3A3" w:rsidR="00DE7352" w:rsidRPr="000C4031" w:rsidRDefault="00DE7352" w:rsidP="000742F2">
      <w:pPr>
        <w:widowControl/>
        <w:autoSpaceDE/>
        <w:autoSpaceDN/>
        <w:spacing w:line="276" w:lineRule="auto"/>
        <w:jc w:val="both"/>
        <w:outlineLvl w:val="1"/>
        <w:rPr>
          <w:bCs/>
          <w:sz w:val="24"/>
          <w:szCs w:val="24"/>
        </w:rPr>
      </w:pPr>
      <w:r>
        <w:rPr>
          <w:bCs/>
          <w:sz w:val="24"/>
          <w:szCs w:val="24"/>
        </w:rPr>
        <w:t>Provides for a recommendation mechanism by the supervisory authority for institutions with serious weaknesses and the measures that must be undertaken by banks/FIs.</w:t>
      </w:r>
    </w:p>
    <w:p w14:paraId="3D17719B" w14:textId="0D7BA00F" w:rsidR="00DE7352" w:rsidRPr="000C4031" w:rsidRDefault="00DE7352" w:rsidP="000742F2">
      <w:pPr>
        <w:widowControl/>
        <w:autoSpaceDE/>
        <w:autoSpaceDN/>
        <w:spacing w:line="276" w:lineRule="auto"/>
        <w:jc w:val="both"/>
        <w:outlineLvl w:val="1"/>
        <w:rPr>
          <w:b/>
          <w:bCs/>
          <w:sz w:val="24"/>
          <w:szCs w:val="24"/>
        </w:rPr>
      </w:pPr>
      <w:r>
        <w:rPr>
          <w:b/>
          <w:bCs/>
          <w:sz w:val="24"/>
          <w:szCs w:val="24"/>
        </w:rPr>
        <w:t>Article 36 – Prohibition of relationships with shell banks</w:t>
      </w:r>
    </w:p>
    <w:p w14:paraId="67287E68" w14:textId="71D075C3" w:rsidR="00DE7352" w:rsidRPr="000C4031" w:rsidRDefault="00DE7352" w:rsidP="000742F2">
      <w:pPr>
        <w:widowControl/>
        <w:autoSpaceDE/>
        <w:autoSpaceDN/>
        <w:spacing w:line="276" w:lineRule="auto"/>
        <w:jc w:val="both"/>
        <w:outlineLvl w:val="1"/>
        <w:rPr>
          <w:bCs/>
          <w:sz w:val="24"/>
          <w:szCs w:val="24"/>
        </w:rPr>
      </w:pPr>
      <w:r>
        <w:rPr>
          <w:bCs/>
          <w:sz w:val="24"/>
          <w:szCs w:val="24"/>
        </w:rPr>
        <w:t>Prohibits the establishment or continuation of correspondent relationships with shell banks and requires preventive measures also for CASPs.</w:t>
      </w:r>
    </w:p>
    <w:p w14:paraId="14509497" w14:textId="5AB80822" w:rsidR="00DE7352" w:rsidRPr="000C4031" w:rsidRDefault="00DE7352" w:rsidP="000742F2">
      <w:pPr>
        <w:widowControl/>
        <w:autoSpaceDE/>
        <w:autoSpaceDN/>
        <w:spacing w:line="276" w:lineRule="auto"/>
        <w:jc w:val="both"/>
        <w:outlineLvl w:val="1"/>
        <w:rPr>
          <w:b/>
          <w:bCs/>
          <w:sz w:val="24"/>
          <w:szCs w:val="24"/>
        </w:rPr>
      </w:pPr>
      <w:r>
        <w:rPr>
          <w:b/>
          <w:bCs/>
          <w:sz w:val="24"/>
          <w:szCs w:val="24"/>
        </w:rPr>
        <w:t>Article 37 – Self-hosted addresses</w:t>
      </w:r>
    </w:p>
    <w:p w14:paraId="12E0BBB1" w14:textId="488C9056" w:rsidR="00DE7352" w:rsidRPr="000C4031" w:rsidRDefault="00DE7352" w:rsidP="000742F2">
      <w:pPr>
        <w:widowControl/>
        <w:autoSpaceDE/>
        <w:autoSpaceDN/>
        <w:spacing w:line="276" w:lineRule="auto"/>
        <w:jc w:val="both"/>
        <w:outlineLvl w:val="1"/>
        <w:rPr>
          <w:bCs/>
          <w:sz w:val="24"/>
          <w:szCs w:val="24"/>
        </w:rPr>
      </w:pPr>
      <w:r>
        <w:rPr>
          <w:bCs/>
          <w:sz w:val="24"/>
          <w:szCs w:val="24"/>
        </w:rPr>
        <w:t>Obliges cryptoasset service providers to assess and mitigate risks related to transfers to/from self-hosted addresses.</w:t>
      </w:r>
    </w:p>
    <w:p w14:paraId="528D2794" w14:textId="77777777" w:rsidR="00DE7352" w:rsidRPr="000C4031" w:rsidRDefault="00DE7352" w:rsidP="000742F2">
      <w:pPr>
        <w:widowControl/>
        <w:autoSpaceDE/>
        <w:autoSpaceDN/>
        <w:spacing w:line="276" w:lineRule="auto"/>
        <w:jc w:val="both"/>
        <w:outlineLvl w:val="1"/>
        <w:rPr>
          <w:b/>
          <w:bCs/>
          <w:sz w:val="24"/>
          <w:szCs w:val="24"/>
        </w:rPr>
      </w:pPr>
      <w:r>
        <w:rPr>
          <w:b/>
          <w:bCs/>
          <w:sz w:val="24"/>
          <w:szCs w:val="24"/>
        </w:rPr>
        <w:lastRenderedPageBreak/>
        <w:t>Special provisions</w:t>
      </w:r>
    </w:p>
    <w:p w14:paraId="48D6DDDE" w14:textId="611CF264" w:rsidR="00DE7352" w:rsidRPr="000C4031" w:rsidRDefault="00DE7352" w:rsidP="000742F2">
      <w:pPr>
        <w:widowControl/>
        <w:autoSpaceDE/>
        <w:autoSpaceDN/>
        <w:spacing w:line="276" w:lineRule="auto"/>
        <w:jc w:val="both"/>
        <w:outlineLvl w:val="1"/>
        <w:rPr>
          <w:b/>
          <w:bCs/>
          <w:sz w:val="24"/>
          <w:szCs w:val="24"/>
        </w:rPr>
      </w:pPr>
      <w:r>
        <w:rPr>
          <w:b/>
          <w:bCs/>
          <w:sz w:val="24"/>
          <w:szCs w:val="24"/>
        </w:rPr>
        <w:t>Article 38 – Investment schemes for residence permits</w:t>
      </w:r>
    </w:p>
    <w:p w14:paraId="7FCB9340" w14:textId="5D03DD4D" w:rsidR="00C452DC" w:rsidRPr="000C4031" w:rsidRDefault="00DE7352" w:rsidP="000742F2">
      <w:pPr>
        <w:widowControl/>
        <w:autoSpaceDE/>
        <w:autoSpaceDN/>
        <w:spacing w:line="276" w:lineRule="auto"/>
        <w:jc w:val="both"/>
        <w:outlineLvl w:val="1"/>
        <w:rPr>
          <w:bCs/>
          <w:sz w:val="24"/>
          <w:szCs w:val="24"/>
        </w:rPr>
      </w:pPr>
      <w:r>
        <w:rPr>
          <w:bCs/>
          <w:sz w:val="24"/>
          <w:szCs w:val="24"/>
        </w:rPr>
        <w:t>Imposes enhanced measures for third-country nationals applying for residence permits through investments.</w:t>
      </w:r>
    </w:p>
    <w:p w14:paraId="7ED79113" w14:textId="5C13D47C" w:rsidR="00DE7352" w:rsidRPr="000C4031" w:rsidRDefault="00DE7352" w:rsidP="000742F2">
      <w:pPr>
        <w:widowControl/>
        <w:autoSpaceDE/>
        <w:autoSpaceDN/>
        <w:spacing w:line="276" w:lineRule="auto"/>
        <w:jc w:val="both"/>
        <w:outlineLvl w:val="1"/>
        <w:rPr>
          <w:b/>
          <w:bCs/>
          <w:sz w:val="24"/>
          <w:szCs w:val="24"/>
        </w:rPr>
      </w:pPr>
      <w:r>
        <w:rPr>
          <w:b/>
          <w:bCs/>
          <w:sz w:val="24"/>
          <w:szCs w:val="24"/>
        </w:rPr>
        <w:t>Article 39 – Politically exposed persons (PEP)</w:t>
      </w:r>
    </w:p>
    <w:p w14:paraId="36E64517" w14:textId="3FDD0845" w:rsidR="00DE7352" w:rsidRPr="000C4031" w:rsidRDefault="00DE7352" w:rsidP="000742F2">
      <w:pPr>
        <w:widowControl/>
        <w:autoSpaceDE/>
        <w:autoSpaceDN/>
        <w:spacing w:line="276" w:lineRule="auto"/>
        <w:outlineLvl w:val="1"/>
        <w:rPr>
          <w:bCs/>
          <w:sz w:val="24"/>
          <w:szCs w:val="24"/>
        </w:rPr>
      </w:pPr>
      <w:r>
        <w:rPr>
          <w:bCs/>
          <w:sz w:val="24"/>
          <w:szCs w:val="24"/>
        </w:rPr>
        <w:t>Requires approval from senior management, verification of the source of funds/property, and enhanced monitoring.</w:t>
      </w:r>
    </w:p>
    <w:p w14:paraId="70DD0627" w14:textId="44F8A508" w:rsidR="00DE7352" w:rsidRPr="000C4031" w:rsidRDefault="00DE7352" w:rsidP="000742F2">
      <w:pPr>
        <w:widowControl/>
        <w:autoSpaceDE/>
        <w:autoSpaceDN/>
        <w:spacing w:line="276" w:lineRule="auto"/>
        <w:outlineLvl w:val="1"/>
        <w:rPr>
          <w:b/>
          <w:bCs/>
          <w:sz w:val="24"/>
          <w:szCs w:val="24"/>
        </w:rPr>
      </w:pPr>
      <w:r>
        <w:rPr>
          <w:b/>
          <w:bCs/>
          <w:sz w:val="24"/>
          <w:szCs w:val="24"/>
        </w:rPr>
        <w:t>Article 40 – List of important public functions</w:t>
      </w:r>
    </w:p>
    <w:p w14:paraId="0248D8D9" w14:textId="1D930906" w:rsidR="00DE7352" w:rsidRPr="000C4031" w:rsidRDefault="00DE7352" w:rsidP="000742F2">
      <w:pPr>
        <w:widowControl/>
        <w:autoSpaceDE/>
        <w:autoSpaceDN/>
        <w:spacing w:line="276" w:lineRule="auto"/>
        <w:outlineLvl w:val="1"/>
        <w:rPr>
          <w:bCs/>
          <w:sz w:val="24"/>
          <w:szCs w:val="24"/>
        </w:rPr>
      </w:pPr>
      <w:r>
        <w:rPr>
          <w:bCs/>
          <w:sz w:val="24"/>
          <w:szCs w:val="24"/>
        </w:rPr>
        <w:t>Assigns ILDKPKI and AIF with the drafting and communication of lists of functions considered as “important public functions”.</w:t>
      </w:r>
    </w:p>
    <w:p w14:paraId="6857DCB6" w14:textId="11DFF80E" w:rsidR="00DE7352" w:rsidRPr="000C4031" w:rsidRDefault="00DE7352" w:rsidP="000742F2">
      <w:pPr>
        <w:widowControl/>
        <w:autoSpaceDE/>
        <w:autoSpaceDN/>
        <w:spacing w:line="276" w:lineRule="auto"/>
        <w:outlineLvl w:val="1"/>
        <w:rPr>
          <w:b/>
          <w:bCs/>
          <w:sz w:val="24"/>
          <w:szCs w:val="24"/>
        </w:rPr>
      </w:pPr>
      <w:r>
        <w:rPr>
          <w:b/>
          <w:bCs/>
          <w:sz w:val="24"/>
          <w:szCs w:val="24"/>
        </w:rPr>
        <w:t>Article 41 – PEP as insurance beneficiary</w:t>
      </w:r>
    </w:p>
    <w:p w14:paraId="6038D476" w14:textId="2CCDE95F" w:rsidR="00DE7352" w:rsidRPr="000C4031" w:rsidRDefault="00DE7352" w:rsidP="000742F2">
      <w:pPr>
        <w:widowControl/>
        <w:autoSpaceDE/>
        <w:autoSpaceDN/>
        <w:spacing w:line="276" w:lineRule="auto"/>
        <w:outlineLvl w:val="1"/>
        <w:rPr>
          <w:bCs/>
          <w:sz w:val="24"/>
          <w:szCs w:val="24"/>
        </w:rPr>
      </w:pPr>
      <w:r>
        <w:rPr>
          <w:bCs/>
          <w:sz w:val="24"/>
          <w:szCs w:val="24"/>
        </w:rPr>
        <w:t>Requires identification of the PEP status of policy beneficiaries before the payment of benefits and additional measures in case of risk.</w:t>
      </w:r>
    </w:p>
    <w:p w14:paraId="2D26EFAF" w14:textId="583BE3E3" w:rsidR="00DE7352" w:rsidRPr="000C4031" w:rsidRDefault="00DE7352" w:rsidP="000742F2">
      <w:pPr>
        <w:widowControl/>
        <w:autoSpaceDE/>
        <w:autoSpaceDN/>
        <w:spacing w:line="276" w:lineRule="auto"/>
        <w:outlineLvl w:val="1"/>
        <w:rPr>
          <w:b/>
          <w:bCs/>
          <w:sz w:val="24"/>
          <w:szCs w:val="24"/>
        </w:rPr>
      </w:pPr>
      <w:r>
        <w:rPr>
          <w:b/>
          <w:bCs/>
          <w:sz w:val="24"/>
          <w:szCs w:val="24"/>
        </w:rPr>
        <w:t>Article 42 – Former PEP</w:t>
      </w:r>
    </w:p>
    <w:p w14:paraId="440371C6" w14:textId="727EB235" w:rsidR="00DE7352" w:rsidRPr="000C4031" w:rsidRDefault="00DE7352" w:rsidP="000742F2">
      <w:pPr>
        <w:widowControl/>
        <w:autoSpaceDE/>
        <w:autoSpaceDN/>
        <w:spacing w:line="276" w:lineRule="auto"/>
        <w:outlineLvl w:val="1"/>
        <w:rPr>
          <w:bCs/>
          <w:sz w:val="24"/>
          <w:szCs w:val="24"/>
        </w:rPr>
      </w:pPr>
      <w:r>
        <w:rPr>
          <w:bCs/>
          <w:sz w:val="24"/>
          <w:szCs w:val="24"/>
        </w:rPr>
        <w:t>Provides for the retention of enhanced measures for at least 12 months after the end of the public function.</w:t>
      </w:r>
    </w:p>
    <w:p w14:paraId="06B8410E" w14:textId="0CA25B27" w:rsidR="00DE7352" w:rsidRPr="000C4031" w:rsidRDefault="00DE7352" w:rsidP="000742F2">
      <w:pPr>
        <w:widowControl/>
        <w:autoSpaceDE/>
        <w:autoSpaceDN/>
        <w:spacing w:line="276" w:lineRule="auto"/>
        <w:outlineLvl w:val="1"/>
        <w:rPr>
          <w:b/>
          <w:bCs/>
          <w:sz w:val="24"/>
          <w:szCs w:val="24"/>
        </w:rPr>
      </w:pPr>
      <w:r>
        <w:rPr>
          <w:b/>
          <w:bCs/>
          <w:sz w:val="24"/>
          <w:szCs w:val="24"/>
        </w:rPr>
        <w:t>Article 43 – Family members and close associates</w:t>
      </w:r>
    </w:p>
    <w:p w14:paraId="71D3EF91" w14:textId="784DA7DD" w:rsidR="00DE7352" w:rsidRPr="000C4031" w:rsidRDefault="00DE7352" w:rsidP="000742F2">
      <w:pPr>
        <w:widowControl/>
        <w:autoSpaceDE/>
        <w:autoSpaceDN/>
        <w:spacing w:line="276" w:lineRule="auto"/>
        <w:outlineLvl w:val="1"/>
        <w:rPr>
          <w:bCs/>
          <w:sz w:val="24"/>
          <w:szCs w:val="24"/>
        </w:rPr>
      </w:pPr>
      <w:r>
        <w:rPr>
          <w:bCs/>
          <w:sz w:val="24"/>
          <w:szCs w:val="24"/>
        </w:rPr>
        <w:t>Implements the same measures as for PEP.</w:t>
      </w:r>
    </w:p>
    <w:p w14:paraId="6A9A6FC1" w14:textId="77777777" w:rsidR="00DE7352" w:rsidRPr="000C4031" w:rsidRDefault="00DE7352" w:rsidP="000742F2">
      <w:pPr>
        <w:widowControl/>
        <w:autoSpaceDE/>
        <w:autoSpaceDN/>
        <w:spacing w:line="276" w:lineRule="auto"/>
        <w:outlineLvl w:val="1"/>
        <w:rPr>
          <w:b/>
          <w:bCs/>
          <w:sz w:val="24"/>
          <w:szCs w:val="24"/>
        </w:rPr>
      </w:pPr>
      <w:r>
        <w:rPr>
          <w:b/>
          <w:bCs/>
          <w:sz w:val="24"/>
          <w:szCs w:val="24"/>
        </w:rPr>
        <w:t>Sectoral provisions</w:t>
      </w:r>
    </w:p>
    <w:p w14:paraId="41BE3679" w14:textId="77777777" w:rsidR="00DE7352" w:rsidRPr="000C4031" w:rsidRDefault="00DE7352" w:rsidP="000742F2">
      <w:pPr>
        <w:widowControl/>
        <w:autoSpaceDE/>
        <w:autoSpaceDN/>
        <w:spacing w:line="276" w:lineRule="auto"/>
        <w:outlineLvl w:val="1"/>
        <w:rPr>
          <w:b/>
          <w:bCs/>
          <w:sz w:val="24"/>
          <w:szCs w:val="24"/>
        </w:rPr>
      </w:pPr>
      <w:r>
        <w:rPr>
          <w:b/>
          <w:bCs/>
          <w:sz w:val="24"/>
          <w:szCs w:val="24"/>
        </w:rPr>
        <w:t>Article 44 – Life insurance and investment-linked insurance</w:t>
      </w:r>
    </w:p>
    <w:p w14:paraId="393CA75C" w14:textId="77777777" w:rsidR="00DE7352" w:rsidRPr="000C4031" w:rsidRDefault="00DE7352" w:rsidP="000742F2">
      <w:pPr>
        <w:widowControl/>
        <w:autoSpaceDE/>
        <w:autoSpaceDN/>
        <w:spacing w:line="276" w:lineRule="auto"/>
        <w:outlineLvl w:val="1"/>
        <w:rPr>
          <w:b/>
          <w:bCs/>
          <w:sz w:val="24"/>
          <w:szCs w:val="24"/>
        </w:rPr>
      </w:pPr>
    </w:p>
    <w:p w14:paraId="66EFF428" w14:textId="562DC1C5" w:rsidR="00DE7352" w:rsidRPr="000C4031" w:rsidRDefault="00DE7352" w:rsidP="000742F2">
      <w:pPr>
        <w:widowControl/>
        <w:autoSpaceDE/>
        <w:autoSpaceDN/>
        <w:spacing w:line="276" w:lineRule="auto"/>
        <w:outlineLvl w:val="1"/>
        <w:rPr>
          <w:bCs/>
          <w:sz w:val="24"/>
          <w:szCs w:val="24"/>
        </w:rPr>
      </w:pPr>
      <w:r>
        <w:rPr>
          <w:bCs/>
          <w:sz w:val="24"/>
          <w:szCs w:val="24"/>
        </w:rPr>
        <w:t>Sets specific requirements for the identification and verification of policy beneficiaries, including cases of policy transfer.</w:t>
      </w:r>
    </w:p>
    <w:p w14:paraId="2F93C193" w14:textId="608845F0" w:rsidR="001F11A2" w:rsidRPr="000C4031" w:rsidRDefault="001F11A2" w:rsidP="000742F2">
      <w:pPr>
        <w:widowControl/>
        <w:autoSpaceDE/>
        <w:autoSpaceDN/>
        <w:spacing w:line="276" w:lineRule="auto"/>
        <w:outlineLvl w:val="1"/>
        <w:rPr>
          <w:b/>
          <w:bCs/>
          <w:sz w:val="24"/>
          <w:szCs w:val="24"/>
        </w:rPr>
      </w:pPr>
      <w:r>
        <w:rPr>
          <w:b/>
          <w:bCs/>
          <w:sz w:val="24"/>
          <w:szCs w:val="24"/>
        </w:rPr>
        <w:t>SECTION 6</w:t>
      </w:r>
    </w:p>
    <w:p w14:paraId="5275F7A6" w14:textId="77777777" w:rsidR="001F11A2" w:rsidRPr="000C4031" w:rsidRDefault="001F11A2" w:rsidP="000742F2">
      <w:pPr>
        <w:widowControl/>
        <w:autoSpaceDE/>
        <w:autoSpaceDN/>
        <w:spacing w:line="276" w:lineRule="auto"/>
        <w:outlineLvl w:val="2"/>
        <w:rPr>
          <w:b/>
          <w:bCs/>
          <w:sz w:val="24"/>
          <w:szCs w:val="24"/>
        </w:rPr>
      </w:pPr>
      <w:r>
        <w:rPr>
          <w:b/>
          <w:bCs/>
          <w:sz w:val="24"/>
          <w:szCs w:val="24"/>
        </w:rPr>
        <w:t>Reliance on customer due diligence</w:t>
      </w:r>
    </w:p>
    <w:p w14:paraId="12AA6D94" w14:textId="77777777" w:rsidR="001F11A2" w:rsidRPr="000C4031" w:rsidRDefault="001F11A2" w:rsidP="000742F2">
      <w:pPr>
        <w:widowControl/>
        <w:autoSpaceDE/>
        <w:autoSpaceDN/>
        <w:spacing w:line="276" w:lineRule="auto"/>
        <w:outlineLvl w:val="2"/>
        <w:rPr>
          <w:b/>
          <w:bCs/>
          <w:sz w:val="24"/>
          <w:szCs w:val="24"/>
        </w:rPr>
      </w:pPr>
      <w:r>
        <w:rPr>
          <w:b/>
          <w:bCs/>
          <w:sz w:val="24"/>
          <w:szCs w:val="24"/>
        </w:rPr>
        <w:t>Article 45 – General provisions on reliance on other entities</w:t>
      </w:r>
    </w:p>
    <w:p w14:paraId="2F3A8B2D" w14:textId="77777777" w:rsidR="001F11A2" w:rsidRPr="000C4031" w:rsidRDefault="001F11A2" w:rsidP="000742F2">
      <w:pPr>
        <w:widowControl/>
        <w:autoSpaceDE/>
        <w:autoSpaceDN/>
        <w:spacing w:line="276" w:lineRule="auto"/>
        <w:rPr>
          <w:sz w:val="24"/>
          <w:szCs w:val="24"/>
        </w:rPr>
      </w:pPr>
      <w:r>
        <w:rPr>
          <w:sz w:val="24"/>
          <w:szCs w:val="24"/>
        </w:rPr>
        <w:t>Allows obliged entities to rely on other entities for performing the basic elements of CDD (identification, verification, purpose of the relationship), provided that:</w:t>
      </w:r>
    </w:p>
    <w:p w14:paraId="73FA10F7" w14:textId="77777777" w:rsidR="001F11A2" w:rsidRPr="000C4031" w:rsidRDefault="001F11A2" w:rsidP="000742F2">
      <w:pPr>
        <w:widowControl/>
        <w:numPr>
          <w:ilvl w:val="0"/>
          <w:numId w:val="10"/>
        </w:numPr>
        <w:autoSpaceDE/>
        <w:autoSpaceDN/>
        <w:spacing w:line="276" w:lineRule="auto"/>
        <w:rPr>
          <w:sz w:val="24"/>
          <w:szCs w:val="24"/>
        </w:rPr>
      </w:pPr>
      <w:r>
        <w:rPr>
          <w:sz w:val="24"/>
          <w:szCs w:val="24"/>
        </w:rPr>
        <w:t>the other entity must apply equivalent AML/CFT requirements and be supervised;</w:t>
      </w:r>
    </w:p>
    <w:p w14:paraId="5B69C8D8" w14:textId="77777777" w:rsidR="001F11A2" w:rsidRPr="000C4031" w:rsidRDefault="001F11A2" w:rsidP="000742F2">
      <w:pPr>
        <w:widowControl/>
        <w:numPr>
          <w:ilvl w:val="0"/>
          <w:numId w:val="10"/>
        </w:numPr>
        <w:autoSpaceDE/>
        <w:autoSpaceDN/>
        <w:spacing w:line="276" w:lineRule="auto"/>
        <w:rPr>
          <w:sz w:val="24"/>
          <w:szCs w:val="24"/>
        </w:rPr>
      </w:pPr>
      <w:r>
        <w:rPr>
          <w:sz w:val="24"/>
          <w:szCs w:val="24"/>
        </w:rPr>
        <w:t>geographical risks for third countries must be taken into consideration;</w:t>
      </w:r>
    </w:p>
    <w:p w14:paraId="044ADCB7" w14:textId="77777777" w:rsidR="001F11A2" w:rsidRPr="000C4031" w:rsidRDefault="001F11A2" w:rsidP="000742F2">
      <w:pPr>
        <w:widowControl/>
        <w:numPr>
          <w:ilvl w:val="0"/>
          <w:numId w:val="10"/>
        </w:numPr>
        <w:autoSpaceDE/>
        <w:autoSpaceDN/>
        <w:spacing w:line="276" w:lineRule="auto"/>
        <w:rPr>
          <w:sz w:val="24"/>
          <w:szCs w:val="24"/>
        </w:rPr>
      </w:pPr>
      <w:r>
        <w:rPr>
          <w:sz w:val="24"/>
          <w:szCs w:val="24"/>
        </w:rPr>
        <w:t>at group level, there must exist unified policies and effective supervision;</w:t>
      </w:r>
    </w:p>
    <w:p w14:paraId="47020E94" w14:textId="77777777" w:rsidR="001F11A2" w:rsidRPr="000C4031" w:rsidRDefault="001F11A2" w:rsidP="000742F2">
      <w:pPr>
        <w:widowControl/>
        <w:numPr>
          <w:ilvl w:val="0"/>
          <w:numId w:val="10"/>
        </w:numPr>
        <w:autoSpaceDE/>
        <w:autoSpaceDN/>
        <w:spacing w:line="276" w:lineRule="auto"/>
        <w:rPr>
          <w:sz w:val="24"/>
          <w:szCs w:val="24"/>
        </w:rPr>
      </w:pPr>
      <w:r>
        <w:rPr>
          <w:sz w:val="24"/>
          <w:szCs w:val="24"/>
        </w:rPr>
        <w:t>reliance on entities established in high-risk countries shall be prohibited (except for group branches/subsidiaries that meet the legal requirements).</w:t>
      </w:r>
    </w:p>
    <w:p w14:paraId="34F62326" w14:textId="77777777" w:rsidR="001F11A2" w:rsidRPr="000C4031" w:rsidRDefault="001F11A2" w:rsidP="000742F2">
      <w:pPr>
        <w:widowControl/>
        <w:autoSpaceDE/>
        <w:autoSpaceDN/>
        <w:spacing w:line="276" w:lineRule="auto"/>
        <w:outlineLvl w:val="2"/>
        <w:rPr>
          <w:b/>
          <w:bCs/>
          <w:sz w:val="24"/>
          <w:szCs w:val="24"/>
        </w:rPr>
      </w:pPr>
      <w:r>
        <w:rPr>
          <w:b/>
          <w:bCs/>
          <w:sz w:val="24"/>
          <w:szCs w:val="24"/>
        </w:rPr>
        <w:t>Article 46 – The reliance process</w:t>
      </w:r>
    </w:p>
    <w:p w14:paraId="61AF4B69" w14:textId="77777777" w:rsidR="001F11A2" w:rsidRPr="000C4031" w:rsidRDefault="001F11A2" w:rsidP="000742F2">
      <w:pPr>
        <w:widowControl/>
        <w:autoSpaceDE/>
        <w:autoSpaceDN/>
        <w:spacing w:line="276" w:lineRule="auto"/>
        <w:rPr>
          <w:sz w:val="24"/>
          <w:szCs w:val="24"/>
        </w:rPr>
      </w:pPr>
      <w:r>
        <w:rPr>
          <w:sz w:val="24"/>
          <w:szCs w:val="24"/>
        </w:rPr>
        <w:t>Sets out the practical procedure for reliance:</w:t>
      </w:r>
    </w:p>
    <w:p w14:paraId="1CECD67C" w14:textId="77777777" w:rsidR="001F11A2" w:rsidRPr="000C4031" w:rsidRDefault="001F11A2" w:rsidP="000742F2">
      <w:pPr>
        <w:widowControl/>
        <w:numPr>
          <w:ilvl w:val="0"/>
          <w:numId w:val="11"/>
        </w:numPr>
        <w:autoSpaceDE/>
        <w:autoSpaceDN/>
        <w:spacing w:line="276" w:lineRule="auto"/>
        <w:rPr>
          <w:sz w:val="24"/>
          <w:szCs w:val="24"/>
        </w:rPr>
      </w:pPr>
      <w:r>
        <w:rPr>
          <w:sz w:val="24"/>
          <w:szCs w:val="24"/>
        </w:rPr>
        <w:t>the relying entity must obtain all CDD information and documentation;</w:t>
      </w:r>
    </w:p>
    <w:p w14:paraId="44ED16A2" w14:textId="77777777" w:rsidR="001F11A2" w:rsidRPr="000C4031" w:rsidRDefault="001F11A2" w:rsidP="000742F2">
      <w:pPr>
        <w:widowControl/>
        <w:numPr>
          <w:ilvl w:val="0"/>
          <w:numId w:val="11"/>
        </w:numPr>
        <w:autoSpaceDE/>
        <w:autoSpaceDN/>
        <w:spacing w:line="276" w:lineRule="auto"/>
        <w:rPr>
          <w:sz w:val="24"/>
          <w:szCs w:val="24"/>
        </w:rPr>
      </w:pPr>
      <w:r>
        <w:rPr>
          <w:sz w:val="24"/>
          <w:szCs w:val="24"/>
        </w:rPr>
        <w:t>documents shall be submitted without delay, within 5 days;</w:t>
      </w:r>
    </w:p>
    <w:p w14:paraId="568A188C" w14:textId="77777777" w:rsidR="001F11A2" w:rsidRPr="000C4031" w:rsidRDefault="001F11A2" w:rsidP="000742F2">
      <w:pPr>
        <w:widowControl/>
        <w:numPr>
          <w:ilvl w:val="0"/>
          <w:numId w:val="11"/>
        </w:numPr>
        <w:autoSpaceDE/>
        <w:autoSpaceDN/>
        <w:spacing w:line="276" w:lineRule="auto"/>
        <w:rPr>
          <w:sz w:val="24"/>
          <w:szCs w:val="24"/>
        </w:rPr>
      </w:pPr>
      <w:r>
        <w:rPr>
          <w:sz w:val="24"/>
          <w:szCs w:val="24"/>
        </w:rPr>
        <w:t>rules are set out in a written agreement (or internal procedure at group level);</w:t>
      </w:r>
    </w:p>
    <w:p w14:paraId="0ADC8895" w14:textId="77777777" w:rsidR="001F11A2" w:rsidRPr="000C4031" w:rsidRDefault="001F11A2" w:rsidP="000742F2">
      <w:pPr>
        <w:widowControl/>
        <w:numPr>
          <w:ilvl w:val="0"/>
          <w:numId w:val="11"/>
        </w:numPr>
        <w:autoSpaceDE/>
        <w:autoSpaceDN/>
        <w:spacing w:line="276" w:lineRule="auto"/>
        <w:rPr>
          <w:sz w:val="24"/>
          <w:szCs w:val="24"/>
        </w:rPr>
      </w:pPr>
      <w:r>
        <w:rPr>
          <w:sz w:val="24"/>
          <w:szCs w:val="24"/>
        </w:rPr>
        <w:t>responsibility for compliance remains with the relying entity.</w:t>
      </w:r>
    </w:p>
    <w:p w14:paraId="497067D0" w14:textId="77777777" w:rsidR="001F11A2" w:rsidRPr="000C4031" w:rsidRDefault="001F11A2" w:rsidP="000742F2">
      <w:pPr>
        <w:widowControl/>
        <w:autoSpaceDE/>
        <w:autoSpaceDN/>
        <w:spacing w:line="276" w:lineRule="auto"/>
        <w:outlineLvl w:val="2"/>
        <w:rPr>
          <w:b/>
          <w:bCs/>
          <w:sz w:val="24"/>
          <w:szCs w:val="24"/>
        </w:rPr>
      </w:pPr>
      <w:r>
        <w:rPr>
          <w:b/>
          <w:bCs/>
          <w:sz w:val="24"/>
          <w:szCs w:val="24"/>
        </w:rPr>
        <w:t>Article 47 – Guidelines for reliance</w:t>
      </w:r>
    </w:p>
    <w:p w14:paraId="483EA1E0" w14:textId="346F7F67" w:rsidR="00C452DC" w:rsidRPr="000C4031" w:rsidRDefault="001F11A2" w:rsidP="000742F2">
      <w:pPr>
        <w:widowControl/>
        <w:autoSpaceDE/>
        <w:autoSpaceDN/>
        <w:spacing w:line="276" w:lineRule="auto"/>
        <w:rPr>
          <w:sz w:val="24"/>
          <w:szCs w:val="24"/>
        </w:rPr>
      </w:pPr>
      <w:r>
        <w:rPr>
          <w:sz w:val="24"/>
          <w:szCs w:val="24"/>
        </w:rPr>
        <w:t>Instructs the minister responsible for finance, upon the proposal of AIF, to issue guidelines for the conditions, responsibilities, and supervisory approach in cases of reliance.</w:t>
      </w:r>
    </w:p>
    <w:p w14:paraId="0650EC9E" w14:textId="01878D26" w:rsidR="001F11A2" w:rsidRPr="000C4031" w:rsidRDefault="001F11A2" w:rsidP="000742F2">
      <w:pPr>
        <w:widowControl/>
        <w:autoSpaceDE/>
        <w:autoSpaceDN/>
        <w:spacing w:line="276" w:lineRule="auto"/>
        <w:outlineLvl w:val="0"/>
        <w:rPr>
          <w:b/>
          <w:bCs/>
          <w:kern w:val="36"/>
          <w:sz w:val="24"/>
          <w:szCs w:val="24"/>
        </w:rPr>
      </w:pPr>
      <w:r>
        <w:rPr>
          <w:b/>
          <w:bCs/>
          <w:kern w:val="36"/>
          <w:sz w:val="24"/>
          <w:szCs w:val="24"/>
        </w:rPr>
        <w:t>CHAPTER V</w:t>
      </w:r>
    </w:p>
    <w:p w14:paraId="69922ABC" w14:textId="77777777" w:rsidR="001F11A2" w:rsidRPr="000C4031" w:rsidRDefault="001F11A2" w:rsidP="000742F2">
      <w:pPr>
        <w:widowControl/>
        <w:autoSpaceDE/>
        <w:autoSpaceDN/>
        <w:spacing w:line="276" w:lineRule="auto"/>
        <w:outlineLvl w:val="1"/>
        <w:rPr>
          <w:b/>
          <w:bCs/>
          <w:sz w:val="24"/>
          <w:szCs w:val="24"/>
        </w:rPr>
      </w:pPr>
      <w:r>
        <w:rPr>
          <w:b/>
          <w:bCs/>
          <w:sz w:val="24"/>
          <w:szCs w:val="24"/>
        </w:rPr>
        <w:t>Reporting obligations</w:t>
      </w:r>
    </w:p>
    <w:p w14:paraId="277E629F" w14:textId="77777777" w:rsidR="001F11A2" w:rsidRPr="000C4031" w:rsidRDefault="001F11A2" w:rsidP="000742F2">
      <w:pPr>
        <w:widowControl/>
        <w:autoSpaceDE/>
        <w:autoSpaceDN/>
        <w:spacing w:line="276" w:lineRule="auto"/>
        <w:outlineLvl w:val="2"/>
        <w:rPr>
          <w:b/>
          <w:bCs/>
          <w:sz w:val="24"/>
          <w:szCs w:val="24"/>
        </w:rPr>
      </w:pPr>
      <w:r>
        <w:rPr>
          <w:b/>
          <w:bCs/>
          <w:sz w:val="24"/>
          <w:szCs w:val="24"/>
        </w:rPr>
        <w:lastRenderedPageBreak/>
        <w:t>Article 48 – Reporting of suspicions</w:t>
      </w:r>
    </w:p>
    <w:p w14:paraId="369A2CB4" w14:textId="77777777" w:rsidR="001F11A2" w:rsidRPr="000C4031" w:rsidRDefault="001F11A2" w:rsidP="000742F2">
      <w:pPr>
        <w:widowControl/>
        <w:autoSpaceDE/>
        <w:autoSpaceDN/>
        <w:spacing w:line="276" w:lineRule="auto"/>
        <w:rPr>
          <w:sz w:val="24"/>
          <w:szCs w:val="24"/>
        </w:rPr>
      </w:pPr>
      <w:r>
        <w:rPr>
          <w:sz w:val="24"/>
          <w:szCs w:val="24"/>
        </w:rPr>
        <w:t>Establishes the obligation for immediate reporting to AIF of any suspicion of money laundering or terrorism financing, including attempts and cases where CDD is not possible.</w:t>
      </w:r>
      <w:r>
        <w:rPr>
          <w:sz w:val="24"/>
          <w:szCs w:val="24"/>
        </w:rPr>
        <w:br/>
        <w:t>Specifies:</w:t>
      </w:r>
    </w:p>
    <w:p w14:paraId="53B1BF0B" w14:textId="77777777" w:rsidR="001F11A2" w:rsidRPr="000C4031" w:rsidRDefault="001F11A2" w:rsidP="000742F2">
      <w:pPr>
        <w:widowControl/>
        <w:numPr>
          <w:ilvl w:val="0"/>
          <w:numId w:val="12"/>
        </w:numPr>
        <w:autoSpaceDE/>
        <w:autoSpaceDN/>
        <w:spacing w:line="276" w:lineRule="auto"/>
        <w:rPr>
          <w:sz w:val="24"/>
          <w:szCs w:val="24"/>
        </w:rPr>
      </w:pPr>
      <w:r>
        <w:rPr>
          <w:sz w:val="24"/>
          <w:szCs w:val="24"/>
        </w:rPr>
        <w:t>the standard deadline is 5 days (up to &lt;24 hours in emergency cases);</w:t>
      </w:r>
    </w:p>
    <w:p w14:paraId="64FAF80A" w14:textId="77777777" w:rsidR="001F11A2" w:rsidRPr="000C4031" w:rsidRDefault="001F11A2" w:rsidP="000742F2">
      <w:pPr>
        <w:widowControl/>
        <w:numPr>
          <w:ilvl w:val="0"/>
          <w:numId w:val="12"/>
        </w:numPr>
        <w:autoSpaceDE/>
        <w:autoSpaceDN/>
        <w:spacing w:line="276" w:lineRule="auto"/>
        <w:rPr>
          <w:sz w:val="24"/>
          <w:szCs w:val="24"/>
        </w:rPr>
      </w:pPr>
      <w:r>
        <w:rPr>
          <w:sz w:val="24"/>
          <w:szCs w:val="24"/>
        </w:rPr>
        <w:t>criteria for assessing suspicion;</w:t>
      </w:r>
    </w:p>
    <w:p w14:paraId="0B0A78D2" w14:textId="77777777" w:rsidR="001F11A2" w:rsidRPr="000C4031" w:rsidRDefault="001F11A2" w:rsidP="000742F2">
      <w:pPr>
        <w:widowControl/>
        <w:numPr>
          <w:ilvl w:val="0"/>
          <w:numId w:val="12"/>
        </w:numPr>
        <w:autoSpaceDE/>
        <w:autoSpaceDN/>
        <w:spacing w:line="276" w:lineRule="auto"/>
        <w:rPr>
          <w:sz w:val="24"/>
          <w:szCs w:val="24"/>
        </w:rPr>
      </w:pPr>
      <w:r>
        <w:rPr>
          <w:sz w:val="24"/>
          <w:szCs w:val="24"/>
        </w:rPr>
        <w:t>the obligation for issuing indicators by the minister upon the proposal of AIF;</w:t>
      </w:r>
    </w:p>
    <w:p w14:paraId="2BC9B3F5" w14:textId="77777777" w:rsidR="001F11A2" w:rsidRPr="000C4031" w:rsidRDefault="001F11A2" w:rsidP="000742F2">
      <w:pPr>
        <w:widowControl/>
        <w:numPr>
          <w:ilvl w:val="0"/>
          <w:numId w:val="12"/>
        </w:numPr>
        <w:autoSpaceDE/>
        <w:autoSpaceDN/>
        <w:spacing w:line="276" w:lineRule="auto"/>
        <w:rPr>
          <w:sz w:val="24"/>
          <w:szCs w:val="24"/>
        </w:rPr>
      </w:pPr>
      <w:r>
        <w:rPr>
          <w:sz w:val="24"/>
          <w:szCs w:val="24"/>
        </w:rPr>
        <w:t>protection of employees against retaliation;</w:t>
      </w:r>
    </w:p>
    <w:p w14:paraId="74098329" w14:textId="77777777" w:rsidR="001F11A2" w:rsidRPr="000C4031" w:rsidRDefault="001F11A2" w:rsidP="000742F2">
      <w:pPr>
        <w:widowControl/>
        <w:numPr>
          <w:ilvl w:val="0"/>
          <w:numId w:val="12"/>
        </w:numPr>
        <w:autoSpaceDE/>
        <w:autoSpaceDN/>
        <w:spacing w:line="276" w:lineRule="auto"/>
        <w:rPr>
          <w:sz w:val="24"/>
          <w:szCs w:val="24"/>
        </w:rPr>
      </w:pPr>
      <w:r>
        <w:rPr>
          <w:sz w:val="24"/>
          <w:szCs w:val="24"/>
        </w:rPr>
        <w:t>rules for reporting within the framework of common information exchange mechanisms.</w:t>
      </w:r>
    </w:p>
    <w:p w14:paraId="2BF9AED6" w14:textId="77777777" w:rsidR="001F11A2" w:rsidRPr="000C4031" w:rsidRDefault="001F11A2" w:rsidP="000742F2">
      <w:pPr>
        <w:widowControl/>
        <w:autoSpaceDE/>
        <w:autoSpaceDN/>
        <w:spacing w:line="276" w:lineRule="auto"/>
        <w:outlineLvl w:val="2"/>
        <w:rPr>
          <w:b/>
          <w:bCs/>
          <w:sz w:val="24"/>
          <w:szCs w:val="24"/>
        </w:rPr>
      </w:pPr>
      <w:r>
        <w:rPr>
          <w:b/>
          <w:bCs/>
          <w:sz w:val="24"/>
          <w:szCs w:val="24"/>
        </w:rPr>
        <w:t>Article 49 – Special provisions for certain categories</w:t>
      </w:r>
    </w:p>
    <w:p w14:paraId="24B513CC" w14:textId="77777777" w:rsidR="001F11A2" w:rsidRPr="000C4031" w:rsidRDefault="001F11A2" w:rsidP="000742F2">
      <w:pPr>
        <w:widowControl/>
        <w:autoSpaceDE/>
        <w:autoSpaceDN/>
        <w:spacing w:line="276" w:lineRule="auto"/>
        <w:rPr>
          <w:sz w:val="24"/>
          <w:szCs w:val="24"/>
        </w:rPr>
      </w:pPr>
      <w:r>
        <w:rPr>
          <w:sz w:val="24"/>
          <w:szCs w:val="24"/>
        </w:rPr>
        <w:t>Allows notaries, lawyers, and designated professionals to report through the self-regulatory body.</w:t>
      </w:r>
      <w:r>
        <w:rPr>
          <w:sz w:val="24"/>
          <w:szCs w:val="24"/>
        </w:rPr>
        <w:br/>
        <w:t>Provides exemption from reporting for information obtained in the context of judicial protection, with exceptions where involvement or knowledge of money laundering/TF exists.</w:t>
      </w:r>
      <w:r>
        <w:rPr>
          <w:sz w:val="24"/>
          <w:szCs w:val="24"/>
        </w:rPr>
        <w:br/>
        <w:t>Provides for the possibility to restrict the exemption by decision of the Council of Ministers for categories of high-risk transactions.</w:t>
      </w:r>
    </w:p>
    <w:p w14:paraId="51C53A99" w14:textId="77777777" w:rsidR="001F11A2" w:rsidRPr="000C4031" w:rsidRDefault="001F11A2" w:rsidP="000742F2">
      <w:pPr>
        <w:widowControl/>
        <w:autoSpaceDE/>
        <w:autoSpaceDN/>
        <w:spacing w:line="276" w:lineRule="auto"/>
        <w:outlineLvl w:val="2"/>
        <w:rPr>
          <w:b/>
          <w:bCs/>
          <w:sz w:val="24"/>
          <w:szCs w:val="24"/>
        </w:rPr>
      </w:pPr>
      <w:r>
        <w:rPr>
          <w:b/>
          <w:bCs/>
          <w:sz w:val="24"/>
          <w:szCs w:val="24"/>
        </w:rPr>
        <w:t>Article 50 – Non-execution of transactions</w:t>
      </w:r>
    </w:p>
    <w:p w14:paraId="1665CFFC" w14:textId="77777777" w:rsidR="001F11A2" w:rsidRPr="000C4031" w:rsidRDefault="001F11A2" w:rsidP="000742F2">
      <w:pPr>
        <w:widowControl/>
        <w:autoSpaceDE/>
        <w:autoSpaceDN/>
        <w:spacing w:line="276" w:lineRule="auto"/>
        <w:rPr>
          <w:sz w:val="24"/>
          <w:szCs w:val="24"/>
        </w:rPr>
      </w:pPr>
      <w:r>
        <w:rPr>
          <w:sz w:val="24"/>
          <w:szCs w:val="24"/>
        </w:rPr>
        <w:t>Prohibits the execution of suspicious transactions until reporting and compliance with AIF instructions.</w:t>
      </w:r>
      <w:r>
        <w:rPr>
          <w:sz w:val="24"/>
          <w:szCs w:val="24"/>
        </w:rPr>
        <w:br/>
        <w:t>Allows the execution of the transaction after 3 working days in the absence of instructions.</w:t>
      </w:r>
      <w:r>
        <w:rPr>
          <w:sz w:val="24"/>
          <w:szCs w:val="24"/>
        </w:rPr>
        <w:br/>
        <w:t>Provides for exemption when suspension is objectively impossible.</w:t>
      </w:r>
    </w:p>
    <w:p w14:paraId="5AE8A633" w14:textId="77777777" w:rsidR="001F11A2" w:rsidRPr="000C4031" w:rsidRDefault="001F11A2" w:rsidP="000742F2">
      <w:pPr>
        <w:widowControl/>
        <w:autoSpaceDE/>
        <w:autoSpaceDN/>
        <w:spacing w:line="276" w:lineRule="auto"/>
        <w:outlineLvl w:val="2"/>
        <w:rPr>
          <w:b/>
          <w:bCs/>
          <w:sz w:val="24"/>
          <w:szCs w:val="24"/>
        </w:rPr>
      </w:pPr>
      <w:r>
        <w:rPr>
          <w:b/>
          <w:bCs/>
          <w:sz w:val="24"/>
          <w:szCs w:val="24"/>
        </w:rPr>
        <w:t>Article 51 – Exemption from liability</w:t>
      </w:r>
    </w:p>
    <w:p w14:paraId="2A3CE073" w14:textId="77777777" w:rsidR="001F11A2" w:rsidRPr="000C4031" w:rsidRDefault="001F11A2" w:rsidP="000742F2">
      <w:pPr>
        <w:widowControl/>
        <w:autoSpaceDE/>
        <w:autoSpaceDN/>
        <w:spacing w:line="276" w:lineRule="auto"/>
        <w:rPr>
          <w:sz w:val="24"/>
          <w:szCs w:val="24"/>
        </w:rPr>
      </w:pPr>
      <w:r>
        <w:rPr>
          <w:sz w:val="24"/>
          <w:szCs w:val="24"/>
        </w:rPr>
        <w:t>Provides for civil, criminal, and administrative immunity for reports made in good faith.</w:t>
      </w:r>
    </w:p>
    <w:p w14:paraId="7C7B6128" w14:textId="77777777" w:rsidR="001F11A2" w:rsidRPr="000C4031" w:rsidRDefault="001F11A2" w:rsidP="000742F2">
      <w:pPr>
        <w:widowControl/>
        <w:autoSpaceDE/>
        <w:autoSpaceDN/>
        <w:spacing w:line="276" w:lineRule="auto"/>
        <w:outlineLvl w:val="2"/>
        <w:rPr>
          <w:b/>
          <w:bCs/>
          <w:sz w:val="24"/>
          <w:szCs w:val="24"/>
        </w:rPr>
      </w:pPr>
      <w:r>
        <w:rPr>
          <w:b/>
          <w:bCs/>
          <w:sz w:val="24"/>
          <w:szCs w:val="24"/>
        </w:rPr>
        <w:t>Article 52 – Prohibition of disclosure (tipping-off)</w:t>
      </w:r>
    </w:p>
    <w:p w14:paraId="244B4361" w14:textId="77777777" w:rsidR="001F11A2" w:rsidRPr="000C4031" w:rsidRDefault="001F11A2" w:rsidP="000742F2">
      <w:pPr>
        <w:widowControl/>
        <w:autoSpaceDE/>
        <w:autoSpaceDN/>
        <w:spacing w:line="276" w:lineRule="auto"/>
        <w:rPr>
          <w:sz w:val="24"/>
          <w:szCs w:val="24"/>
        </w:rPr>
      </w:pPr>
      <w:r>
        <w:rPr>
          <w:sz w:val="24"/>
          <w:szCs w:val="24"/>
        </w:rPr>
        <w:t>Prohibits informing the client or third parties of reporting or AML/CFT analysis.</w:t>
      </w:r>
      <w:r>
        <w:rPr>
          <w:sz w:val="24"/>
          <w:szCs w:val="24"/>
        </w:rPr>
        <w:br/>
        <w:t>Provides for exemptions for exchange within the group, between entities involved in the same transaction and with competent authorities.</w:t>
      </w:r>
    </w:p>
    <w:p w14:paraId="76649FD9" w14:textId="77777777" w:rsidR="001F11A2" w:rsidRPr="000C4031" w:rsidRDefault="001F11A2" w:rsidP="000742F2">
      <w:pPr>
        <w:widowControl/>
        <w:autoSpaceDE/>
        <w:autoSpaceDN/>
        <w:spacing w:line="276" w:lineRule="auto"/>
        <w:outlineLvl w:val="2"/>
        <w:rPr>
          <w:b/>
          <w:bCs/>
          <w:sz w:val="24"/>
          <w:szCs w:val="24"/>
        </w:rPr>
      </w:pPr>
      <w:r>
        <w:rPr>
          <w:b/>
          <w:bCs/>
          <w:sz w:val="24"/>
          <w:szCs w:val="24"/>
        </w:rPr>
        <w:t>Article 53 – Threshold-based reporting for high-value goods</w:t>
      </w:r>
    </w:p>
    <w:p w14:paraId="0D555034" w14:textId="77777777" w:rsidR="001F11A2" w:rsidRPr="000C4031" w:rsidRDefault="001F11A2" w:rsidP="000742F2">
      <w:pPr>
        <w:widowControl/>
        <w:autoSpaceDE/>
        <w:autoSpaceDN/>
        <w:spacing w:line="276" w:lineRule="auto"/>
        <w:rPr>
          <w:sz w:val="24"/>
          <w:szCs w:val="24"/>
        </w:rPr>
      </w:pPr>
      <w:r>
        <w:rPr>
          <w:sz w:val="24"/>
          <w:szCs w:val="24"/>
        </w:rPr>
        <w:t>Establishes mandatory reporting for non-commercial sales of:</w:t>
      </w:r>
    </w:p>
    <w:p w14:paraId="1CF2A4D9" w14:textId="77777777" w:rsidR="001F11A2" w:rsidRPr="000C4031" w:rsidRDefault="001F11A2" w:rsidP="000742F2">
      <w:pPr>
        <w:widowControl/>
        <w:numPr>
          <w:ilvl w:val="0"/>
          <w:numId w:val="13"/>
        </w:numPr>
        <w:autoSpaceDE/>
        <w:autoSpaceDN/>
        <w:spacing w:line="276" w:lineRule="auto"/>
        <w:rPr>
          <w:sz w:val="24"/>
          <w:szCs w:val="24"/>
        </w:rPr>
      </w:pPr>
      <w:r>
        <w:rPr>
          <w:sz w:val="24"/>
          <w:szCs w:val="24"/>
        </w:rPr>
        <w:t>motor vehicles ≥ 250,000 euros;</w:t>
      </w:r>
    </w:p>
    <w:p w14:paraId="23AAD706" w14:textId="77777777" w:rsidR="001F11A2" w:rsidRPr="000C4031" w:rsidRDefault="001F11A2" w:rsidP="000742F2">
      <w:pPr>
        <w:widowControl/>
        <w:numPr>
          <w:ilvl w:val="0"/>
          <w:numId w:val="13"/>
        </w:numPr>
        <w:autoSpaceDE/>
        <w:autoSpaceDN/>
        <w:spacing w:line="276" w:lineRule="auto"/>
        <w:rPr>
          <w:sz w:val="24"/>
          <w:szCs w:val="24"/>
        </w:rPr>
      </w:pPr>
      <w:r>
        <w:rPr>
          <w:sz w:val="24"/>
          <w:szCs w:val="24"/>
        </w:rPr>
        <w:t>vessels ≥ 7,500,000 euros;</w:t>
      </w:r>
    </w:p>
    <w:p w14:paraId="030B7045" w14:textId="31FCEAB4" w:rsidR="001F11A2" w:rsidRPr="000C4031" w:rsidRDefault="001F11A2" w:rsidP="000742F2">
      <w:pPr>
        <w:widowControl/>
        <w:numPr>
          <w:ilvl w:val="0"/>
          <w:numId w:val="13"/>
        </w:numPr>
        <w:autoSpaceDE/>
        <w:autoSpaceDN/>
        <w:spacing w:line="276" w:lineRule="auto"/>
        <w:rPr>
          <w:sz w:val="24"/>
          <w:szCs w:val="24"/>
        </w:rPr>
      </w:pPr>
      <w:r>
        <w:rPr>
          <w:sz w:val="24"/>
          <w:szCs w:val="24"/>
        </w:rPr>
        <w:t>aircraft ≥ 7,500,000 euros.</w:t>
      </w:r>
      <w:r>
        <w:rPr>
          <w:sz w:val="24"/>
          <w:szCs w:val="24"/>
        </w:rPr>
        <w:br/>
        <w:t>The obligation also extends to financial institutions that mediate these transactions.</w:t>
      </w:r>
    </w:p>
    <w:p w14:paraId="68DEBE23" w14:textId="77777777" w:rsidR="001F11A2" w:rsidRPr="000C4031" w:rsidRDefault="001F11A2" w:rsidP="000742F2">
      <w:pPr>
        <w:widowControl/>
        <w:autoSpaceDE/>
        <w:autoSpaceDN/>
        <w:spacing w:line="276" w:lineRule="auto"/>
        <w:outlineLvl w:val="0"/>
        <w:rPr>
          <w:b/>
          <w:bCs/>
          <w:kern w:val="36"/>
          <w:sz w:val="24"/>
          <w:szCs w:val="24"/>
        </w:rPr>
      </w:pPr>
      <w:r>
        <w:rPr>
          <w:b/>
          <w:bCs/>
          <w:kern w:val="36"/>
          <w:sz w:val="24"/>
          <w:szCs w:val="24"/>
        </w:rPr>
        <w:t>CHAPTER VI</w:t>
      </w:r>
    </w:p>
    <w:p w14:paraId="443131F6" w14:textId="77777777" w:rsidR="001F11A2" w:rsidRPr="000C4031" w:rsidRDefault="001F11A2" w:rsidP="000742F2">
      <w:pPr>
        <w:widowControl/>
        <w:autoSpaceDE/>
        <w:autoSpaceDN/>
        <w:spacing w:line="276" w:lineRule="auto"/>
        <w:outlineLvl w:val="1"/>
        <w:rPr>
          <w:b/>
          <w:bCs/>
          <w:sz w:val="24"/>
          <w:szCs w:val="24"/>
        </w:rPr>
      </w:pPr>
      <w:r>
        <w:rPr>
          <w:b/>
          <w:bCs/>
          <w:sz w:val="24"/>
          <w:szCs w:val="24"/>
        </w:rPr>
        <w:t>Exchange of information</w:t>
      </w:r>
    </w:p>
    <w:p w14:paraId="2E5694C4" w14:textId="77777777" w:rsidR="001F11A2" w:rsidRPr="000C4031" w:rsidRDefault="001F11A2" w:rsidP="000742F2">
      <w:pPr>
        <w:widowControl/>
        <w:autoSpaceDE/>
        <w:autoSpaceDN/>
        <w:spacing w:line="276" w:lineRule="auto"/>
        <w:outlineLvl w:val="2"/>
        <w:rPr>
          <w:b/>
          <w:bCs/>
          <w:sz w:val="24"/>
          <w:szCs w:val="24"/>
        </w:rPr>
      </w:pPr>
      <w:r>
        <w:rPr>
          <w:b/>
          <w:bCs/>
          <w:sz w:val="24"/>
          <w:szCs w:val="24"/>
        </w:rPr>
        <w:t>Article 54 – Partnerships for information exchange</w:t>
      </w:r>
    </w:p>
    <w:p w14:paraId="4A95FA58" w14:textId="77777777" w:rsidR="001F11A2" w:rsidRPr="000C4031" w:rsidRDefault="001F11A2" w:rsidP="000742F2">
      <w:pPr>
        <w:widowControl/>
        <w:autoSpaceDE/>
        <w:autoSpaceDN/>
        <w:spacing w:line="276" w:lineRule="auto"/>
        <w:rPr>
          <w:sz w:val="24"/>
          <w:szCs w:val="24"/>
        </w:rPr>
      </w:pPr>
      <w:r>
        <w:rPr>
          <w:sz w:val="24"/>
          <w:szCs w:val="24"/>
        </w:rPr>
        <w:t>Regulates the establishment and functioning of partnerships between obliged entities for AML/CFT information exchange.</w:t>
      </w:r>
      <w:r>
        <w:rPr>
          <w:sz w:val="24"/>
          <w:szCs w:val="24"/>
        </w:rPr>
        <w:br/>
        <w:t>Specifies:</w:t>
      </w:r>
    </w:p>
    <w:p w14:paraId="76B1E552" w14:textId="77777777" w:rsidR="001F11A2" w:rsidRPr="000C4031" w:rsidRDefault="001F11A2" w:rsidP="000742F2">
      <w:pPr>
        <w:widowControl/>
        <w:numPr>
          <w:ilvl w:val="0"/>
          <w:numId w:val="14"/>
        </w:numPr>
        <w:autoSpaceDE/>
        <w:autoSpaceDN/>
        <w:spacing w:line="276" w:lineRule="auto"/>
        <w:rPr>
          <w:sz w:val="24"/>
          <w:szCs w:val="24"/>
        </w:rPr>
      </w:pPr>
      <w:r>
        <w:rPr>
          <w:sz w:val="24"/>
          <w:szCs w:val="24"/>
        </w:rPr>
        <w:t>the limits of permitted information;</w:t>
      </w:r>
    </w:p>
    <w:p w14:paraId="21B77573" w14:textId="77777777" w:rsidR="001F11A2" w:rsidRPr="000C4031" w:rsidRDefault="001F11A2" w:rsidP="000742F2">
      <w:pPr>
        <w:widowControl/>
        <w:numPr>
          <w:ilvl w:val="0"/>
          <w:numId w:val="14"/>
        </w:numPr>
        <w:autoSpaceDE/>
        <w:autoSpaceDN/>
        <w:spacing w:line="276" w:lineRule="auto"/>
        <w:rPr>
          <w:sz w:val="24"/>
          <w:szCs w:val="24"/>
        </w:rPr>
      </w:pPr>
      <w:r>
        <w:rPr>
          <w:sz w:val="24"/>
          <w:szCs w:val="24"/>
        </w:rPr>
        <w:t>requirements for data protection impact assessment;</w:t>
      </w:r>
    </w:p>
    <w:p w14:paraId="16217D98" w14:textId="77777777" w:rsidR="001F11A2" w:rsidRPr="000C4031" w:rsidRDefault="001F11A2" w:rsidP="000742F2">
      <w:pPr>
        <w:widowControl/>
        <w:numPr>
          <w:ilvl w:val="0"/>
          <w:numId w:val="14"/>
        </w:numPr>
        <w:autoSpaceDE/>
        <w:autoSpaceDN/>
        <w:spacing w:line="276" w:lineRule="auto"/>
        <w:rPr>
          <w:sz w:val="24"/>
          <w:szCs w:val="24"/>
        </w:rPr>
      </w:pPr>
      <w:r>
        <w:rPr>
          <w:sz w:val="24"/>
          <w:szCs w:val="24"/>
        </w:rPr>
        <w:t>technical security measures;</w:t>
      </w:r>
    </w:p>
    <w:p w14:paraId="1DDBE844" w14:textId="77777777" w:rsidR="001F11A2" w:rsidRPr="000C4031" w:rsidRDefault="001F11A2" w:rsidP="000742F2">
      <w:pPr>
        <w:widowControl/>
        <w:numPr>
          <w:ilvl w:val="0"/>
          <w:numId w:val="14"/>
        </w:numPr>
        <w:autoSpaceDE/>
        <w:autoSpaceDN/>
        <w:spacing w:line="276" w:lineRule="auto"/>
        <w:rPr>
          <w:sz w:val="24"/>
          <w:szCs w:val="24"/>
        </w:rPr>
      </w:pPr>
      <w:r>
        <w:rPr>
          <w:sz w:val="24"/>
          <w:szCs w:val="24"/>
        </w:rPr>
        <w:t>prohibition of further transmission, with limited exceptions;</w:t>
      </w:r>
    </w:p>
    <w:p w14:paraId="4129F8F6" w14:textId="1D10B495" w:rsidR="001F11A2" w:rsidRPr="000C4031" w:rsidRDefault="001F11A2" w:rsidP="000742F2">
      <w:pPr>
        <w:widowControl/>
        <w:numPr>
          <w:ilvl w:val="0"/>
          <w:numId w:val="14"/>
        </w:numPr>
        <w:autoSpaceDE/>
        <w:autoSpaceDN/>
        <w:spacing w:line="276" w:lineRule="auto"/>
        <w:rPr>
          <w:sz w:val="24"/>
          <w:szCs w:val="24"/>
        </w:rPr>
      </w:pPr>
      <w:r>
        <w:rPr>
          <w:sz w:val="24"/>
          <w:szCs w:val="24"/>
        </w:rPr>
        <w:lastRenderedPageBreak/>
        <w:t>the obligation for internal policies and auditing when required.</w:t>
      </w:r>
    </w:p>
    <w:p w14:paraId="0240DA73" w14:textId="77777777" w:rsidR="001F11A2" w:rsidRPr="000C4031" w:rsidRDefault="001F11A2" w:rsidP="000742F2">
      <w:pPr>
        <w:widowControl/>
        <w:autoSpaceDE/>
        <w:autoSpaceDN/>
        <w:spacing w:line="276" w:lineRule="auto"/>
        <w:outlineLvl w:val="0"/>
        <w:rPr>
          <w:b/>
          <w:bCs/>
          <w:kern w:val="36"/>
          <w:sz w:val="24"/>
          <w:szCs w:val="24"/>
        </w:rPr>
      </w:pPr>
      <w:r>
        <w:rPr>
          <w:b/>
          <w:bCs/>
          <w:kern w:val="36"/>
          <w:sz w:val="24"/>
          <w:szCs w:val="24"/>
        </w:rPr>
        <w:t>CHAPTER VII</w:t>
      </w:r>
    </w:p>
    <w:p w14:paraId="0D092288" w14:textId="77777777" w:rsidR="001F11A2" w:rsidRPr="000C4031" w:rsidRDefault="001F11A2" w:rsidP="000742F2">
      <w:pPr>
        <w:widowControl/>
        <w:autoSpaceDE/>
        <w:autoSpaceDN/>
        <w:spacing w:line="276" w:lineRule="auto"/>
        <w:outlineLvl w:val="1"/>
        <w:rPr>
          <w:b/>
          <w:bCs/>
          <w:sz w:val="24"/>
          <w:szCs w:val="24"/>
        </w:rPr>
      </w:pPr>
      <w:r>
        <w:rPr>
          <w:b/>
          <w:bCs/>
          <w:sz w:val="24"/>
          <w:szCs w:val="24"/>
        </w:rPr>
        <w:t>Protection and retention of data</w:t>
      </w:r>
    </w:p>
    <w:p w14:paraId="327E6A17" w14:textId="77777777" w:rsidR="001F11A2" w:rsidRPr="000C4031" w:rsidRDefault="001F11A2" w:rsidP="000742F2">
      <w:pPr>
        <w:widowControl/>
        <w:autoSpaceDE/>
        <w:autoSpaceDN/>
        <w:spacing w:line="276" w:lineRule="auto"/>
        <w:outlineLvl w:val="2"/>
        <w:rPr>
          <w:b/>
          <w:bCs/>
          <w:sz w:val="24"/>
          <w:szCs w:val="24"/>
        </w:rPr>
      </w:pPr>
      <w:r>
        <w:rPr>
          <w:b/>
          <w:bCs/>
          <w:sz w:val="24"/>
          <w:szCs w:val="24"/>
        </w:rPr>
        <w:t>Article 55 – Processing of personal data</w:t>
      </w:r>
    </w:p>
    <w:p w14:paraId="36B8C50B" w14:textId="77777777" w:rsidR="001F11A2" w:rsidRPr="000C4031" w:rsidRDefault="001F11A2" w:rsidP="000742F2">
      <w:pPr>
        <w:widowControl/>
        <w:autoSpaceDE/>
        <w:autoSpaceDN/>
        <w:spacing w:line="276" w:lineRule="auto"/>
        <w:rPr>
          <w:sz w:val="24"/>
          <w:szCs w:val="24"/>
        </w:rPr>
      </w:pPr>
      <w:r>
        <w:rPr>
          <w:sz w:val="24"/>
          <w:szCs w:val="24"/>
        </w:rPr>
        <w:t>Specifies the processing of data in accordance with legislation on personal data protection.</w:t>
      </w:r>
      <w:r>
        <w:rPr>
          <w:sz w:val="24"/>
          <w:szCs w:val="24"/>
        </w:rPr>
        <w:br/>
        <w:t>Allows the processing of sensitive and criminal data when necessary for AML/CFT, with strong protective measures.</w:t>
      </w:r>
      <w:r>
        <w:rPr>
          <w:sz w:val="24"/>
          <w:szCs w:val="24"/>
        </w:rPr>
        <w:br/>
        <w:t>Allows the use of automated/AI processes with mandatory human intervention and the right to object.</w:t>
      </w:r>
    </w:p>
    <w:p w14:paraId="696C19A3" w14:textId="77777777" w:rsidR="001F11A2" w:rsidRPr="000C4031" w:rsidRDefault="001F11A2" w:rsidP="000742F2">
      <w:pPr>
        <w:widowControl/>
        <w:autoSpaceDE/>
        <w:autoSpaceDN/>
        <w:spacing w:line="276" w:lineRule="auto"/>
        <w:outlineLvl w:val="2"/>
        <w:rPr>
          <w:b/>
          <w:bCs/>
          <w:sz w:val="24"/>
          <w:szCs w:val="24"/>
        </w:rPr>
      </w:pPr>
      <w:r>
        <w:rPr>
          <w:b/>
          <w:bCs/>
          <w:sz w:val="24"/>
          <w:szCs w:val="24"/>
        </w:rPr>
        <w:t>Article 56 – Data retention</w:t>
      </w:r>
    </w:p>
    <w:p w14:paraId="73207441" w14:textId="77777777" w:rsidR="001F11A2" w:rsidRPr="000C4031" w:rsidRDefault="001F11A2" w:rsidP="000742F2">
      <w:pPr>
        <w:widowControl/>
        <w:autoSpaceDE/>
        <w:autoSpaceDN/>
        <w:spacing w:line="276" w:lineRule="auto"/>
        <w:rPr>
          <w:sz w:val="24"/>
          <w:szCs w:val="24"/>
        </w:rPr>
      </w:pPr>
      <w:r>
        <w:rPr>
          <w:sz w:val="24"/>
          <w:szCs w:val="24"/>
        </w:rPr>
        <w:t>Obliges retention for 5 years of CDD documentation, reports and transaction data.</w:t>
      </w:r>
      <w:r>
        <w:rPr>
          <w:sz w:val="24"/>
          <w:szCs w:val="24"/>
        </w:rPr>
        <w:br/>
        <w:t>Allows extension for up to 5 additional years upon request by the authorities.</w:t>
      </w:r>
      <w:r>
        <w:rPr>
          <w:sz w:val="24"/>
          <w:szCs w:val="24"/>
        </w:rPr>
        <w:br/>
        <w:t>Provides rules for referencing instead of copies and special retention for ongoing proceedings.</w:t>
      </w:r>
    </w:p>
    <w:p w14:paraId="3F18CCFC" w14:textId="77777777" w:rsidR="001F11A2" w:rsidRPr="000C4031" w:rsidRDefault="001F11A2" w:rsidP="000742F2">
      <w:pPr>
        <w:widowControl/>
        <w:autoSpaceDE/>
        <w:autoSpaceDN/>
        <w:spacing w:line="276" w:lineRule="auto"/>
        <w:outlineLvl w:val="2"/>
        <w:rPr>
          <w:b/>
          <w:bCs/>
          <w:sz w:val="24"/>
          <w:szCs w:val="24"/>
        </w:rPr>
      </w:pPr>
      <w:r>
        <w:rPr>
          <w:b/>
          <w:bCs/>
          <w:sz w:val="24"/>
          <w:szCs w:val="24"/>
        </w:rPr>
        <w:t>Article 57 – Securing data for authorities</w:t>
      </w:r>
    </w:p>
    <w:p w14:paraId="0E90093E" w14:textId="24EC7EDD" w:rsidR="001F11A2" w:rsidRPr="000C4031" w:rsidRDefault="001F11A2" w:rsidP="000742F2">
      <w:pPr>
        <w:widowControl/>
        <w:autoSpaceDE/>
        <w:autoSpaceDN/>
        <w:spacing w:line="276" w:lineRule="auto"/>
        <w:rPr>
          <w:sz w:val="24"/>
          <w:szCs w:val="24"/>
        </w:rPr>
      </w:pPr>
      <w:r>
        <w:rPr>
          <w:sz w:val="24"/>
          <w:szCs w:val="24"/>
        </w:rPr>
        <w:t>Obliges the entities to have systems for rapid and secure response to requests from the FIU and other competent authorities.</w:t>
      </w:r>
    </w:p>
    <w:p w14:paraId="46BF3E34" w14:textId="77777777" w:rsidR="001F11A2" w:rsidRPr="000C4031" w:rsidRDefault="001F11A2" w:rsidP="000742F2">
      <w:pPr>
        <w:widowControl/>
        <w:autoSpaceDE/>
        <w:autoSpaceDN/>
        <w:spacing w:line="276" w:lineRule="auto"/>
        <w:outlineLvl w:val="0"/>
        <w:rPr>
          <w:b/>
          <w:bCs/>
          <w:kern w:val="36"/>
          <w:sz w:val="24"/>
          <w:szCs w:val="24"/>
        </w:rPr>
      </w:pPr>
      <w:r>
        <w:rPr>
          <w:b/>
          <w:bCs/>
          <w:kern w:val="36"/>
          <w:sz w:val="24"/>
          <w:szCs w:val="24"/>
        </w:rPr>
        <w:t>CHAPTER VIII</w:t>
      </w:r>
    </w:p>
    <w:p w14:paraId="31C230F3" w14:textId="77777777" w:rsidR="001F11A2" w:rsidRPr="000C4031" w:rsidRDefault="001F11A2" w:rsidP="000742F2">
      <w:pPr>
        <w:widowControl/>
        <w:autoSpaceDE/>
        <w:autoSpaceDN/>
        <w:spacing w:line="276" w:lineRule="auto"/>
        <w:outlineLvl w:val="1"/>
        <w:rPr>
          <w:b/>
          <w:bCs/>
          <w:sz w:val="24"/>
          <w:szCs w:val="24"/>
        </w:rPr>
      </w:pPr>
      <w:r>
        <w:rPr>
          <w:b/>
          <w:bCs/>
          <w:sz w:val="24"/>
          <w:szCs w:val="24"/>
        </w:rPr>
        <w:t>Anonymous instruments</w:t>
      </w:r>
    </w:p>
    <w:p w14:paraId="01DCAEE0" w14:textId="77777777" w:rsidR="001F11A2" w:rsidRPr="000C4031" w:rsidRDefault="001F11A2" w:rsidP="000742F2">
      <w:pPr>
        <w:widowControl/>
        <w:autoSpaceDE/>
        <w:autoSpaceDN/>
        <w:spacing w:line="276" w:lineRule="auto"/>
        <w:outlineLvl w:val="2"/>
        <w:rPr>
          <w:b/>
          <w:bCs/>
          <w:sz w:val="24"/>
          <w:szCs w:val="24"/>
        </w:rPr>
      </w:pPr>
      <w:r>
        <w:rPr>
          <w:b/>
          <w:bCs/>
          <w:sz w:val="24"/>
          <w:szCs w:val="24"/>
        </w:rPr>
        <w:t>Article 58 – Anonymous accounts and bearer shares</w:t>
      </w:r>
    </w:p>
    <w:p w14:paraId="0A2D7DA0" w14:textId="77777777" w:rsidR="001F11A2" w:rsidRPr="000C4031" w:rsidRDefault="001F11A2" w:rsidP="000742F2">
      <w:pPr>
        <w:widowControl/>
        <w:autoSpaceDE/>
        <w:autoSpaceDN/>
        <w:spacing w:line="276" w:lineRule="auto"/>
        <w:rPr>
          <w:sz w:val="24"/>
          <w:szCs w:val="24"/>
        </w:rPr>
      </w:pPr>
      <w:r>
        <w:rPr>
          <w:sz w:val="24"/>
          <w:szCs w:val="24"/>
        </w:rPr>
        <w:t>Prohibits anonymous accounts and instruments that increase anonymity.</w:t>
      </w:r>
      <w:r>
        <w:rPr>
          <w:sz w:val="24"/>
          <w:szCs w:val="24"/>
        </w:rPr>
        <w:br/>
        <w:t>Obliges the conversion of bearer-form shares within the specified deadlines, with suspension of rights and cancellation in case of non-compliance.</w:t>
      </w:r>
    </w:p>
    <w:p w14:paraId="0E392A16" w14:textId="77777777" w:rsidR="001F11A2" w:rsidRPr="000C4031" w:rsidRDefault="001F11A2" w:rsidP="000742F2">
      <w:pPr>
        <w:widowControl/>
        <w:autoSpaceDE/>
        <w:autoSpaceDN/>
        <w:spacing w:line="276" w:lineRule="auto"/>
        <w:outlineLvl w:val="2"/>
        <w:rPr>
          <w:b/>
          <w:bCs/>
          <w:sz w:val="24"/>
          <w:szCs w:val="24"/>
        </w:rPr>
      </w:pPr>
      <w:r>
        <w:rPr>
          <w:b/>
          <w:bCs/>
          <w:sz w:val="24"/>
          <w:szCs w:val="24"/>
        </w:rPr>
        <w:t>Article 59 – Limits of cash payments</w:t>
      </w:r>
    </w:p>
    <w:p w14:paraId="0832A5B0" w14:textId="1FCBA9BF" w:rsidR="001F11A2" w:rsidRPr="000C4031" w:rsidRDefault="001F11A2" w:rsidP="000742F2">
      <w:pPr>
        <w:widowControl/>
        <w:autoSpaceDE/>
        <w:autoSpaceDN/>
        <w:spacing w:line="276" w:lineRule="auto"/>
        <w:rPr>
          <w:sz w:val="24"/>
          <w:szCs w:val="24"/>
        </w:rPr>
      </w:pPr>
      <w:r>
        <w:rPr>
          <w:sz w:val="24"/>
          <w:szCs w:val="24"/>
        </w:rPr>
        <w:t>Sets a limit of 10,000 euros for cash payments in commercial transactions.</w:t>
      </w:r>
      <w:r>
        <w:rPr>
          <w:sz w:val="24"/>
          <w:szCs w:val="24"/>
        </w:rPr>
        <w:br/>
        <w:t>Allows for a lower threshold by bylaw.</w:t>
      </w:r>
      <w:r>
        <w:rPr>
          <w:sz w:val="24"/>
          <w:szCs w:val="24"/>
        </w:rPr>
        <w:br/>
        <w:t>Provides for limited exceptions and sanctions for violations.</w:t>
      </w:r>
      <w:r>
        <w:rPr>
          <w:sz w:val="24"/>
          <w:szCs w:val="24"/>
        </w:rPr>
        <w:br/>
        <w:t>Allows temporary suspension in case of force majeure.</w:t>
      </w:r>
    </w:p>
    <w:p w14:paraId="1A0AFC8C" w14:textId="77777777" w:rsidR="001F11A2" w:rsidRPr="000C4031" w:rsidRDefault="001F11A2" w:rsidP="000742F2">
      <w:pPr>
        <w:widowControl/>
        <w:autoSpaceDE/>
        <w:autoSpaceDN/>
        <w:spacing w:line="276" w:lineRule="auto"/>
        <w:jc w:val="both"/>
        <w:outlineLvl w:val="0"/>
        <w:rPr>
          <w:b/>
          <w:bCs/>
          <w:kern w:val="36"/>
          <w:sz w:val="24"/>
          <w:szCs w:val="24"/>
        </w:rPr>
      </w:pPr>
      <w:r>
        <w:rPr>
          <w:b/>
          <w:bCs/>
          <w:kern w:val="36"/>
          <w:sz w:val="24"/>
          <w:szCs w:val="24"/>
        </w:rPr>
        <w:t>CHAPTER IX</w:t>
      </w:r>
    </w:p>
    <w:p w14:paraId="328755C3" w14:textId="77777777" w:rsidR="001F11A2" w:rsidRPr="000C4031" w:rsidRDefault="001F11A2" w:rsidP="000742F2">
      <w:pPr>
        <w:widowControl/>
        <w:autoSpaceDE/>
        <w:autoSpaceDN/>
        <w:spacing w:line="276" w:lineRule="auto"/>
        <w:jc w:val="both"/>
        <w:outlineLvl w:val="1"/>
        <w:rPr>
          <w:b/>
          <w:bCs/>
          <w:sz w:val="24"/>
          <w:szCs w:val="24"/>
        </w:rPr>
      </w:pPr>
      <w:r>
        <w:rPr>
          <w:b/>
          <w:bCs/>
          <w:sz w:val="24"/>
          <w:szCs w:val="24"/>
        </w:rPr>
        <w:t>Final provisions</w:t>
      </w:r>
    </w:p>
    <w:p w14:paraId="0CF1D796" w14:textId="77777777" w:rsidR="001F11A2" w:rsidRPr="000C4031" w:rsidRDefault="001F11A2" w:rsidP="000742F2">
      <w:pPr>
        <w:widowControl/>
        <w:autoSpaceDE/>
        <w:autoSpaceDN/>
        <w:spacing w:line="276" w:lineRule="auto"/>
        <w:jc w:val="both"/>
        <w:outlineLvl w:val="2"/>
        <w:rPr>
          <w:b/>
          <w:bCs/>
          <w:sz w:val="24"/>
          <w:szCs w:val="24"/>
        </w:rPr>
      </w:pPr>
      <w:r>
        <w:rPr>
          <w:b/>
          <w:bCs/>
          <w:sz w:val="24"/>
          <w:szCs w:val="24"/>
        </w:rPr>
        <w:t>Article 60 – Cooperation with EPPO</w:t>
      </w:r>
    </w:p>
    <w:p w14:paraId="34E83C62" w14:textId="77777777" w:rsidR="001F11A2" w:rsidRPr="000C4031" w:rsidRDefault="001F11A2" w:rsidP="000742F2">
      <w:pPr>
        <w:widowControl/>
        <w:autoSpaceDE/>
        <w:autoSpaceDN/>
        <w:spacing w:line="276" w:lineRule="auto"/>
        <w:jc w:val="both"/>
        <w:rPr>
          <w:sz w:val="24"/>
          <w:szCs w:val="24"/>
        </w:rPr>
      </w:pPr>
      <w:r>
        <w:rPr>
          <w:sz w:val="24"/>
          <w:szCs w:val="24"/>
        </w:rPr>
        <w:t>Regulates the exchange of information and analyses between the FIU and EPPO, in accordance with the legal framework and principles of confidentiality.</w:t>
      </w:r>
    </w:p>
    <w:p w14:paraId="4C61397E" w14:textId="77777777" w:rsidR="001F11A2" w:rsidRPr="000C4031" w:rsidRDefault="001F11A2" w:rsidP="000742F2">
      <w:pPr>
        <w:widowControl/>
        <w:autoSpaceDE/>
        <w:autoSpaceDN/>
        <w:spacing w:line="276" w:lineRule="auto"/>
        <w:jc w:val="both"/>
        <w:outlineLvl w:val="2"/>
        <w:rPr>
          <w:b/>
          <w:bCs/>
          <w:sz w:val="24"/>
          <w:szCs w:val="24"/>
        </w:rPr>
      </w:pPr>
      <w:r>
        <w:rPr>
          <w:b/>
          <w:bCs/>
          <w:sz w:val="24"/>
          <w:szCs w:val="24"/>
        </w:rPr>
        <w:t>Article 61 – Requests for information addressed to EPPO</w:t>
      </w:r>
    </w:p>
    <w:p w14:paraId="48E771F6" w14:textId="77777777" w:rsidR="001F11A2" w:rsidRPr="000C4031" w:rsidRDefault="001F11A2" w:rsidP="000742F2">
      <w:pPr>
        <w:widowControl/>
        <w:autoSpaceDE/>
        <w:autoSpaceDN/>
        <w:spacing w:line="276" w:lineRule="auto"/>
        <w:jc w:val="both"/>
        <w:rPr>
          <w:sz w:val="24"/>
          <w:szCs w:val="24"/>
        </w:rPr>
      </w:pPr>
      <w:r>
        <w:rPr>
          <w:sz w:val="24"/>
          <w:szCs w:val="24"/>
        </w:rPr>
        <w:t>Provides for EPPO's obligation to respond to FIU requests, with the possibility of postponement for investigative reasons.</w:t>
      </w:r>
    </w:p>
    <w:p w14:paraId="720BC660" w14:textId="77777777" w:rsidR="001F11A2" w:rsidRPr="000C4031" w:rsidRDefault="001F11A2" w:rsidP="000742F2">
      <w:pPr>
        <w:widowControl/>
        <w:autoSpaceDE/>
        <w:autoSpaceDN/>
        <w:spacing w:line="276" w:lineRule="auto"/>
        <w:jc w:val="both"/>
        <w:outlineLvl w:val="2"/>
        <w:rPr>
          <w:b/>
          <w:bCs/>
          <w:sz w:val="24"/>
          <w:szCs w:val="24"/>
        </w:rPr>
      </w:pPr>
      <w:r>
        <w:rPr>
          <w:b/>
          <w:bCs/>
          <w:sz w:val="24"/>
          <w:szCs w:val="24"/>
        </w:rPr>
        <w:t>Article 62 – Cooperation with OLAF</w:t>
      </w:r>
    </w:p>
    <w:p w14:paraId="48C6532D" w14:textId="77777777" w:rsidR="001F11A2" w:rsidRPr="000C4031" w:rsidRDefault="001F11A2" w:rsidP="000742F2">
      <w:pPr>
        <w:widowControl/>
        <w:autoSpaceDE/>
        <w:autoSpaceDN/>
        <w:spacing w:line="276" w:lineRule="auto"/>
        <w:jc w:val="both"/>
        <w:rPr>
          <w:sz w:val="24"/>
          <w:szCs w:val="24"/>
        </w:rPr>
      </w:pPr>
      <w:r>
        <w:rPr>
          <w:sz w:val="24"/>
          <w:szCs w:val="24"/>
        </w:rPr>
        <w:t>Regulates the transmission of information and analyses in cases of fraud/corruption affecting the financial interests of the EU.</w:t>
      </w:r>
    </w:p>
    <w:p w14:paraId="7B71BA63" w14:textId="77777777" w:rsidR="001F11A2" w:rsidRPr="000C4031" w:rsidRDefault="001F11A2" w:rsidP="000742F2">
      <w:pPr>
        <w:widowControl/>
        <w:autoSpaceDE/>
        <w:autoSpaceDN/>
        <w:spacing w:line="276" w:lineRule="auto"/>
        <w:jc w:val="both"/>
        <w:outlineLvl w:val="2"/>
        <w:rPr>
          <w:b/>
          <w:bCs/>
          <w:sz w:val="24"/>
          <w:szCs w:val="24"/>
        </w:rPr>
      </w:pPr>
      <w:r>
        <w:rPr>
          <w:b/>
          <w:bCs/>
          <w:sz w:val="24"/>
          <w:szCs w:val="24"/>
        </w:rPr>
        <w:t>Article 63 – Requests for information addressed to OLAF</w:t>
      </w:r>
    </w:p>
    <w:p w14:paraId="55086E63" w14:textId="77777777" w:rsidR="001F11A2" w:rsidRPr="000C4031" w:rsidRDefault="001F11A2" w:rsidP="000742F2">
      <w:pPr>
        <w:widowControl/>
        <w:autoSpaceDE/>
        <w:autoSpaceDN/>
        <w:spacing w:line="276" w:lineRule="auto"/>
        <w:jc w:val="both"/>
        <w:rPr>
          <w:sz w:val="24"/>
          <w:szCs w:val="24"/>
        </w:rPr>
      </w:pPr>
      <w:r>
        <w:rPr>
          <w:sz w:val="24"/>
          <w:szCs w:val="24"/>
        </w:rPr>
        <w:t>Determines the response procedure by OLAF and the possibility of refusal for investigative reasons.</w:t>
      </w:r>
    </w:p>
    <w:p w14:paraId="3F7FA0B6" w14:textId="77777777" w:rsidR="001F11A2" w:rsidRPr="000C4031" w:rsidRDefault="001F11A2" w:rsidP="000742F2">
      <w:pPr>
        <w:widowControl/>
        <w:autoSpaceDE/>
        <w:autoSpaceDN/>
        <w:spacing w:line="276" w:lineRule="auto"/>
        <w:jc w:val="both"/>
        <w:outlineLvl w:val="2"/>
        <w:rPr>
          <w:b/>
          <w:bCs/>
          <w:sz w:val="24"/>
          <w:szCs w:val="24"/>
        </w:rPr>
      </w:pPr>
      <w:r>
        <w:rPr>
          <w:b/>
          <w:bCs/>
          <w:sz w:val="24"/>
          <w:szCs w:val="24"/>
        </w:rPr>
        <w:t>Article 64 – Transitional provisions</w:t>
      </w:r>
    </w:p>
    <w:p w14:paraId="1E452A4E" w14:textId="77777777" w:rsidR="001F11A2" w:rsidRPr="000C4031" w:rsidRDefault="001F11A2" w:rsidP="000742F2">
      <w:pPr>
        <w:widowControl/>
        <w:autoSpaceDE/>
        <w:autoSpaceDN/>
        <w:spacing w:line="276" w:lineRule="auto"/>
        <w:jc w:val="both"/>
        <w:rPr>
          <w:sz w:val="24"/>
          <w:szCs w:val="24"/>
        </w:rPr>
      </w:pPr>
      <w:r>
        <w:rPr>
          <w:sz w:val="24"/>
          <w:szCs w:val="24"/>
        </w:rPr>
        <w:t>Specifies:</w:t>
      </w:r>
    </w:p>
    <w:p w14:paraId="5E74B10D" w14:textId="77777777" w:rsidR="001F11A2" w:rsidRPr="000C4031" w:rsidRDefault="001F11A2" w:rsidP="000742F2">
      <w:pPr>
        <w:widowControl/>
        <w:numPr>
          <w:ilvl w:val="0"/>
          <w:numId w:val="15"/>
        </w:numPr>
        <w:tabs>
          <w:tab w:val="clear" w:pos="720"/>
          <w:tab w:val="num" w:pos="450"/>
        </w:tabs>
        <w:autoSpaceDE/>
        <w:autoSpaceDN/>
        <w:spacing w:line="276" w:lineRule="auto"/>
        <w:ind w:left="0" w:firstLine="0"/>
        <w:jc w:val="both"/>
        <w:rPr>
          <w:sz w:val="24"/>
          <w:szCs w:val="24"/>
        </w:rPr>
      </w:pPr>
      <w:r>
        <w:rPr>
          <w:sz w:val="24"/>
          <w:szCs w:val="24"/>
        </w:rPr>
        <w:lastRenderedPageBreak/>
        <w:t>implementation of provisions related to the European Commission and AMLA after accession;</w:t>
      </w:r>
    </w:p>
    <w:p w14:paraId="3DB91AD6" w14:textId="77777777" w:rsidR="001F11A2" w:rsidRPr="000C4031" w:rsidRDefault="001F11A2" w:rsidP="000742F2">
      <w:pPr>
        <w:widowControl/>
        <w:numPr>
          <w:ilvl w:val="0"/>
          <w:numId w:val="15"/>
        </w:numPr>
        <w:tabs>
          <w:tab w:val="clear" w:pos="720"/>
          <w:tab w:val="num" w:pos="450"/>
        </w:tabs>
        <w:autoSpaceDE/>
        <w:autoSpaceDN/>
        <w:spacing w:line="276" w:lineRule="auto"/>
        <w:ind w:left="0" w:firstLine="0"/>
        <w:jc w:val="both"/>
        <w:rPr>
          <w:sz w:val="24"/>
          <w:szCs w:val="24"/>
        </w:rPr>
      </w:pPr>
      <w:r>
        <w:rPr>
          <w:sz w:val="24"/>
          <w:szCs w:val="24"/>
        </w:rPr>
        <w:t>the continuity of Law No. 9917/2008 until entry into force;</w:t>
      </w:r>
    </w:p>
    <w:p w14:paraId="014758CA" w14:textId="77777777" w:rsidR="001F11A2" w:rsidRPr="000C4031" w:rsidRDefault="001F11A2" w:rsidP="000742F2">
      <w:pPr>
        <w:widowControl/>
        <w:numPr>
          <w:ilvl w:val="0"/>
          <w:numId w:val="15"/>
        </w:numPr>
        <w:tabs>
          <w:tab w:val="clear" w:pos="720"/>
          <w:tab w:val="num" w:pos="450"/>
        </w:tabs>
        <w:autoSpaceDE/>
        <w:autoSpaceDN/>
        <w:spacing w:line="276" w:lineRule="auto"/>
        <w:ind w:left="0" w:firstLine="0"/>
        <w:rPr>
          <w:sz w:val="24"/>
          <w:szCs w:val="24"/>
        </w:rPr>
      </w:pPr>
      <w:r>
        <w:rPr>
          <w:sz w:val="24"/>
          <w:szCs w:val="24"/>
        </w:rPr>
        <w:t>the validity of existing bylaws until their replacement;</w:t>
      </w:r>
    </w:p>
    <w:p w14:paraId="057C9309" w14:textId="51C66F5C" w:rsidR="004836FC" w:rsidRPr="000C4031" w:rsidRDefault="001F11A2" w:rsidP="000742F2">
      <w:pPr>
        <w:widowControl/>
        <w:numPr>
          <w:ilvl w:val="0"/>
          <w:numId w:val="15"/>
        </w:numPr>
        <w:tabs>
          <w:tab w:val="clear" w:pos="720"/>
          <w:tab w:val="num" w:pos="450"/>
        </w:tabs>
        <w:autoSpaceDE/>
        <w:autoSpaceDN/>
        <w:spacing w:line="276" w:lineRule="auto"/>
        <w:ind w:left="0" w:firstLine="0"/>
        <w:rPr>
          <w:sz w:val="24"/>
          <w:szCs w:val="24"/>
        </w:rPr>
      </w:pPr>
      <w:r>
        <w:rPr>
          <w:sz w:val="24"/>
          <w:szCs w:val="24"/>
        </w:rPr>
        <w:t>the repeal of Part II on the day of accession to the EU.</w:t>
      </w:r>
    </w:p>
    <w:p w14:paraId="250A3EFD" w14:textId="77777777" w:rsidR="00613779" w:rsidRPr="000C4031" w:rsidRDefault="00613779" w:rsidP="000742F2">
      <w:pPr>
        <w:pStyle w:val="BodyText"/>
        <w:tabs>
          <w:tab w:val="left" w:pos="4783"/>
        </w:tabs>
        <w:spacing w:line="276" w:lineRule="auto"/>
        <w:ind w:right="48"/>
        <w:rPr>
          <w:sz w:val="24"/>
          <w:szCs w:val="24"/>
        </w:rPr>
      </w:pPr>
      <w:r>
        <w:rPr>
          <w:sz w:val="24"/>
          <w:szCs w:val="24"/>
        </w:rPr>
        <w:t>The draft law contains five annexes, which are an integral part of it and aim to concretize the risk-based approach, determine guiding factors for obliged entities, and identify categories of goods and property at increased risk for money laundering and terrorist financing.</w:t>
      </w:r>
    </w:p>
    <w:p w14:paraId="76C5E19E" w14:textId="77777777" w:rsidR="00C452DC" w:rsidRPr="000C4031" w:rsidRDefault="00C452DC" w:rsidP="000742F2">
      <w:pPr>
        <w:pStyle w:val="BodyText"/>
        <w:tabs>
          <w:tab w:val="left" w:pos="4783"/>
        </w:tabs>
        <w:spacing w:line="276" w:lineRule="auto"/>
        <w:ind w:right="48"/>
        <w:rPr>
          <w:b/>
          <w:bCs/>
          <w:sz w:val="24"/>
          <w:szCs w:val="24"/>
        </w:rPr>
      </w:pPr>
    </w:p>
    <w:p w14:paraId="151F282F" w14:textId="25D4FBA0" w:rsidR="00613779" w:rsidRPr="000C4031" w:rsidRDefault="00613779" w:rsidP="000742F2">
      <w:pPr>
        <w:pStyle w:val="BodyText"/>
        <w:tabs>
          <w:tab w:val="left" w:pos="4783"/>
        </w:tabs>
        <w:spacing w:line="276" w:lineRule="auto"/>
        <w:ind w:right="48"/>
        <w:rPr>
          <w:sz w:val="24"/>
          <w:szCs w:val="24"/>
        </w:rPr>
      </w:pPr>
      <w:r>
        <w:rPr>
          <w:b/>
          <w:bCs/>
          <w:sz w:val="24"/>
          <w:szCs w:val="24"/>
        </w:rPr>
        <w:t>Annex I</w:t>
      </w:r>
      <w:r>
        <w:rPr>
          <w:sz w:val="24"/>
          <w:szCs w:val="24"/>
        </w:rPr>
        <w:t xml:space="preserve"> specifies the indicative list of risk variables that obliged entities must take into account when drafting the internal risk assessment and in determining appropriate customer due diligence measures. These variables include elements relating to the profile of the client and the beneficial owner, relevant jurisdictions, characteristics of the product, service or transaction, as well as distribution channels. The annex serves as a methodological basis for implementing the risk-based approach, in accordance with international standards and the acquis of the European Union.</w:t>
      </w:r>
    </w:p>
    <w:p w14:paraId="6755565C" w14:textId="77777777" w:rsidR="00613779" w:rsidRPr="000C4031" w:rsidRDefault="00613779" w:rsidP="000742F2">
      <w:pPr>
        <w:pStyle w:val="BodyText"/>
        <w:tabs>
          <w:tab w:val="left" w:pos="4783"/>
        </w:tabs>
        <w:spacing w:line="276" w:lineRule="auto"/>
        <w:ind w:right="48"/>
        <w:rPr>
          <w:sz w:val="24"/>
          <w:szCs w:val="24"/>
        </w:rPr>
      </w:pPr>
      <w:r>
        <w:rPr>
          <w:b/>
          <w:bCs/>
          <w:sz w:val="24"/>
          <w:szCs w:val="24"/>
        </w:rPr>
        <w:t>Annex II</w:t>
      </w:r>
      <w:r>
        <w:rPr>
          <w:sz w:val="24"/>
          <w:szCs w:val="24"/>
        </w:rPr>
        <w:t xml:space="preserve"> presents a non-exhaustive list of factors that may indicate a potentially lower risk level. These factors relate to certain categories of clients (such as publicly listed companies or public administrations), financial products with limited risk features (e.g. pension products or insurance with low premiums), as well as jurisdictions with effective systems for combating money laundering and terrorist financing. This annex guides obliged entities in justifying the application of simplified due diligence measures, where permitted by law.</w:t>
      </w:r>
    </w:p>
    <w:p w14:paraId="4FDEE59B" w14:textId="77777777" w:rsidR="00613779" w:rsidRPr="000C4031" w:rsidRDefault="00613779" w:rsidP="000742F2">
      <w:pPr>
        <w:pStyle w:val="BodyText"/>
        <w:tabs>
          <w:tab w:val="left" w:pos="4783"/>
        </w:tabs>
        <w:spacing w:line="276" w:lineRule="auto"/>
        <w:ind w:right="48"/>
        <w:rPr>
          <w:sz w:val="24"/>
          <w:szCs w:val="24"/>
        </w:rPr>
      </w:pPr>
      <w:r>
        <w:rPr>
          <w:b/>
          <w:bCs/>
          <w:sz w:val="24"/>
          <w:szCs w:val="24"/>
        </w:rPr>
        <w:t>Annex III</w:t>
      </w:r>
      <w:r>
        <w:rPr>
          <w:sz w:val="24"/>
          <w:szCs w:val="24"/>
        </w:rPr>
        <w:t xml:space="preserve"> defines factors that signal a potentially higher risk and require the application of enhanced due diligence measures. These include unusual circumstances of the business relationship, complex ownership structures or those without an apparent economic justification, intensive use of cash, products or mechanisms that favor anonymity, as well as connections with jurisdictions identified as having serious deficiencies in AML/CFT systems or under international sanctions. The annex strengthens the preventive dimension of the law by guiding entities towards increased control in high-risk exposure situations.</w:t>
      </w:r>
    </w:p>
    <w:p w14:paraId="351B5183" w14:textId="77777777" w:rsidR="00613779" w:rsidRPr="000C4031" w:rsidRDefault="00613779" w:rsidP="000742F2">
      <w:pPr>
        <w:pStyle w:val="BodyText"/>
        <w:tabs>
          <w:tab w:val="left" w:pos="4783"/>
        </w:tabs>
        <w:spacing w:line="276" w:lineRule="auto"/>
        <w:ind w:right="48"/>
        <w:rPr>
          <w:sz w:val="24"/>
          <w:szCs w:val="24"/>
        </w:rPr>
      </w:pPr>
      <w:r>
        <w:rPr>
          <w:b/>
          <w:bCs/>
          <w:sz w:val="24"/>
          <w:szCs w:val="24"/>
        </w:rPr>
        <w:t>Annex IV</w:t>
      </w:r>
      <w:r>
        <w:rPr>
          <w:sz w:val="24"/>
          <w:szCs w:val="24"/>
        </w:rPr>
        <w:t xml:space="preserve"> defines the categories of high-value goods which, due to their nature and value, present increased risk for use in money laundering schemes. These include jewelry and articles made of precious metals, high-value watches, motor vehicles, aircraft, and vessels above the specified monetary thresholds. The determination of these categories aims to increase transparency and strengthen reporting obligations for transactions involving them.</w:t>
      </w:r>
    </w:p>
    <w:p w14:paraId="7412DF23" w14:textId="77777777" w:rsidR="00613779" w:rsidRPr="000C4031" w:rsidRDefault="00613779" w:rsidP="000742F2">
      <w:pPr>
        <w:pStyle w:val="BodyText"/>
        <w:tabs>
          <w:tab w:val="left" w:pos="4783"/>
        </w:tabs>
        <w:spacing w:line="276" w:lineRule="auto"/>
        <w:ind w:right="48"/>
        <w:rPr>
          <w:sz w:val="24"/>
          <w:szCs w:val="24"/>
        </w:rPr>
      </w:pPr>
      <w:r>
        <w:rPr>
          <w:b/>
          <w:bCs/>
          <w:sz w:val="24"/>
          <w:szCs w:val="24"/>
        </w:rPr>
        <w:t>Annex V</w:t>
      </w:r>
      <w:r>
        <w:rPr>
          <w:sz w:val="24"/>
          <w:szCs w:val="24"/>
        </w:rPr>
        <w:t xml:space="preserve"> lists the precious metals and stones considered to pose particular risk for the purposes of this law. Their inclusion aims to address exposure to money laundering in the trading sectors for precious metals and stones, in accordance with international practices and standards.</w:t>
      </w:r>
    </w:p>
    <w:p w14:paraId="1AF6AD22" w14:textId="34C79330" w:rsidR="00AE4159" w:rsidRPr="000C4031" w:rsidRDefault="00613779" w:rsidP="000742F2">
      <w:pPr>
        <w:pStyle w:val="BodyText"/>
        <w:tabs>
          <w:tab w:val="left" w:pos="4783"/>
        </w:tabs>
        <w:spacing w:line="276" w:lineRule="auto"/>
        <w:ind w:right="48"/>
        <w:rPr>
          <w:sz w:val="24"/>
          <w:szCs w:val="24"/>
        </w:rPr>
      </w:pPr>
      <w:r>
        <w:rPr>
          <w:sz w:val="24"/>
          <w:szCs w:val="24"/>
        </w:rPr>
        <w:t>Overall, the annexes to the draft law operationalize its substantive provisions, ensuring normative clarity, harmonization with European Union legislation, and effective implementation of the risk-based approach by obligated entities.</w:t>
      </w:r>
    </w:p>
    <w:p w14:paraId="4A2E3727" w14:textId="617344B4" w:rsidR="00613779" w:rsidRPr="000C4031" w:rsidRDefault="00613779" w:rsidP="000742F2">
      <w:pPr>
        <w:widowControl/>
        <w:tabs>
          <w:tab w:val="left" w:pos="360"/>
        </w:tabs>
        <w:autoSpaceDE/>
        <w:autoSpaceDN/>
        <w:spacing w:line="276" w:lineRule="auto"/>
        <w:rPr>
          <w:rFonts w:eastAsia="Calibri"/>
          <w:b/>
          <w:sz w:val="24"/>
          <w:szCs w:val="24"/>
        </w:rPr>
      </w:pPr>
      <w:r>
        <w:rPr>
          <w:rFonts w:eastAsia="Calibri"/>
          <w:b/>
          <w:sz w:val="24"/>
          <w:szCs w:val="24"/>
        </w:rPr>
        <w:t>Part III.</w:t>
      </w:r>
    </w:p>
    <w:p w14:paraId="5082D02E" w14:textId="54D1751D" w:rsidR="005552C8" w:rsidRPr="000C4031" w:rsidRDefault="005552C8" w:rsidP="000742F2">
      <w:pPr>
        <w:spacing w:line="276" w:lineRule="auto"/>
        <w:rPr>
          <w:b/>
          <w:sz w:val="24"/>
          <w:szCs w:val="24"/>
        </w:rPr>
      </w:pPr>
      <w:r>
        <w:rPr>
          <w:b/>
          <w:sz w:val="24"/>
          <w:szCs w:val="24"/>
        </w:rPr>
        <w:t>Measures on the implementation of Regulation (EU) 2023/1113 of the European Parliament and of the Council dated 31 May 2023 “On information accompanying transfers of funds and certain crypto-assets”</w:t>
      </w:r>
    </w:p>
    <w:p w14:paraId="595B83B2" w14:textId="77777777" w:rsidR="004A7A2A" w:rsidRPr="000C4031" w:rsidRDefault="004A7A2A" w:rsidP="000742F2">
      <w:pPr>
        <w:pStyle w:val="BodyText"/>
        <w:tabs>
          <w:tab w:val="left" w:pos="4783"/>
        </w:tabs>
        <w:spacing w:line="276" w:lineRule="auto"/>
        <w:ind w:right="48"/>
        <w:rPr>
          <w:b/>
          <w:bCs/>
          <w:sz w:val="24"/>
          <w:szCs w:val="24"/>
        </w:rPr>
      </w:pPr>
      <w:r>
        <w:rPr>
          <w:b/>
          <w:bCs/>
          <w:sz w:val="24"/>
          <w:szCs w:val="24"/>
        </w:rPr>
        <w:lastRenderedPageBreak/>
        <w:t>CHAPTER I – Subject matter, scope of application and definitions</w:t>
      </w:r>
    </w:p>
    <w:p w14:paraId="4CAB8721" w14:textId="0BC4593F"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1 – Subject matter</w:t>
      </w:r>
    </w:p>
    <w:p w14:paraId="2325F44D" w14:textId="00E27C39" w:rsidR="004A7A2A" w:rsidRPr="000C4031" w:rsidRDefault="004A7A2A" w:rsidP="000742F2">
      <w:pPr>
        <w:pStyle w:val="BodyText"/>
        <w:tabs>
          <w:tab w:val="left" w:pos="4783"/>
        </w:tabs>
        <w:spacing w:line="276" w:lineRule="auto"/>
        <w:ind w:right="48"/>
        <w:jc w:val="left"/>
        <w:rPr>
          <w:bCs/>
          <w:sz w:val="24"/>
          <w:szCs w:val="24"/>
        </w:rPr>
      </w:pPr>
      <w:r>
        <w:rPr>
          <w:bCs/>
          <w:sz w:val="24"/>
          <w:szCs w:val="24"/>
        </w:rPr>
        <w:t>This article sets out the two pillars of Part III:</w:t>
      </w:r>
    </w:p>
    <w:p w14:paraId="39C1DE38" w14:textId="06A084C2" w:rsidR="004A7A2A" w:rsidRPr="000C4031" w:rsidRDefault="004A7A2A" w:rsidP="000742F2">
      <w:pPr>
        <w:pStyle w:val="BodyText"/>
        <w:tabs>
          <w:tab w:val="left" w:pos="4783"/>
        </w:tabs>
        <w:spacing w:line="276" w:lineRule="auto"/>
        <w:ind w:right="48"/>
        <w:rPr>
          <w:bCs/>
          <w:sz w:val="24"/>
          <w:szCs w:val="24"/>
        </w:rPr>
      </w:pPr>
      <w:r>
        <w:rPr>
          <w:bCs/>
          <w:sz w:val="24"/>
          <w:szCs w:val="24"/>
        </w:rPr>
        <w:t>“The rule of accompanying transfers with information” (payer/payee) for transfers of funds and crypto-assets, for the purpose of prevention-detection-investigation of ML/TF, where at least one PSP/CASP is licensed, registered or operates in Albania.</w:t>
      </w:r>
    </w:p>
    <w:p w14:paraId="368CB732" w14:textId="560F35C5" w:rsidR="004A7A2A" w:rsidRPr="000C4031" w:rsidRDefault="004A7A2A" w:rsidP="000742F2">
      <w:pPr>
        <w:pStyle w:val="BodyText"/>
        <w:tabs>
          <w:tab w:val="left" w:pos="4783"/>
        </w:tabs>
        <w:spacing w:line="276" w:lineRule="auto"/>
        <w:ind w:right="48"/>
        <w:rPr>
          <w:bCs/>
          <w:sz w:val="24"/>
          <w:szCs w:val="24"/>
        </w:rPr>
      </w:pPr>
      <w:r>
        <w:rPr>
          <w:bCs/>
          <w:sz w:val="24"/>
          <w:szCs w:val="24"/>
        </w:rPr>
        <w:t>“Compliance with restrictive measures”: requires policies, procedures, and internal controls by PSP/CASP for the implementation of restrictive measures (sanctions) in relation to transfers.</w:t>
      </w:r>
    </w:p>
    <w:p w14:paraId="371A7EE8" w14:textId="5711AE4D" w:rsidR="004A7A2A" w:rsidRPr="000C4031" w:rsidRDefault="004A7A2A" w:rsidP="000742F2">
      <w:pPr>
        <w:pStyle w:val="BodyText"/>
        <w:tabs>
          <w:tab w:val="left" w:pos="4783"/>
        </w:tabs>
        <w:spacing w:line="276" w:lineRule="auto"/>
        <w:ind w:right="48"/>
        <w:rPr>
          <w:b/>
          <w:bCs/>
          <w:sz w:val="24"/>
          <w:szCs w:val="24"/>
        </w:rPr>
      </w:pPr>
      <w:r>
        <w:rPr>
          <w:b/>
          <w:bCs/>
          <w:sz w:val="24"/>
          <w:szCs w:val="24"/>
        </w:rPr>
        <w:t>Article 2 – Scope of application</w:t>
      </w:r>
    </w:p>
    <w:p w14:paraId="60F572D2" w14:textId="5C589B6C" w:rsidR="004A7A2A" w:rsidRPr="000C4031" w:rsidRDefault="004A7A2A" w:rsidP="000742F2">
      <w:pPr>
        <w:pStyle w:val="BodyText"/>
        <w:tabs>
          <w:tab w:val="left" w:pos="4783"/>
        </w:tabs>
        <w:spacing w:line="276" w:lineRule="auto"/>
        <w:ind w:right="48"/>
        <w:rPr>
          <w:bCs/>
          <w:sz w:val="24"/>
          <w:szCs w:val="24"/>
        </w:rPr>
      </w:pPr>
      <w:r>
        <w:rPr>
          <w:bCs/>
          <w:sz w:val="24"/>
          <w:szCs w:val="24"/>
        </w:rPr>
        <w:t>Clearly determines when the rules apply and when they do not:</w:t>
      </w:r>
    </w:p>
    <w:p w14:paraId="75544BD5" w14:textId="4E4F5F7E" w:rsidR="004A7A2A" w:rsidRPr="000C4031" w:rsidRDefault="004A7A2A" w:rsidP="000742F2">
      <w:pPr>
        <w:pStyle w:val="BodyText"/>
        <w:tabs>
          <w:tab w:val="left" w:pos="4783"/>
        </w:tabs>
        <w:spacing w:line="276" w:lineRule="auto"/>
        <w:ind w:right="48"/>
        <w:rPr>
          <w:bCs/>
          <w:sz w:val="24"/>
          <w:szCs w:val="24"/>
        </w:rPr>
      </w:pPr>
      <w:r>
        <w:rPr>
          <w:bCs/>
          <w:sz w:val="24"/>
          <w:szCs w:val="24"/>
        </w:rPr>
        <w:t>They apply to transfers of funds and transfers of crypto-assets (including via crypto-ATM), if one link in the chain (PSP/CASP) is licensed/operates in Albania.</w:t>
      </w:r>
    </w:p>
    <w:p w14:paraId="763A788F" w14:textId="208EADF8" w:rsidR="004A7A2A" w:rsidRPr="000C4031" w:rsidRDefault="004A7A2A" w:rsidP="000742F2">
      <w:pPr>
        <w:pStyle w:val="BodyText"/>
        <w:tabs>
          <w:tab w:val="left" w:pos="4783"/>
        </w:tabs>
        <w:spacing w:line="276" w:lineRule="auto"/>
        <w:ind w:right="48"/>
        <w:rPr>
          <w:bCs/>
          <w:sz w:val="24"/>
          <w:szCs w:val="24"/>
        </w:rPr>
      </w:pPr>
      <w:r>
        <w:rPr>
          <w:bCs/>
          <w:sz w:val="24"/>
          <w:szCs w:val="24"/>
        </w:rPr>
        <w:t>Excludes services that are not considered payment services according to the law on payments.</w:t>
      </w:r>
    </w:p>
    <w:p w14:paraId="16ED9493" w14:textId="1CB4D00C" w:rsidR="004A7A2A" w:rsidRPr="000C4031" w:rsidRDefault="004A7A2A" w:rsidP="000742F2">
      <w:pPr>
        <w:pStyle w:val="BodyText"/>
        <w:tabs>
          <w:tab w:val="left" w:pos="4783"/>
        </w:tabs>
        <w:spacing w:line="276" w:lineRule="auto"/>
        <w:ind w:right="48"/>
        <w:rPr>
          <w:bCs/>
          <w:sz w:val="24"/>
          <w:szCs w:val="24"/>
        </w:rPr>
      </w:pPr>
      <w:r>
        <w:rPr>
          <w:bCs/>
          <w:sz w:val="24"/>
          <w:szCs w:val="24"/>
        </w:rPr>
        <w:t>Excludes certain transfers by card/phone/electronic device when used solely for the payment of goods/services and the identifier accompanies the transfer; but reintroduces the application when these instruments are used for P2P consumer-to-consumer outside of commercial purpose.</w:t>
      </w:r>
    </w:p>
    <w:p w14:paraId="71BC6954" w14:textId="5F9E24BD" w:rsidR="004A7A2A" w:rsidRPr="000C4031" w:rsidRDefault="004A7A2A" w:rsidP="000742F2">
      <w:pPr>
        <w:pStyle w:val="BodyText"/>
        <w:tabs>
          <w:tab w:val="left" w:pos="4783"/>
        </w:tabs>
        <w:spacing w:line="276" w:lineRule="auto"/>
        <w:ind w:right="48"/>
        <w:jc w:val="left"/>
        <w:rPr>
          <w:bCs/>
          <w:sz w:val="24"/>
          <w:szCs w:val="24"/>
        </w:rPr>
      </w:pPr>
      <w:r>
        <w:rPr>
          <w:bCs/>
          <w:sz w:val="24"/>
          <w:szCs w:val="24"/>
        </w:rPr>
        <w:t>Excludes “technical providers” (document conversion, messaging/clearing/settlement systems) when they do not carry out other activities.</w:t>
      </w:r>
    </w:p>
    <w:p w14:paraId="7CD23785" w14:textId="50F45255" w:rsidR="004A7A2A" w:rsidRPr="000C4031" w:rsidRDefault="004A7A2A" w:rsidP="000742F2">
      <w:pPr>
        <w:pStyle w:val="BodyText"/>
        <w:tabs>
          <w:tab w:val="left" w:pos="4783"/>
        </w:tabs>
        <w:spacing w:line="276" w:lineRule="auto"/>
        <w:ind w:right="48"/>
        <w:jc w:val="left"/>
        <w:rPr>
          <w:bCs/>
          <w:sz w:val="24"/>
          <w:szCs w:val="24"/>
        </w:rPr>
      </w:pPr>
      <w:r>
        <w:rPr>
          <w:bCs/>
          <w:sz w:val="24"/>
          <w:szCs w:val="24"/>
        </w:rPr>
        <w:t>Specifies specific exemptions for transfers of funds (e.g. cash withdrawals, tax/fine payments, PSP-PSP for own account, cheque images) and for crypto transfers (CASP-CASP for own account; P2P without CASP).</w:t>
      </w:r>
    </w:p>
    <w:p w14:paraId="17E7F010" w14:textId="48076164" w:rsidR="004A7A2A" w:rsidRPr="000C4031" w:rsidRDefault="004A7A2A" w:rsidP="000742F2">
      <w:pPr>
        <w:pStyle w:val="BodyText"/>
        <w:tabs>
          <w:tab w:val="left" w:pos="4783"/>
        </w:tabs>
        <w:spacing w:line="276" w:lineRule="auto"/>
        <w:ind w:right="48"/>
        <w:jc w:val="left"/>
        <w:rPr>
          <w:bCs/>
          <w:sz w:val="24"/>
          <w:szCs w:val="24"/>
        </w:rPr>
      </w:pPr>
      <w:r>
        <w:rPr>
          <w:bCs/>
          <w:sz w:val="24"/>
          <w:szCs w:val="24"/>
        </w:rPr>
        <w:t>Specifies that electronic money tokens are treated as crypto-assets for this part.</w:t>
      </w:r>
    </w:p>
    <w:p w14:paraId="3DAC9808" w14:textId="44AAEAF2" w:rsidR="004A7A2A" w:rsidRPr="000C4031" w:rsidRDefault="004A7A2A" w:rsidP="000742F2">
      <w:pPr>
        <w:pStyle w:val="BodyText"/>
        <w:tabs>
          <w:tab w:val="left" w:pos="4783"/>
        </w:tabs>
        <w:spacing w:line="276" w:lineRule="auto"/>
        <w:ind w:right="48"/>
        <w:jc w:val="left"/>
        <w:rPr>
          <w:bCs/>
          <w:sz w:val="24"/>
          <w:szCs w:val="24"/>
        </w:rPr>
      </w:pPr>
      <w:r>
        <w:rPr>
          <w:bCs/>
          <w:sz w:val="24"/>
          <w:szCs w:val="24"/>
        </w:rPr>
        <w:t>Allows the Council of Ministers, based on risk assessment, to exempt domestic transfers to accounts that accept payments solely for goods/services, with traceability conditions and a threshold ≤ 1 000 EUR / 100 000 ALL.</w:t>
      </w:r>
    </w:p>
    <w:p w14:paraId="43FE199F" w14:textId="5E30235A"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3 – Definitions</w:t>
      </w:r>
    </w:p>
    <w:p w14:paraId="0B7FFB18" w14:textId="6C042D8A" w:rsidR="004A7A2A" w:rsidRPr="000C4031" w:rsidRDefault="004A7A2A" w:rsidP="000742F2">
      <w:pPr>
        <w:pStyle w:val="BodyText"/>
        <w:tabs>
          <w:tab w:val="left" w:pos="4783"/>
        </w:tabs>
        <w:spacing w:line="276" w:lineRule="auto"/>
        <w:ind w:right="48"/>
        <w:rPr>
          <w:bCs/>
          <w:sz w:val="24"/>
          <w:szCs w:val="24"/>
        </w:rPr>
      </w:pPr>
      <w:r>
        <w:rPr>
          <w:bCs/>
          <w:sz w:val="24"/>
          <w:szCs w:val="24"/>
        </w:rPr>
        <w:t>Provides the necessary operational “glossary”: PP/FT (with reference to the Penal Code), payer/payee, PSP and intermediary PSP, payment account, “funds/property”, “fund transfer” (with typical forms), “crypto-asset transfer” and technical terms (batch, unique identifier, P2P crypto, crypto-asset, CASP, intermediary CASP, crypto-ATM, DLT address, crypto account, self-hosted address, LEI, DLT). This article enables uniform application and avoids interpretative gaps.</w:t>
      </w:r>
    </w:p>
    <w:p w14:paraId="47D083F6" w14:textId="77777777"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CHAPTER II – Obligations of payment service providers</w:t>
      </w:r>
    </w:p>
    <w:p w14:paraId="6DF59656" w14:textId="54EBDF50"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4 – Information accompanying fund transfers</w:t>
      </w:r>
    </w:p>
    <w:p w14:paraId="59DC6EC4" w14:textId="77C90E5B" w:rsidR="004A7A2A" w:rsidRPr="000C4031" w:rsidRDefault="004A7A2A" w:rsidP="000742F2">
      <w:pPr>
        <w:pStyle w:val="BodyText"/>
        <w:tabs>
          <w:tab w:val="left" w:pos="4783"/>
        </w:tabs>
        <w:spacing w:line="276" w:lineRule="auto"/>
        <w:ind w:right="48"/>
        <w:rPr>
          <w:bCs/>
          <w:sz w:val="24"/>
          <w:szCs w:val="24"/>
        </w:rPr>
      </w:pPr>
      <w:r>
        <w:rPr>
          <w:bCs/>
          <w:sz w:val="24"/>
          <w:szCs w:val="24"/>
        </w:rPr>
        <w:t>Sets the “minimum dataset” of information that must accompany every transfer:</w:t>
      </w:r>
    </w:p>
    <w:p w14:paraId="1B03F78F" w14:textId="7738B104" w:rsidR="004A7A2A" w:rsidRPr="000C4031" w:rsidRDefault="004A7A2A" w:rsidP="000742F2">
      <w:pPr>
        <w:pStyle w:val="BodyText"/>
        <w:tabs>
          <w:tab w:val="left" w:pos="4783"/>
        </w:tabs>
        <w:spacing w:line="276" w:lineRule="auto"/>
        <w:ind w:right="48"/>
        <w:rPr>
          <w:bCs/>
          <w:sz w:val="24"/>
          <w:szCs w:val="24"/>
        </w:rPr>
      </w:pPr>
      <w:r>
        <w:rPr>
          <w:bCs/>
          <w:sz w:val="24"/>
          <w:szCs w:val="24"/>
        </w:rPr>
        <w:t>for the payer: name/surname, account, address + identifying element, and (where applicable) LEI/equivalent identifier.</w:t>
      </w:r>
    </w:p>
    <w:p w14:paraId="023CDAEE" w14:textId="77777777" w:rsidR="004A7A2A" w:rsidRPr="000C4031" w:rsidRDefault="004A7A2A" w:rsidP="000742F2">
      <w:pPr>
        <w:pStyle w:val="BodyText"/>
        <w:tabs>
          <w:tab w:val="left" w:pos="4783"/>
        </w:tabs>
        <w:spacing w:line="276" w:lineRule="auto"/>
        <w:ind w:right="48"/>
        <w:rPr>
          <w:bCs/>
          <w:sz w:val="24"/>
          <w:szCs w:val="24"/>
        </w:rPr>
      </w:pPr>
      <w:r>
        <w:rPr>
          <w:bCs/>
          <w:sz w:val="24"/>
          <w:szCs w:val="24"/>
        </w:rPr>
        <w:t>for the payee: name or designation, account, and (where applicable) LEI/equivalent identifier.</w:t>
      </w:r>
    </w:p>
    <w:p w14:paraId="73A795DA" w14:textId="77777777" w:rsidR="004A7A2A" w:rsidRPr="000C4031" w:rsidRDefault="004A7A2A" w:rsidP="000742F2">
      <w:pPr>
        <w:pStyle w:val="BodyText"/>
        <w:tabs>
          <w:tab w:val="left" w:pos="4783"/>
        </w:tabs>
        <w:spacing w:line="276" w:lineRule="auto"/>
        <w:ind w:right="48"/>
        <w:rPr>
          <w:bCs/>
          <w:sz w:val="24"/>
          <w:szCs w:val="24"/>
        </w:rPr>
      </w:pPr>
      <w:r>
        <w:rPr>
          <w:bCs/>
          <w:sz w:val="24"/>
          <w:szCs w:val="24"/>
        </w:rPr>
        <w:t>If there is no account (transfer without account), a unique transaction identifier is used.</w:t>
      </w:r>
    </w:p>
    <w:p w14:paraId="757384AC" w14:textId="363F92F7" w:rsidR="004A7A2A" w:rsidRPr="000C4031" w:rsidRDefault="004A7A2A" w:rsidP="000742F2">
      <w:pPr>
        <w:pStyle w:val="BodyText"/>
        <w:tabs>
          <w:tab w:val="left" w:pos="4783"/>
        </w:tabs>
        <w:spacing w:line="276" w:lineRule="auto"/>
        <w:ind w:right="48"/>
        <w:rPr>
          <w:bCs/>
          <w:sz w:val="24"/>
          <w:szCs w:val="24"/>
        </w:rPr>
      </w:pPr>
      <w:r>
        <w:rPr>
          <w:bCs/>
          <w:sz w:val="24"/>
          <w:szCs w:val="24"/>
        </w:rPr>
        <w:t>Requires verification of the accuracy of the data before execution, in accordance with AML/CFT rules, and prohibits execution without compliance (with the exceptions of Articles 5–6).</w:t>
      </w:r>
    </w:p>
    <w:p w14:paraId="3720B42B" w14:textId="77E2D973"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lastRenderedPageBreak/>
        <w:t>Article 5 – Domestic fund transfers</w:t>
      </w:r>
    </w:p>
    <w:p w14:paraId="7CAC93E2"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Facilitates requirements for “domestic” transfers when all PSPs in the chain operate in Albania: only the payer's and payee's account (or unique identifier) is sufficient.</w:t>
      </w:r>
    </w:p>
    <w:p w14:paraId="68C636E8" w14:textId="54BD055D" w:rsidR="004A7A2A" w:rsidRPr="000C4031" w:rsidRDefault="004A7A2A" w:rsidP="000742F2">
      <w:pPr>
        <w:pStyle w:val="BodyText"/>
        <w:tabs>
          <w:tab w:val="left" w:pos="4783"/>
        </w:tabs>
        <w:spacing w:line="276" w:lineRule="auto"/>
        <w:ind w:right="48"/>
        <w:jc w:val="left"/>
        <w:rPr>
          <w:bCs/>
          <w:sz w:val="24"/>
          <w:szCs w:val="24"/>
        </w:rPr>
      </w:pPr>
      <w:r>
        <w:rPr>
          <w:bCs/>
          <w:sz w:val="24"/>
          <w:szCs w:val="24"/>
        </w:rPr>
        <w:t>But it preserves the “traceability on request” mechanism: within 3 working days, the payer's PSP must provide additional data when requested, with thresholds:</w:t>
      </w:r>
    </w:p>
    <w:p w14:paraId="72FF4406" w14:textId="678AA8F7" w:rsidR="004A7A2A" w:rsidRPr="000C4031" w:rsidRDefault="004A7A2A" w:rsidP="000742F2">
      <w:pPr>
        <w:pStyle w:val="BodyText"/>
        <w:tabs>
          <w:tab w:val="left" w:pos="4783"/>
        </w:tabs>
        <w:spacing w:line="276" w:lineRule="auto"/>
        <w:ind w:right="48"/>
        <w:jc w:val="left"/>
        <w:rPr>
          <w:bCs/>
          <w:sz w:val="24"/>
          <w:szCs w:val="24"/>
        </w:rPr>
      </w:pPr>
      <w:r>
        <w:rPr>
          <w:bCs/>
          <w:sz w:val="24"/>
          <w:szCs w:val="24"/>
        </w:rPr>
        <w:t>over 1,000 EUR/100,000 lek: information pursuant to Article 4;</w:t>
      </w:r>
    </w:p>
    <w:p w14:paraId="45E18015"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 threshold: at least names and accounts/identifier.</w:t>
      </w:r>
    </w:p>
    <w:p w14:paraId="2983EE33" w14:textId="286142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Verification for small transfers is not required, except in cases of cash/anonymous electronic money or AML/CFT suspicions.</w:t>
      </w:r>
    </w:p>
    <w:p w14:paraId="095F3BEF" w14:textId="4D80ED83"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6 – Outbound fund transfers</w:t>
      </w:r>
    </w:p>
    <w:p w14:paraId="258AF15B"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Regulates “cross-border” transfers and especially batch transfers: allows that not every individual transfer must carry the entire set of data, as long as the batch contains the full set and each individual transfer maintains at least the account/unique identifier.</w:t>
      </w:r>
    </w:p>
    <w:p w14:paraId="39D9AC2D" w14:textId="3FF5EF5D" w:rsidR="004A7A2A" w:rsidRPr="000C4031" w:rsidRDefault="004A7A2A" w:rsidP="000742F2">
      <w:pPr>
        <w:pStyle w:val="BodyText"/>
        <w:tabs>
          <w:tab w:val="left" w:pos="4783"/>
        </w:tabs>
        <w:spacing w:line="276" w:lineRule="auto"/>
        <w:ind w:right="48"/>
        <w:jc w:val="left"/>
        <w:rPr>
          <w:bCs/>
          <w:sz w:val="24"/>
          <w:szCs w:val="24"/>
        </w:rPr>
      </w:pPr>
      <w:r>
        <w:rPr>
          <w:bCs/>
          <w:sz w:val="24"/>
          <w:szCs w:val="24"/>
        </w:rPr>
        <w:t>For small transfers (≤ 1,000 EUR/100,000 lek) from a PSP outside Albania, it requires at least names + accounts/identifier, and removes verification except for cases with cash/anonymity or suspicions.</w:t>
      </w:r>
    </w:p>
    <w:p w14:paraId="6EAEFED4" w14:textId="77777777"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Section 2 – Payee PSP</w:t>
      </w:r>
    </w:p>
    <w:p w14:paraId="3A9EF3CC" w14:textId="66249600"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7 – Identification of missing information</w:t>
      </w:r>
    </w:p>
    <w:p w14:paraId="7EFBB69E"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Obliges the payee PSP to have procedures in place to detect missing or unacceptable data formats (in messages/settlement system).</w:t>
      </w:r>
    </w:p>
    <w:p w14:paraId="3A58B963" w14:textId="79FAFCF1" w:rsidR="004A7A2A" w:rsidRPr="000C4031" w:rsidRDefault="004A7A2A" w:rsidP="000742F2">
      <w:pPr>
        <w:pStyle w:val="BodyText"/>
        <w:tabs>
          <w:tab w:val="left" w:pos="4783"/>
        </w:tabs>
        <w:spacing w:line="276" w:lineRule="auto"/>
        <w:ind w:right="48"/>
        <w:jc w:val="left"/>
        <w:rPr>
          <w:bCs/>
          <w:sz w:val="24"/>
          <w:szCs w:val="24"/>
        </w:rPr>
      </w:pPr>
      <w:r>
        <w:rPr>
          <w:bCs/>
          <w:sz w:val="24"/>
          <w:szCs w:val="24"/>
        </w:rPr>
        <w:t>It also requires verification of the payee for transfers over 1,000 EUR/100,000 lek before crediting; whereas for small transfers it restricts verification solely to cases of cash/anonymity or suspicions.</w:t>
      </w:r>
    </w:p>
    <w:p w14:paraId="63C0CF0E" w14:textId="249B6EEB"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8 – Handling of transfers with missing/incomplete information</w:t>
      </w:r>
    </w:p>
    <w:p w14:paraId="76D432A9"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Requires risk-based decision-making: the payee PSP either refuses the transfer, or requests the data prior to crediting/making funds available.</w:t>
      </w:r>
    </w:p>
    <w:p w14:paraId="69FB9E5E" w14:textId="070EF3D7" w:rsidR="004A7A2A" w:rsidRPr="000C4031" w:rsidRDefault="004A7A2A" w:rsidP="000742F2">
      <w:pPr>
        <w:pStyle w:val="BodyText"/>
        <w:tabs>
          <w:tab w:val="left" w:pos="4783"/>
        </w:tabs>
        <w:spacing w:line="276" w:lineRule="auto"/>
        <w:ind w:right="48"/>
        <w:jc w:val="left"/>
        <w:rPr>
          <w:bCs/>
          <w:sz w:val="24"/>
          <w:szCs w:val="24"/>
        </w:rPr>
      </w:pPr>
      <w:r>
        <w:rPr>
          <w:bCs/>
          <w:sz w:val="24"/>
          <w:szCs w:val="24"/>
        </w:rPr>
        <w:t>When another PSP “fails” repeatedly, the payee PSP must take gradual measures (warnings/deadlines) or directly refuse, and report the cases to the AML/CFT supervisory authority.</w:t>
      </w:r>
    </w:p>
    <w:p w14:paraId="51B8A4EA" w14:textId="2CC6A602"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9 – Assessment and reporting</w:t>
      </w:r>
    </w:p>
    <w:p w14:paraId="7146C684" w14:textId="63AD3F9E" w:rsidR="004A7A2A" w:rsidRPr="000C4031" w:rsidRDefault="004A7A2A" w:rsidP="000742F2">
      <w:pPr>
        <w:pStyle w:val="BodyText"/>
        <w:tabs>
          <w:tab w:val="left" w:pos="4783"/>
        </w:tabs>
        <w:spacing w:line="276" w:lineRule="auto"/>
        <w:ind w:right="48"/>
        <w:jc w:val="left"/>
        <w:rPr>
          <w:bCs/>
          <w:sz w:val="24"/>
          <w:szCs w:val="24"/>
        </w:rPr>
      </w:pPr>
      <w:r>
        <w:rPr>
          <w:bCs/>
          <w:sz w:val="24"/>
          <w:szCs w:val="24"/>
        </w:rPr>
        <w:t>It makes the absence/incompleteness of information a risk factor for AML/CFT suspicion and requires immediate reporting when suspicions arise.</w:t>
      </w:r>
    </w:p>
    <w:p w14:paraId="433AABAA" w14:textId="77777777"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Section 3 – Intermediary PSP</w:t>
      </w:r>
    </w:p>
    <w:p w14:paraId="58C21175" w14:textId="5BDB6953"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10 – Retention/transmission of information in the chain</w:t>
      </w:r>
    </w:p>
    <w:p w14:paraId="1EE3A5E6" w14:textId="3F3B668A" w:rsidR="004A7A2A" w:rsidRPr="000C4031" w:rsidRDefault="004A7A2A" w:rsidP="000742F2">
      <w:pPr>
        <w:pStyle w:val="BodyText"/>
        <w:tabs>
          <w:tab w:val="left" w:pos="4783"/>
        </w:tabs>
        <w:spacing w:line="276" w:lineRule="auto"/>
        <w:ind w:right="48"/>
        <w:jc w:val="left"/>
        <w:rPr>
          <w:bCs/>
          <w:sz w:val="24"/>
          <w:szCs w:val="24"/>
        </w:rPr>
      </w:pPr>
      <w:r>
        <w:rPr>
          <w:bCs/>
          <w:sz w:val="24"/>
          <w:szCs w:val="24"/>
        </w:rPr>
        <w:t>Requires that the information obtained on the payer/payee be transmitted and retained complete and unchanged throughout the entire payment chain (data integrity).</w:t>
      </w:r>
    </w:p>
    <w:p w14:paraId="6C647F6F" w14:textId="0B6483C0"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11 – Identification of missing information</w:t>
      </w:r>
    </w:p>
    <w:p w14:paraId="63D314E1" w14:textId="06672D24" w:rsidR="004A7A2A" w:rsidRPr="000C4031" w:rsidRDefault="004A7A2A" w:rsidP="000742F2">
      <w:pPr>
        <w:pStyle w:val="BodyText"/>
        <w:tabs>
          <w:tab w:val="left" w:pos="4783"/>
        </w:tabs>
        <w:spacing w:line="276" w:lineRule="auto"/>
        <w:ind w:right="48"/>
        <w:jc w:val="left"/>
        <w:rPr>
          <w:bCs/>
          <w:sz w:val="24"/>
          <w:szCs w:val="24"/>
        </w:rPr>
      </w:pPr>
      <w:r>
        <w:rPr>
          <w:bCs/>
          <w:sz w:val="24"/>
          <w:szCs w:val="24"/>
        </w:rPr>
        <w:t>Obliges the intermediary PSP to have controls for mandatory fields and to detect missing information according to scenarios: internal transfers, outward transfers, and batch transfers.</w:t>
      </w:r>
    </w:p>
    <w:p w14:paraId="0C6D82C1" w14:textId="2A1F1420"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12 – Handling of transfers with missing information</w:t>
      </w:r>
    </w:p>
    <w:p w14:paraId="3E5E7836" w14:textId="58EC9043" w:rsidR="004A7A2A" w:rsidRPr="000C4031" w:rsidRDefault="004A7A2A" w:rsidP="000742F2">
      <w:pPr>
        <w:pStyle w:val="BodyText"/>
        <w:tabs>
          <w:tab w:val="left" w:pos="4783"/>
        </w:tabs>
        <w:spacing w:line="276" w:lineRule="auto"/>
        <w:ind w:right="48"/>
        <w:jc w:val="left"/>
        <w:rPr>
          <w:bCs/>
          <w:sz w:val="24"/>
          <w:szCs w:val="24"/>
        </w:rPr>
      </w:pPr>
      <w:r>
        <w:rPr>
          <w:bCs/>
          <w:sz w:val="24"/>
          <w:szCs w:val="24"/>
        </w:rPr>
        <w:t>The same risk-based logic: refusal or request for information before/after execution; measures against repeat violators; reporting to the competent authority.</w:t>
      </w:r>
    </w:p>
    <w:p w14:paraId="4B610964" w14:textId="0553CC05"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13 – Assessment and reporting</w:t>
      </w:r>
    </w:p>
    <w:p w14:paraId="64B22D5F"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 xml:space="preserve">It turns the absence of information into a risk indicator and establishes the obligation of </w:t>
      </w:r>
      <w:r>
        <w:rPr>
          <w:bCs/>
          <w:sz w:val="24"/>
          <w:szCs w:val="24"/>
        </w:rPr>
        <w:lastRenderedPageBreak/>
        <w:t>AML/CFT reporting when suspicion arises.</w:t>
      </w:r>
    </w:p>
    <w:p w14:paraId="228392DE" w14:textId="77777777" w:rsidR="004A7A2A" w:rsidRPr="000C4031" w:rsidRDefault="004A7A2A" w:rsidP="000742F2">
      <w:pPr>
        <w:pStyle w:val="BodyText"/>
        <w:tabs>
          <w:tab w:val="left" w:pos="4783"/>
        </w:tabs>
        <w:spacing w:line="276" w:lineRule="auto"/>
        <w:ind w:right="48"/>
        <w:jc w:val="left"/>
        <w:rPr>
          <w:bCs/>
          <w:sz w:val="24"/>
          <w:szCs w:val="24"/>
        </w:rPr>
      </w:pPr>
    </w:p>
    <w:p w14:paraId="2CA62411" w14:textId="77777777"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CHAPTER III – Obligations of crypto-asset service providers (CASP)</w:t>
      </w:r>
    </w:p>
    <w:p w14:paraId="4C373878" w14:textId="7AC69EB9"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14 – Information accompanying crypto-asset transfers</w:t>
      </w:r>
    </w:p>
    <w:p w14:paraId="7D7E323A"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Establishes the “travel rule” for crypto: information on the payer and payee (names, DLT/crypto account addresses, address + identification elements, NUIS where applicable).</w:t>
      </w:r>
    </w:p>
    <w:p w14:paraId="6D59C4B7"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Provides for secure transmission before or during the transfer, and clarifies that the information does not necessarily have to be entered in the DLT transaction itself, as long as it is available to the authorities.</w:t>
      </w:r>
    </w:p>
    <w:p w14:paraId="27DCA52E"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Creates a special regime for self-hosted addresses: collection/retention of data and, above 1 000 EUR/100 000 lek, measures to assess whether the address is controlled by the payer.</w:t>
      </w:r>
    </w:p>
    <w:p w14:paraId="56B9A38F"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Establishes verification of accuracy prior to the transfer and prohibits initiation without compliance.</w:t>
      </w:r>
    </w:p>
    <w:p w14:paraId="2AC49A97" w14:textId="77777777" w:rsidR="004A7A2A" w:rsidRPr="000C4031" w:rsidRDefault="004A7A2A" w:rsidP="000742F2">
      <w:pPr>
        <w:pStyle w:val="BodyText"/>
        <w:tabs>
          <w:tab w:val="left" w:pos="4783"/>
        </w:tabs>
        <w:spacing w:line="276" w:lineRule="auto"/>
        <w:ind w:right="48"/>
        <w:jc w:val="left"/>
        <w:rPr>
          <w:bCs/>
          <w:sz w:val="24"/>
          <w:szCs w:val="24"/>
        </w:rPr>
      </w:pPr>
    </w:p>
    <w:p w14:paraId="5678B0E9" w14:textId="30C42747" w:rsidR="004A7A2A" w:rsidRPr="000C4031" w:rsidRDefault="004A7A2A" w:rsidP="000742F2">
      <w:pPr>
        <w:pStyle w:val="BodyText"/>
        <w:tabs>
          <w:tab w:val="left" w:pos="4783"/>
        </w:tabs>
        <w:spacing w:line="276" w:lineRule="auto"/>
        <w:ind w:right="48"/>
        <w:jc w:val="left"/>
        <w:rPr>
          <w:bCs/>
          <w:sz w:val="24"/>
          <w:szCs w:val="24"/>
        </w:rPr>
      </w:pPr>
      <w:r>
        <w:rPr>
          <w:bCs/>
          <w:sz w:val="24"/>
          <w:szCs w:val="24"/>
        </w:rPr>
        <w:t>Article 15 – Batch transfers of crypto-assets</w:t>
      </w:r>
    </w:p>
    <w:p w14:paraId="631B3582" w14:textId="15A6D2E0" w:rsidR="004A7A2A" w:rsidRPr="000C4031" w:rsidRDefault="004A7A2A" w:rsidP="000742F2">
      <w:pPr>
        <w:pStyle w:val="BodyText"/>
        <w:tabs>
          <w:tab w:val="left" w:pos="4783"/>
        </w:tabs>
        <w:spacing w:line="276" w:lineRule="auto"/>
        <w:ind w:right="48"/>
        <w:jc w:val="left"/>
        <w:rPr>
          <w:bCs/>
          <w:sz w:val="24"/>
          <w:szCs w:val="24"/>
        </w:rPr>
      </w:pPr>
      <w:r>
        <w:rPr>
          <w:bCs/>
          <w:sz w:val="24"/>
          <w:szCs w:val="24"/>
        </w:rPr>
        <w:t>Allows batching: not every individual transfer needs to carry the full set, as long as the batch transfer contains the complete set and each individual transfer has the identifier/minimum traceability elements (address/account/ID).</w:t>
      </w:r>
    </w:p>
    <w:p w14:paraId="25E0A474" w14:textId="77777777"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Section 2 – Beneficiary CASP</w:t>
      </w:r>
    </w:p>
    <w:p w14:paraId="6273583A" w14:textId="7023A33C"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16 – Identification of missing information and verification</w:t>
      </w:r>
    </w:p>
    <w:p w14:paraId="7E0C98DC"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Requires procedures to detect whether the data of Article 14 have been provided.</w:t>
      </w:r>
    </w:p>
    <w:p w14:paraId="4451306D"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For transfers from/to self-hosted addresses, requires collection and retention of data and, above the threshold, assessment of ownership/control of the address by the beneficiary.</w:t>
      </w:r>
    </w:p>
    <w:p w14:paraId="2B177D6F" w14:textId="31C83F78" w:rsidR="004A7A2A" w:rsidRPr="000C4031" w:rsidRDefault="004A7A2A" w:rsidP="000742F2">
      <w:pPr>
        <w:pStyle w:val="BodyText"/>
        <w:tabs>
          <w:tab w:val="left" w:pos="4783"/>
        </w:tabs>
        <w:spacing w:line="276" w:lineRule="auto"/>
        <w:ind w:right="48"/>
        <w:jc w:val="left"/>
        <w:rPr>
          <w:bCs/>
          <w:sz w:val="24"/>
          <w:szCs w:val="24"/>
        </w:rPr>
      </w:pPr>
      <w:r>
        <w:rPr>
          <w:bCs/>
          <w:sz w:val="24"/>
          <w:szCs w:val="24"/>
        </w:rPr>
        <w:t>Prior to making crypto-assets available, requires verification of the beneficiary, using the same “verification completed” logic as in AML/CFT.</w:t>
      </w:r>
    </w:p>
    <w:p w14:paraId="42CEE63E" w14:textId="4827DA1F"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17 – Handling of transfers with missing/incomplete information</w:t>
      </w:r>
    </w:p>
    <w:p w14:paraId="1663B969"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Sets the options: execution/refusal/return/suspension, using a risk-based logic.</w:t>
      </w:r>
    </w:p>
    <w:p w14:paraId="0ACC9F4E"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In the absence of information, the beneficiary CASP either refuses/returns the assets, or requests information before making them available.</w:t>
      </w:r>
    </w:p>
    <w:p w14:paraId="3E24D27A" w14:textId="6A37B3A3" w:rsidR="004A7A2A" w:rsidRPr="000C4031" w:rsidRDefault="004A7A2A" w:rsidP="000742F2">
      <w:pPr>
        <w:pStyle w:val="BodyText"/>
        <w:tabs>
          <w:tab w:val="left" w:pos="4783"/>
        </w:tabs>
        <w:spacing w:line="276" w:lineRule="auto"/>
        <w:ind w:right="48"/>
        <w:jc w:val="left"/>
        <w:rPr>
          <w:bCs/>
          <w:sz w:val="24"/>
          <w:szCs w:val="24"/>
        </w:rPr>
      </w:pPr>
      <w:r>
        <w:rPr>
          <w:bCs/>
          <w:sz w:val="24"/>
          <w:szCs w:val="24"/>
        </w:rPr>
        <w:t>When the violation is repeated, provides for gradual measures or refusal/termination of the relationship, plus reporting to the supervisory authority.</w:t>
      </w:r>
    </w:p>
    <w:p w14:paraId="3C66F24F" w14:textId="75F35445"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18 – Assessment and reporting</w:t>
      </w:r>
    </w:p>
    <w:p w14:paraId="546A91D8"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Makes the absence/incompleteness a risk factor and requires AML/CFT reporting when suspicion arises.</w:t>
      </w:r>
    </w:p>
    <w:p w14:paraId="176A00CF" w14:textId="77777777" w:rsidR="004A7A2A" w:rsidRPr="000C4031" w:rsidRDefault="004A7A2A" w:rsidP="000742F2">
      <w:pPr>
        <w:pStyle w:val="BodyText"/>
        <w:tabs>
          <w:tab w:val="left" w:pos="4783"/>
        </w:tabs>
        <w:spacing w:line="276" w:lineRule="auto"/>
        <w:ind w:right="48"/>
        <w:jc w:val="left"/>
        <w:rPr>
          <w:bCs/>
          <w:sz w:val="24"/>
          <w:szCs w:val="24"/>
        </w:rPr>
      </w:pPr>
    </w:p>
    <w:p w14:paraId="58ADC9E8" w14:textId="77777777"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Section 3 – Intermediary CASP</w:t>
      </w:r>
    </w:p>
    <w:p w14:paraId="74E8688E" w14:textId="12F4D607"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19 – Retention of information on-chain</w:t>
      </w:r>
    </w:p>
    <w:p w14:paraId="04172DF5" w14:textId="02C123CC" w:rsidR="004A7A2A" w:rsidRPr="000C4031" w:rsidRDefault="004A7A2A" w:rsidP="000742F2">
      <w:pPr>
        <w:pStyle w:val="BodyText"/>
        <w:tabs>
          <w:tab w:val="left" w:pos="4783"/>
        </w:tabs>
        <w:spacing w:line="276" w:lineRule="auto"/>
        <w:ind w:right="48"/>
        <w:jc w:val="left"/>
        <w:rPr>
          <w:bCs/>
          <w:sz w:val="24"/>
          <w:szCs w:val="24"/>
        </w:rPr>
      </w:pPr>
      <w:r>
        <w:rPr>
          <w:bCs/>
          <w:sz w:val="24"/>
          <w:szCs w:val="24"/>
        </w:rPr>
        <w:t>Requires that the data be transmitted together with the transfer, be retained, and be made available to the authorities when requested.</w:t>
      </w:r>
    </w:p>
    <w:p w14:paraId="39E91872" w14:textId="55C380DD"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20 – Identification of missing information</w:t>
      </w:r>
    </w:p>
    <w:p w14:paraId="5EFB0576" w14:textId="11303DD7" w:rsidR="004A7A2A" w:rsidRPr="000C4031" w:rsidRDefault="004A7A2A" w:rsidP="000742F2">
      <w:pPr>
        <w:pStyle w:val="BodyText"/>
        <w:tabs>
          <w:tab w:val="left" w:pos="4783"/>
        </w:tabs>
        <w:spacing w:line="276" w:lineRule="auto"/>
        <w:ind w:right="48"/>
        <w:jc w:val="left"/>
        <w:rPr>
          <w:bCs/>
          <w:sz w:val="24"/>
          <w:szCs w:val="24"/>
        </w:rPr>
      </w:pPr>
      <w:r>
        <w:rPr>
          <w:bCs/>
          <w:sz w:val="24"/>
          <w:szCs w:val="24"/>
        </w:rPr>
        <w:t>Requires monitoring/procedures to detect the absence of key elements (a, b, c of Article 14) even in cases with self-hosted addresses.</w:t>
      </w:r>
    </w:p>
    <w:p w14:paraId="2233B884" w14:textId="48339293"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21 – Treatment of transfers with missing information</w:t>
      </w:r>
    </w:p>
    <w:p w14:paraId="1E879C1F" w14:textId="086E794D" w:rsidR="004A7A2A" w:rsidRPr="000C4031" w:rsidRDefault="004A7A2A" w:rsidP="000742F2">
      <w:pPr>
        <w:pStyle w:val="BodyText"/>
        <w:tabs>
          <w:tab w:val="left" w:pos="4783"/>
        </w:tabs>
        <w:spacing w:line="276" w:lineRule="auto"/>
        <w:ind w:right="48"/>
        <w:jc w:val="left"/>
        <w:rPr>
          <w:bCs/>
          <w:sz w:val="24"/>
          <w:szCs w:val="24"/>
        </w:rPr>
      </w:pPr>
      <w:r>
        <w:rPr>
          <w:bCs/>
          <w:sz w:val="24"/>
          <w:szCs w:val="24"/>
        </w:rPr>
        <w:t xml:space="preserve">Risk-based: refusal/return or request for information before finalization; measures against </w:t>
      </w:r>
      <w:r>
        <w:rPr>
          <w:bCs/>
          <w:sz w:val="24"/>
          <w:szCs w:val="24"/>
        </w:rPr>
        <w:lastRenderedPageBreak/>
        <w:t>repeat offenders; reporting to the competent authority.</w:t>
      </w:r>
    </w:p>
    <w:p w14:paraId="7E6DB55B" w14:textId="7D8AE7A4"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22 – Assessment and reporting</w:t>
      </w:r>
    </w:p>
    <w:p w14:paraId="32F42FF5" w14:textId="0AD9BD71" w:rsidR="004A7A2A" w:rsidRPr="000C4031" w:rsidRDefault="004A7A2A" w:rsidP="000742F2">
      <w:pPr>
        <w:pStyle w:val="BodyText"/>
        <w:tabs>
          <w:tab w:val="left" w:pos="4783"/>
        </w:tabs>
        <w:spacing w:line="276" w:lineRule="auto"/>
        <w:ind w:right="48"/>
        <w:jc w:val="left"/>
        <w:rPr>
          <w:bCs/>
          <w:sz w:val="24"/>
          <w:szCs w:val="24"/>
        </w:rPr>
      </w:pPr>
      <w:r>
        <w:rPr>
          <w:bCs/>
          <w:sz w:val="24"/>
          <w:szCs w:val="24"/>
        </w:rPr>
        <w:t>The same logic: absence of information as a risk indicator and AML/CFT reporting when there are suspicions.</w:t>
      </w:r>
    </w:p>
    <w:p w14:paraId="4B8B50B2" w14:textId="77777777" w:rsidR="00AF7503" w:rsidRPr="000C4031" w:rsidRDefault="00AF7503" w:rsidP="000742F2">
      <w:pPr>
        <w:pStyle w:val="BodyText"/>
        <w:tabs>
          <w:tab w:val="left" w:pos="4783"/>
        </w:tabs>
        <w:spacing w:line="276" w:lineRule="auto"/>
        <w:ind w:right="48"/>
        <w:jc w:val="left"/>
        <w:rPr>
          <w:b/>
          <w:bCs/>
          <w:sz w:val="24"/>
          <w:szCs w:val="24"/>
        </w:rPr>
      </w:pPr>
    </w:p>
    <w:p w14:paraId="5CE0917C" w14:textId="4DD6FBEB"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CHAPTER IV – Common measures</w:t>
      </w:r>
    </w:p>
    <w:p w14:paraId="07F05242" w14:textId="54E58167"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23 – Policies/procedures/controls for restrictive measures</w:t>
      </w:r>
    </w:p>
    <w:p w14:paraId="24B7DCA4" w14:textId="64D99944" w:rsidR="004A7A2A" w:rsidRPr="000C4031" w:rsidRDefault="004A7A2A" w:rsidP="000742F2">
      <w:pPr>
        <w:pStyle w:val="BodyText"/>
        <w:tabs>
          <w:tab w:val="left" w:pos="4783"/>
        </w:tabs>
        <w:spacing w:line="276" w:lineRule="auto"/>
        <w:ind w:right="48"/>
        <w:rPr>
          <w:bCs/>
          <w:sz w:val="24"/>
          <w:szCs w:val="24"/>
        </w:rPr>
      </w:pPr>
      <w:r>
        <w:rPr>
          <w:bCs/>
          <w:sz w:val="24"/>
          <w:szCs w:val="24"/>
        </w:rPr>
        <w:t>Requires PSP and CASP to have internal compliance architecture for sanctions/restrictive measures during transfers. The supervisory authority issues minimum requirements (bylaws/guidelines).</w:t>
      </w:r>
    </w:p>
    <w:p w14:paraId="3C983BE5" w14:textId="77777777"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CHAPTER V – Information, protection and retention of data</w:t>
      </w:r>
    </w:p>
    <w:p w14:paraId="78ECC7F6" w14:textId="03A22BF5"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24 – Provision of information</w:t>
      </w:r>
    </w:p>
    <w:p w14:paraId="1C03E4D2" w14:textId="5E455591" w:rsidR="004A7A2A" w:rsidRPr="000C4031" w:rsidRDefault="004A7A2A" w:rsidP="000742F2">
      <w:pPr>
        <w:pStyle w:val="BodyText"/>
        <w:tabs>
          <w:tab w:val="left" w:pos="4783"/>
        </w:tabs>
        <w:spacing w:line="276" w:lineRule="auto"/>
        <w:ind w:right="48"/>
        <w:jc w:val="left"/>
        <w:rPr>
          <w:bCs/>
          <w:sz w:val="24"/>
          <w:szCs w:val="24"/>
        </w:rPr>
      </w:pPr>
      <w:r>
        <w:rPr>
          <w:bCs/>
          <w:sz w:val="24"/>
          <w:szCs w:val="24"/>
        </w:rPr>
        <w:t>Establishes the obligation to respond fully and without delay to requests from competent authorities; allows the use of a central contact point when it exists; requires compliance with legal procedures.</w:t>
      </w:r>
    </w:p>
    <w:p w14:paraId="068ECAA0" w14:textId="7F7CF9D1"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25 – Data protection</w:t>
      </w:r>
    </w:p>
    <w:p w14:paraId="2EC84B1D" w14:textId="4686EF8C" w:rsidR="004A7A2A" w:rsidRPr="000C4031" w:rsidRDefault="004A7A2A" w:rsidP="000742F2">
      <w:pPr>
        <w:pStyle w:val="BodyText"/>
        <w:tabs>
          <w:tab w:val="left" w:pos="4783"/>
        </w:tabs>
        <w:spacing w:line="276" w:lineRule="auto"/>
        <w:ind w:right="48"/>
        <w:jc w:val="left"/>
        <w:rPr>
          <w:bCs/>
          <w:sz w:val="24"/>
          <w:szCs w:val="24"/>
        </w:rPr>
      </w:pPr>
      <w:r>
        <w:rPr>
          <w:bCs/>
          <w:sz w:val="24"/>
          <w:szCs w:val="24"/>
        </w:rPr>
        <w:t>Establishes the “privacy + AML” framework: processing according to the law on personal data; principles of proportionality, minimization, integrity/confidentiality; prohibition of commercial use; transparency to new clients; ensures that data transmission in transfer is in accordance with the law.</w:t>
      </w:r>
    </w:p>
    <w:p w14:paraId="09AB0C9E" w14:textId="7888C062"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26 – Retention of information</w:t>
      </w:r>
    </w:p>
    <w:p w14:paraId="020FB3A9"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Establishes the standard period: 5 years retention for key information (PSP: Articles 4–7; CASP: Articles 14–16).</w:t>
      </w:r>
    </w:p>
    <w:p w14:paraId="2F6C1EF5"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After the deadline: deletion or anonymisation.</w:t>
      </w:r>
    </w:p>
    <w:p w14:paraId="61EC5833"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Allows extension only when expressly provided and it is necessary/proportionate, with an additional limit of up to 5 years.</w:t>
      </w:r>
    </w:p>
    <w:p w14:paraId="04569F7D" w14:textId="7F5E1350" w:rsidR="004A7A2A" w:rsidRPr="000C4031" w:rsidRDefault="004A7A2A" w:rsidP="000742F2">
      <w:pPr>
        <w:pStyle w:val="BodyText"/>
        <w:tabs>
          <w:tab w:val="left" w:pos="4783"/>
        </w:tabs>
        <w:spacing w:line="276" w:lineRule="auto"/>
        <w:ind w:right="48"/>
        <w:jc w:val="left"/>
        <w:rPr>
          <w:bCs/>
          <w:sz w:val="24"/>
          <w:szCs w:val="24"/>
        </w:rPr>
      </w:pPr>
      <w:r>
        <w:rPr>
          <w:bCs/>
          <w:sz w:val="24"/>
          <w:szCs w:val="24"/>
        </w:rPr>
        <w:t>In investigations/judicial proceedings: allows retention until the conclusion of the procedures, within the specified limits.</w:t>
      </w:r>
    </w:p>
    <w:p w14:paraId="1ABE5560" w14:textId="31495A60"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27 – Cooperation between authorities</w:t>
      </w:r>
    </w:p>
    <w:p w14:paraId="692D6071" w14:textId="40C5CD34" w:rsidR="004A7A2A" w:rsidRPr="000C4031" w:rsidRDefault="004A7A2A" w:rsidP="000742F2">
      <w:pPr>
        <w:pStyle w:val="BodyText"/>
        <w:tabs>
          <w:tab w:val="left" w:pos="4783"/>
        </w:tabs>
        <w:spacing w:line="276" w:lineRule="auto"/>
        <w:ind w:right="48"/>
        <w:jc w:val="left"/>
        <w:rPr>
          <w:bCs/>
          <w:sz w:val="24"/>
          <w:szCs w:val="24"/>
        </w:rPr>
      </w:pPr>
      <w:r>
        <w:rPr>
          <w:bCs/>
          <w:sz w:val="24"/>
          <w:szCs w:val="24"/>
        </w:rPr>
        <w:t>Frames the exchange of information domestically and internationally: only in accordance with AML/CFT, data protection, and ratified international agreements.</w:t>
      </w:r>
    </w:p>
    <w:p w14:paraId="0CD9BEFF" w14:textId="77777777"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CHAPTER VI – Sanctions and monitoring</w:t>
      </w:r>
    </w:p>
    <w:p w14:paraId="27AA81A3" w14:textId="7E12FEC1"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28 – Sanctions and administrative measures</w:t>
      </w:r>
    </w:p>
    <w:p w14:paraId="533C13DE" w14:textId="77777777" w:rsidR="004A7A2A" w:rsidRPr="000C4031" w:rsidRDefault="004A7A2A" w:rsidP="000742F2">
      <w:pPr>
        <w:pStyle w:val="BodyText"/>
        <w:tabs>
          <w:tab w:val="left" w:pos="4783"/>
        </w:tabs>
        <w:spacing w:line="276" w:lineRule="auto"/>
        <w:ind w:right="48"/>
        <w:jc w:val="left"/>
        <w:rPr>
          <w:bCs/>
          <w:sz w:val="24"/>
          <w:szCs w:val="24"/>
        </w:rPr>
      </w:pPr>
      <w:r>
        <w:rPr>
          <w:bCs/>
          <w:sz w:val="24"/>
          <w:szCs w:val="24"/>
        </w:rPr>
        <w:t>Sanctions are imposed by the supervisory authorities when the infringements are not criminal, pursuant to AML/CFT legislation; they may also be applied to senior management/responsible individuals.</w:t>
      </w:r>
    </w:p>
    <w:p w14:paraId="37B3D97C" w14:textId="30EAF500" w:rsidR="004A7A2A" w:rsidRPr="000C4031" w:rsidRDefault="004A7A2A" w:rsidP="000742F2">
      <w:pPr>
        <w:pStyle w:val="BodyText"/>
        <w:tabs>
          <w:tab w:val="left" w:pos="4783"/>
        </w:tabs>
        <w:spacing w:line="276" w:lineRule="auto"/>
        <w:ind w:right="48"/>
        <w:jc w:val="left"/>
        <w:rPr>
          <w:bCs/>
          <w:sz w:val="24"/>
          <w:szCs w:val="24"/>
        </w:rPr>
      </w:pPr>
      <w:r>
        <w:rPr>
          <w:bCs/>
          <w:sz w:val="24"/>
          <w:szCs w:val="24"/>
        </w:rPr>
        <w:t>Provides for coordination among authorities, liability of legal persons, and modes of exercising powers (directly, cooperation, delegation, or through the court).</w:t>
      </w:r>
    </w:p>
    <w:p w14:paraId="07F9A86E" w14:textId="661CE891"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29 – Specific provisions</w:t>
      </w:r>
    </w:p>
    <w:p w14:paraId="33C1CC40" w14:textId="39C42A86" w:rsidR="004A7A2A" w:rsidRPr="000C4031" w:rsidRDefault="004A7A2A" w:rsidP="000742F2">
      <w:pPr>
        <w:pStyle w:val="BodyText"/>
        <w:tabs>
          <w:tab w:val="left" w:pos="4783"/>
        </w:tabs>
        <w:spacing w:line="276" w:lineRule="auto"/>
        <w:ind w:right="48"/>
        <w:jc w:val="left"/>
        <w:rPr>
          <w:bCs/>
          <w:sz w:val="24"/>
          <w:szCs w:val="24"/>
        </w:rPr>
      </w:pPr>
      <w:r>
        <w:rPr>
          <w:bCs/>
          <w:sz w:val="24"/>
          <w:szCs w:val="24"/>
        </w:rPr>
        <w:t>Lists typical violations requiring effective/proportionate/preventive measures:</w:t>
      </w:r>
    </w:p>
    <w:p w14:paraId="31C55CE6" w14:textId="35A02CA0" w:rsidR="004A7A2A" w:rsidRPr="000C4031" w:rsidRDefault="004A7A2A" w:rsidP="000742F2">
      <w:pPr>
        <w:pStyle w:val="BodyText"/>
        <w:tabs>
          <w:tab w:val="left" w:pos="4783"/>
        </w:tabs>
        <w:spacing w:line="276" w:lineRule="auto"/>
        <w:ind w:right="48"/>
        <w:jc w:val="left"/>
        <w:rPr>
          <w:bCs/>
          <w:sz w:val="24"/>
          <w:szCs w:val="24"/>
        </w:rPr>
      </w:pPr>
      <w:r>
        <w:rPr>
          <w:bCs/>
          <w:sz w:val="24"/>
          <w:szCs w:val="24"/>
        </w:rPr>
        <w:t>repeated/systematic non-implementation of the obligation of “accompanying with information” (PSP/CASP);</w:t>
      </w:r>
    </w:p>
    <w:p w14:paraId="6D844540" w14:textId="5CDCB6B6" w:rsidR="004A7A2A" w:rsidRPr="000C4031" w:rsidRDefault="004A7A2A" w:rsidP="000742F2">
      <w:pPr>
        <w:pStyle w:val="BodyText"/>
        <w:tabs>
          <w:tab w:val="left" w:pos="4783"/>
        </w:tabs>
        <w:spacing w:line="276" w:lineRule="auto"/>
        <w:ind w:right="48"/>
        <w:jc w:val="left"/>
        <w:rPr>
          <w:bCs/>
          <w:sz w:val="24"/>
          <w:szCs w:val="24"/>
        </w:rPr>
      </w:pPr>
      <w:r>
        <w:rPr>
          <w:bCs/>
          <w:sz w:val="24"/>
          <w:szCs w:val="24"/>
        </w:rPr>
        <w:t>non-retention of data;</w:t>
      </w:r>
    </w:p>
    <w:p w14:paraId="68E79A26" w14:textId="1A5A53FD" w:rsidR="004A7A2A" w:rsidRPr="000C4031" w:rsidRDefault="004A7A2A" w:rsidP="000742F2">
      <w:pPr>
        <w:pStyle w:val="BodyText"/>
        <w:tabs>
          <w:tab w:val="left" w:pos="4783"/>
        </w:tabs>
        <w:spacing w:line="276" w:lineRule="auto"/>
        <w:ind w:right="48"/>
        <w:jc w:val="left"/>
        <w:rPr>
          <w:bCs/>
          <w:sz w:val="24"/>
          <w:szCs w:val="24"/>
        </w:rPr>
      </w:pPr>
      <w:r>
        <w:rPr>
          <w:bCs/>
          <w:sz w:val="24"/>
          <w:szCs w:val="24"/>
        </w:rPr>
        <w:t>non-implementation of risk-based procedures (refusal/suspension/return);</w:t>
      </w:r>
    </w:p>
    <w:p w14:paraId="73D1404E" w14:textId="1654CBA8" w:rsidR="004A7A2A" w:rsidRPr="000C4031" w:rsidRDefault="004A7A2A" w:rsidP="000742F2">
      <w:pPr>
        <w:pStyle w:val="BodyText"/>
        <w:tabs>
          <w:tab w:val="left" w:pos="4783"/>
        </w:tabs>
        <w:spacing w:line="276" w:lineRule="auto"/>
        <w:ind w:right="48"/>
        <w:jc w:val="left"/>
        <w:rPr>
          <w:bCs/>
          <w:sz w:val="24"/>
          <w:szCs w:val="24"/>
        </w:rPr>
      </w:pPr>
      <w:r>
        <w:rPr>
          <w:bCs/>
          <w:sz w:val="24"/>
          <w:szCs w:val="24"/>
        </w:rPr>
        <w:lastRenderedPageBreak/>
        <w:t>serious cases at intermediaries (PSP/CASP).</w:t>
      </w:r>
    </w:p>
    <w:p w14:paraId="4979C7CF" w14:textId="4E15AF17"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30 – Publication of sanctions</w:t>
      </w:r>
    </w:p>
    <w:p w14:paraId="0C3C4EDB" w14:textId="24F07A63" w:rsidR="004A7A2A" w:rsidRPr="000C4031" w:rsidRDefault="004A7A2A" w:rsidP="000742F2">
      <w:pPr>
        <w:pStyle w:val="BodyText"/>
        <w:tabs>
          <w:tab w:val="left" w:pos="4783"/>
        </w:tabs>
        <w:spacing w:line="276" w:lineRule="auto"/>
        <w:ind w:right="48"/>
        <w:jc w:val="left"/>
        <w:rPr>
          <w:bCs/>
          <w:sz w:val="24"/>
          <w:szCs w:val="24"/>
        </w:rPr>
      </w:pPr>
      <w:r>
        <w:rPr>
          <w:bCs/>
          <w:sz w:val="24"/>
          <w:szCs w:val="24"/>
        </w:rPr>
        <w:t>Establishes the principle of transparency: immediate publication of measures/sanctions, including elements regarding the infringement and, when necessary and proportionate, also the identity of the responsible parties (case-by-case assessment).</w:t>
      </w:r>
    </w:p>
    <w:p w14:paraId="0E84229C" w14:textId="5717D295"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31 – Enforcement of sanctions</w:t>
      </w:r>
    </w:p>
    <w:p w14:paraId="240F98B2" w14:textId="3893F238" w:rsidR="004A7A2A" w:rsidRPr="000C4031" w:rsidRDefault="004A7A2A" w:rsidP="000742F2">
      <w:pPr>
        <w:pStyle w:val="BodyText"/>
        <w:tabs>
          <w:tab w:val="left" w:pos="4783"/>
        </w:tabs>
        <w:spacing w:line="276" w:lineRule="auto"/>
        <w:ind w:right="48"/>
        <w:jc w:val="left"/>
        <w:rPr>
          <w:bCs/>
          <w:sz w:val="24"/>
          <w:szCs w:val="24"/>
        </w:rPr>
      </w:pPr>
      <w:r>
        <w:rPr>
          <w:bCs/>
          <w:sz w:val="24"/>
          <w:szCs w:val="24"/>
        </w:rPr>
        <w:t>Defines general criteria for the type/amount of sanction, rules for publication (proportionality, personal data, professional secrecy), and enforcement pursuant to legislation on administrative offences.</w:t>
      </w:r>
    </w:p>
    <w:p w14:paraId="0D0DA3A2" w14:textId="47F674F8"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32 – Reporting of violations</w:t>
      </w:r>
    </w:p>
    <w:p w14:paraId="614045BD" w14:textId="6DDBBF26" w:rsidR="004A7A2A" w:rsidRPr="000C4031" w:rsidRDefault="004A7A2A" w:rsidP="000742F2">
      <w:pPr>
        <w:pStyle w:val="BodyText"/>
        <w:tabs>
          <w:tab w:val="left" w:pos="4783"/>
        </w:tabs>
        <w:spacing w:line="276" w:lineRule="auto"/>
        <w:ind w:right="48"/>
        <w:jc w:val="left"/>
        <w:rPr>
          <w:bCs/>
          <w:sz w:val="24"/>
          <w:szCs w:val="24"/>
        </w:rPr>
      </w:pPr>
      <w:r>
        <w:rPr>
          <w:bCs/>
          <w:sz w:val="24"/>
          <w:szCs w:val="24"/>
        </w:rPr>
        <w:t>Requires “whistleblowing” mechanisms: authorities establish channels for confidential reporting and protection from retaliation; entities adopt internal procedures, secure and independent channels, as well as anonymous reporting where appropriate, in accordance with the law on whistleblowers and personal data.</w:t>
      </w:r>
    </w:p>
    <w:p w14:paraId="6342B849" w14:textId="54F23BF0"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33 – Monitoring</w:t>
      </w:r>
    </w:p>
    <w:p w14:paraId="7628DBBE" w14:textId="425A08F2" w:rsidR="004A7A2A" w:rsidRPr="000C4031" w:rsidRDefault="004A7A2A" w:rsidP="000742F2">
      <w:pPr>
        <w:pStyle w:val="BodyText"/>
        <w:tabs>
          <w:tab w:val="left" w:pos="4783"/>
        </w:tabs>
        <w:spacing w:line="276" w:lineRule="auto"/>
        <w:ind w:right="48"/>
        <w:jc w:val="left"/>
        <w:rPr>
          <w:bCs/>
          <w:sz w:val="24"/>
          <w:szCs w:val="24"/>
        </w:rPr>
      </w:pPr>
      <w:r>
        <w:rPr>
          <w:bCs/>
          <w:sz w:val="24"/>
          <w:szCs w:val="24"/>
        </w:rPr>
        <w:t>Establishes continuous monitoring by supervisory authorities and corrective measures; promotes the reporting of violations; requires a periodic report on implementation at least every 3 years, with analysis of cross-border cases where applicable.</w:t>
      </w:r>
    </w:p>
    <w:p w14:paraId="188305AE" w14:textId="77777777"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CHAPTER VII – Enforcement powers</w:t>
      </w:r>
    </w:p>
    <w:p w14:paraId="71B7A400" w14:textId="6BF24AF7"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34 – Committee procedure</w:t>
      </w:r>
    </w:p>
    <w:p w14:paraId="11CD11C9" w14:textId="1315F785" w:rsidR="004A7A2A" w:rsidRPr="000C4031" w:rsidRDefault="004A7A2A" w:rsidP="000742F2">
      <w:pPr>
        <w:pStyle w:val="BodyText"/>
        <w:tabs>
          <w:tab w:val="left" w:pos="4783"/>
        </w:tabs>
        <w:spacing w:line="276" w:lineRule="auto"/>
        <w:ind w:right="48"/>
        <w:jc w:val="left"/>
        <w:rPr>
          <w:bCs/>
          <w:sz w:val="24"/>
          <w:szCs w:val="24"/>
        </w:rPr>
      </w:pPr>
      <w:r>
        <w:rPr>
          <w:bCs/>
          <w:sz w:val="24"/>
          <w:szCs w:val="24"/>
        </w:rPr>
        <w:t>Supervisory authorities issue bylaws for implementation; where coordination is required, issues are addressed in national coordination mechanisms for AML/CFT; acts are adopted according to administrative procedures.</w:t>
      </w:r>
    </w:p>
    <w:p w14:paraId="635B1D74" w14:textId="4932CB55"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35 – Agreements with foreign countries/territories</w:t>
      </w:r>
    </w:p>
    <w:p w14:paraId="5EE7F711" w14:textId="4CC5675B" w:rsidR="004A7A2A" w:rsidRPr="000C4031" w:rsidRDefault="004A7A2A" w:rsidP="000742F2">
      <w:pPr>
        <w:pStyle w:val="BodyText"/>
        <w:tabs>
          <w:tab w:val="left" w:pos="4783"/>
        </w:tabs>
        <w:spacing w:line="276" w:lineRule="auto"/>
        <w:ind w:right="48"/>
        <w:jc w:val="left"/>
        <w:rPr>
          <w:bCs/>
          <w:sz w:val="24"/>
          <w:szCs w:val="24"/>
        </w:rPr>
      </w:pPr>
      <w:r>
        <w:rPr>
          <w:bCs/>
          <w:sz w:val="24"/>
          <w:szCs w:val="24"/>
        </w:rPr>
        <w:t>Allows agreements that treat transfers with a country/territory as “domestic”, but only if strict conditions are met (union/monetary area or monetary agreement; participation in payment systems; equivalent AML rules). Exceptions cannot lower AML/CFT standards.</w:t>
      </w:r>
    </w:p>
    <w:p w14:paraId="03FE41D6" w14:textId="77777777"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CHAPTER IX – Other provisions</w:t>
      </w:r>
    </w:p>
    <w:p w14:paraId="7931991F" w14:textId="3CAF6168" w:rsidR="004A7A2A" w:rsidRPr="000C4031" w:rsidRDefault="004A7A2A" w:rsidP="000742F2">
      <w:pPr>
        <w:pStyle w:val="BodyText"/>
        <w:tabs>
          <w:tab w:val="left" w:pos="4783"/>
        </w:tabs>
        <w:spacing w:line="276" w:lineRule="auto"/>
        <w:ind w:right="48"/>
        <w:jc w:val="left"/>
        <w:rPr>
          <w:b/>
          <w:bCs/>
          <w:sz w:val="24"/>
          <w:szCs w:val="24"/>
        </w:rPr>
      </w:pPr>
      <w:r>
        <w:rPr>
          <w:b/>
          <w:bCs/>
          <w:sz w:val="24"/>
          <w:szCs w:val="24"/>
        </w:rPr>
        <w:t>Article 36 – Guidelines and implementing acts</w:t>
      </w:r>
    </w:p>
    <w:p w14:paraId="1973D501" w14:textId="7ECC397D" w:rsidR="00C452DC" w:rsidRPr="000C4031" w:rsidRDefault="004A7A2A" w:rsidP="000742F2">
      <w:pPr>
        <w:pStyle w:val="BodyText"/>
        <w:tabs>
          <w:tab w:val="left" w:pos="4783"/>
        </w:tabs>
        <w:spacing w:line="276" w:lineRule="auto"/>
        <w:ind w:right="48"/>
        <w:rPr>
          <w:bCs/>
          <w:sz w:val="24"/>
          <w:szCs w:val="24"/>
        </w:rPr>
      </w:pPr>
      <w:r>
        <w:rPr>
          <w:bCs/>
          <w:sz w:val="24"/>
          <w:szCs w:val="24"/>
        </w:rPr>
        <w:t>Details the areas where authorities issue guidelines/acts: implementation of key articles for PSP (7, 8, 11, 12), for CASP (14–17, 19–22), technical aspects (direct debits, PISP), and risk-based supervision of CASP. Provides for periodic consultation on interoperable technical solutions and publication pursuant to the law.</w:t>
      </w:r>
    </w:p>
    <w:p w14:paraId="7B118F83" w14:textId="0EE8AA4B" w:rsidR="004A7A2A" w:rsidRPr="000C4031" w:rsidRDefault="004A7A2A" w:rsidP="000742F2">
      <w:pPr>
        <w:pStyle w:val="BodyText"/>
        <w:tabs>
          <w:tab w:val="left" w:pos="4783"/>
        </w:tabs>
        <w:spacing w:line="276" w:lineRule="auto"/>
        <w:ind w:right="48"/>
        <w:rPr>
          <w:b/>
          <w:bCs/>
          <w:sz w:val="24"/>
          <w:szCs w:val="24"/>
        </w:rPr>
      </w:pPr>
      <w:r>
        <w:rPr>
          <w:b/>
          <w:bCs/>
          <w:sz w:val="24"/>
          <w:szCs w:val="24"/>
        </w:rPr>
        <w:t>Article 37 – Compliance with AML/CFT legislation</w:t>
      </w:r>
    </w:p>
    <w:p w14:paraId="17FCEDD7" w14:textId="5087B66E" w:rsidR="004A7A2A" w:rsidRPr="000C4031" w:rsidRDefault="004A7A2A" w:rsidP="000742F2">
      <w:pPr>
        <w:pStyle w:val="BodyText"/>
        <w:tabs>
          <w:tab w:val="left" w:pos="4783"/>
        </w:tabs>
        <w:spacing w:line="276" w:lineRule="auto"/>
        <w:ind w:right="48"/>
        <w:rPr>
          <w:bCs/>
          <w:sz w:val="24"/>
          <w:szCs w:val="24"/>
        </w:rPr>
      </w:pPr>
      <w:r>
        <w:rPr>
          <w:bCs/>
          <w:sz w:val="24"/>
          <w:szCs w:val="24"/>
        </w:rPr>
        <w:t>This article establishes the rule of coherence: the implementation of this part is always carried out in harmony with the main law on the prevention of money laundering and terrorist financing, so that requirements for “travel rule”, verification, reporting, and retention of data do not create parallel or contradictory standards. It also clarifies that key terms of crypto-assets (CASP, self-hosted address, correspondent relationship) are interpreted according to this law and, where necessary, also according to sectoral legislation, while supervisory authorities are tasked with issuing implementing acts within their competencies.</w:t>
      </w:r>
    </w:p>
    <w:p w14:paraId="07FFA427" w14:textId="0ED9B1D3" w:rsidR="004A7A2A" w:rsidRPr="000C4031" w:rsidRDefault="004A7A2A" w:rsidP="000742F2">
      <w:pPr>
        <w:pStyle w:val="BodyText"/>
        <w:tabs>
          <w:tab w:val="left" w:pos="4783"/>
        </w:tabs>
        <w:spacing w:line="276" w:lineRule="auto"/>
        <w:ind w:right="48"/>
        <w:rPr>
          <w:b/>
          <w:bCs/>
          <w:sz w:val="24"/>
          <w:szCs w:val="24"/>
        </w:rPr>
      </w:pPr>
      <w:r>
        <w:rPr>
          <w:b/>
          <w:bCs/>
          <w:sz w:val="24"/>
          <w:szCs w:val="24"/>
        </w:rPr>
        <w:t>Article 38 – Transitional provisions</w:t>
      </w:r>
    </w:p>
    <w:p w14:paraId="4C59BAAD" w14:textId="375CE4EF" w:rsidR="00E83544" w:rsidRPr="000C4031" w:rsidRDefault="004A7A2A" w:rsidP="000742F2">
      <w:pPr>
        <w:pStyle w:val="BodyText"/>
        <w:tabs>
          <w:tab w:val="left" w:pos="4783"/>
        </w:tabs>
        <w:spacing w:line="276" w:lineRule="auto"/>
        <w:ind w:right="48"/>
        <w:rPr>
          <w:bCs/>
          <w:sz w:val="24"/>
          <w:szCs w:val="24"/>
        </w:rPr>
      </w:pPr>
      <w:r>
        <w:rPr>
          <w:bCs/>
          <w:sz w:val="24"/>
          <w:szCs w:val="24"/>
        </w:rPr>
        <w:t xml:space="preserve">This article regulates the transitional phase: it gives the supervisory authorities a 6-month deadline from entry into force to approve the necessary bylaws for the law to be practically </w:t>
      </w:r>
      <w:r>
        <w:rPr>
          <w:bCs/>
          <w:sz w:val="24"/>
          <w:szCs w:val="24"/>
        </w:rPr>
        <w:lastRenderedPageBreak/>
        <w:t>enforceable. In parallel, it sets out an automatic repeal clause: Part III ceases to apply on the date of Albania's accession to the European Union, implying its replacement/absorption by the relevant EU framework at that time.</w:t>
      </w:r>
    </w:p>
    <w:p w14:paraId="3F9714FD" w14:textId="41A0AEAB" w:rsidR="002B1840" w:rsidRPr="000C4031" w:rsidRDefault="002B1840" w:rsidP="000742F2">
      <w:pPr>
        <w:pStyle w:val="BodyText"/>
        <w:tabs>
          <w:tab w:val="left" w:pos="4783"/>
        </w:tabs>
        <w:spacing w:line="276" w:lineRule="auto"/>
        <w:ind w:right="48"/>
        <w:rPr>
          <w:b/>
          <w:bCs/>
          <w:sz w:val="24"/>
          <w:szCs w:val="24"/>
        </w:rPr>
      </w:pPr>
      <w:r>
        <w:rPr>
          <w:b/>
          <w:bCs/>
          <w:sz w:val="24"/>
          <w:szCs w:val="24"/>
        </w:rPr>
        <w:t>PART IV</w:t>
      </w:r>
    </w:p>
    <w:p w14:paraId="4F033970" w14:textId="41A5B4C3" w:rsidR="002B1840" w:rsidRPr="000C4031" w:rsidRDefault="002B1840" w:rsidP="000742F2">
      <w:pPr>
        <w:pStyle w:val="BodyText"/>
        <w:tabs>
          <w:tab w:val="left" w:pos="4783"/>
        </w:tabs>
        <w:spacing w:line="276" w:lineRule="auto"/>
        <w:ind w:right="48"/>
        <w:rPr>
          <w:b/>
          <w:bCs/>
          <w:sz w:val="24"/>
          <w:szCs w:val="24"/>
        </w:rPr>
      </w:pPr>
      <w:r>
        <w:rPr>
          <w:b/>
          <w:bCs/>
          <w:sz w:val="24"/>
          <w:szCs w:val="24"/>
        </w:rPr>
        <w:t xml:space="preserve">On measures for the implementation of </w:t>
      </w:r>
    </w:p>
    <w:p w14:paraId="6AAC463E" w14:textId="6596C82A" w:rsidR="002B1840" w:rsidRPr="000C4031" w:rsidRDefault="002B1840" w:rsidP="000742F2">
      <w:pPr>
        <w:pStyle w:val="BodyText"/>
        <w:tabs>
          <w:tab w:val="left" w:pos="4783"/>
        </w:tabs>
        <w:spacing w:line="276" w:lineRule="auto"/>
        <w:ind w:right="48"/>
        <w:rPr>
          <w:b/>
          <w:bCs/>
          <w:sz w:val="24"/>
          <w:szCs w:val="24"/>
        </w:rPr>
      </w:pPr>
      <w:r>
        <w:rPr>
          <w:b/>
          <w:bCs/>
          <w:sz w:val="24"/>
          <w:szCs w:val="24"/>
        </w:rPr>
        <w:t xml:space="preserve">Regulation (EU) 2018/1672 of the European Parliament and of the Council, dated 23 October 2018 “On the control of cash entering or leaving the Republic of Albania” </w:t>
      </w:r>
    </w:p>
    <w:p w14:paraId="6A0A0580" w14:textId="1B280DF6" w:rsidR="002B1840" w:rsidRPr="000C4031" w:rsidRDefault="002B1840" w:rsidP="000742F2">
      <w:pPr>
        <w:pStyle w:val="BodyText"/>
        <w:tabs>
          <w:tab w:val="left" w:pos="4783"/>
        </w:tabs>
        <w:spacing w:line="276" w:lineRule="auto"/>
        <w:ind w:right="48"/>
        <w:rPr>
          <w:b/>
          <w:bCs/>
          <w:sz w:val="24"/>
          <w:szCs w:val="24"/>
        </w:rPr>
      </w:pPr>
      <w:r>
        <w:rPr>
          <w:b/>
          <w:bCs/>
          <w:sz w:val="24"/>
          <w:szCs w:val="24"/>
        </w:rPr>
        <w:t>Article 1 – Scope of application</w:t>
      </w:r>
    </w:p>
    <w:p w14:paraId="1E7AD6BB" w14:textId="31B1491D" w:rsidR="002B1840" w:rsidRPr="000C4031" w:rsidRDefault="002B1840" w:rsidP="000742F2">
      <w:pPr>
        <w:pStyle w:val="BodyText"/>
        <w:tabs>
          <w:tab w:val="left" w:pos="4783"/>
        </w:tabs>
        <w:spacing w:line="276" w:lineRule="auto"/>
        <w:ind w:right="48"/>
        <w:rPr>
          <w:sz w:val="24"/>
          <w:szCs w:val="24"/>
        </w:rPr>
      </w:pPr>
      <w:r>
        <w:rPr>
          <w:sz w:val="24"/>
          <w:szCs w:val="24"/>
        </w:rPr>
        <w:t>This article establishes the core principle of Part IV: the creation of a control system for “cash” entering or leaving the territory of the Republic of Albania. The practical purpose is to increase traceability and prevent the use of physical cash for money laundering/terrorism financing.</w:t>
      </w:r>
    </w:p>
    <w:p w14:paraId="698C7E86"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t>Article 2 – Definitions</w:t>
      </w:r>
    </w:p>
    <w:p w14:paraId="4DDEDC88"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defines the key terminology for uniform application:</w:t>
      </w:r>
    </w:p>
    <w:p w14:paraId="79BF1EED" w14:textId="77777777" w:rsidR="002B1840" w:rsidRPr="000C4031" w:rsidRDefault="002B1840" w:rsidP="000742F2">
      <w:pPr>
        <w:pStyle w:val="BodyText"/>
        <w:numPr>
          <w:ilvl w:val="0"/>
          <w:numId w:val="16"/>
        </w:numPr>
        <w:tabs>
          <w:tab w:val="clear" w:pos="720"/>
          <w:tab w:val="num" w:pos="360"/>
          <w:tab w:val="left" w:pos="4783"/>
        </w:tabs>
        <w:spacing w:line="276" w:lineRule="auto"/>
        <w:ind w:left="0" w:right="48" w:firstLine="0"/>
        <w:rPr>
          <w:sz w:val="24"/>
          <w:szCs w:val="24"/>
        </w:rPr>
      </w:pPr>
      <w:r>
        <w:rPr>
          <w:bCs/>
          <w:sz w:val="24"/>
          <w:szCs w:val="24"/>
        </w:rPr>
        <w:t>“Cash” extends beyond banknotes/coins and includes: bearer negotiable instruments, precious metals/stones and valuable/antique items, high-liquidity store of value goods, and prepaid cards.</w:t>
      </w:r>
    </w:p>
    <w:p w14:paraId="34125BEA" w14:textId="77777777" w:rsidR="002B1840" w:rsidRPr="000C4031" w:rsidRDefault="002B1840" w:rsidP="000742F2">
      <w:pPr>
        <w:pStyle w:val="BodyText"/>
        <w:numPr>
          <w:ilvl w:val="0"/>
          <w:numId w:val="16"/>
        </w:numPr>
        <w:tabs>
          <w:tab w:val="clear" w:pos="720"/>
          <w:tab w:val="num" w:pos="360"/>
          <w:tab w:val="left" w:pos="4783"/>
        </w:tabs>
        <w:spacing w:line="276" w:lineRule="auto"/>
        <w:ind w:left="0" w:right="48" w:firstLine="0"/>
        <w:rPr>
          <w:sz w:val="24"/>
          <w:szCs w:val="24"/>
        </w:rPr>
      </w:pPr>
      <w:r>
        <w:rPr>
          <w:sz w:val="24"/>
          <w:szCs w:val="24"/>
        </w:rPr>
        <w:t>The meanings of “coin”, “bearer negotiable instruments”, “unaccompanied cash”, “bearer”, as well as the functional concepts: “enters/leaves Albania”, “competent authorities”, “criminal activity”, are specified.</w:t>
      </w:r>
    </w:p>
    <w:p w14:paraId="6C6B5131" w14:textId="660D7B6E" w:rsidR="002B1840" w:rsidRPr="000C4031" w:rsidRDefault="002B1840" w:rsidP="000742F2">
      <w:pPr>
        <w:pStyle w:val="BodyText"/>
        <w:numPr>
          <w:ilvl w:val="0"/>
          <w:numId w:val="16"/>
        </w:numPr>
        <w:tabs>
          <w:tab w:val="clear" w:pos="720"/>
          <w:tab w:val="num" w:pos="360"/>
          <w:tab w:val="left" w:pos="4783"/>
        </w:tabs>
        <w:spacing w:line="276" w:lineRule="auto"/>
        <w:ind w:left="0" w:right="48" w:firstLine="0"/>
        <w:rPr>
          <w:sz w:val="24"/>
          <w:szCs w:val="24"/>
        </w:rPr>
      </w:pPr>
      <w:r>
        <w:rPr>
          <w:sz w:val="24"/>
          <w:szCs w:val="24"/>
        </w:rPr>
        <w:t>For precious metals/stones/valuable items/antiques, reference is made to the definitions in Parts II and III, for legislative coherence.</w:t>
      </w:r>
    </w:p>
    <w:p w14:paraId="6C16BA10"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t>Article 3 – Obligation to declare accompanied cash</w:t>
      </w:r>
    </w:p>
    <w:p w14:paraId="3EECDBFE"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establishes the main obligation of declaration for accompanied cash (cash with bearer):</w:t>
      </w:r>
    </w:p>
    <w:p w14:paraId="1FC07392" w14:textId="77777777" w:rsidR="002B1840" w:rsidRPr="000C4031" w:rsidRDefault="002B1840" w:rsidP="000742F2">
      <w:pPr>
        <w:pStyle w:val="BodyText"/>
        <w:numPr>
          <w:ilvl w:val="0"/>
          <w:numId w:val="17"/>
        </w:numPr>
        <w:tabs>
          <w:tab w:val="clear" w:pos="720"/>
          <w:tab w:val="num" w:pos="450"/>
          <w:tab w:val="left" w:pos="630"/>
          <w:tab w:val="left" w:pos="4783"/>
        </w:tabs>
        <w:spacing w:line="276" w:lineRule="auto"/>
        <w:ind w:left="0" w:right="48" w:firstLine="0"/>
        <w:rPr>
          <w:sz w:val="24"/>
          <w:szCs w:val="24"/>
        </w:rPr>
      </w:pPr>
      <w:r>
        <w:rPr>
          <w:bCs/>
          <w:sz w:val="24"/>
          <w:szCs w:val="24"/>
        </w:rPr>
        <w:t>Threshold: from 10,000 euros (or equivalent).</w:t>
      </w:r>
    </w:p>
    <w:p w14:paraId="351E68C7" w14:textId="77777777" w:rsidR="002B1840" w:rsidRPr="000C4031" w:rsidRDefault="002B1840" w:rsidP="000742F2">
      <w:pPr>
        <w:pStyle w:val="BodyText"/>
        <w:numPr>
          <w:ilvl w:val="0"/>
          <w:numId w:val="17"/>
        </w:numPr>
        <w:tabs>
          <w:tab w:val="clear" w:pos="720"/>
          <w:tab w:val="num" w:pos="450"/>
          <w:tab w:val="left" w:pos="630"/>
          <w:tab w:val="left" w:pos="4783"/>
        </w:tabs>
        <w:spacing w:line="276" w:lineRule="auto"/>
        <w:ind w:left="0" w:right="48" w:firstLine="0"/>
        <w:rPr>
          <w:sz w:val="24"/>
          <w:szCs w:val="24"/>
        </w:rPr>
      </w:pPr>
      <w:r>
        <w:rPr>
          <w:sz w:val="24"/>
          <w:szCs w:val="24"/>
        </w:rPr>
        <w:t>The obligation is fulfilled only if: (i) the declaration is accurate and complete, and (ii) the cash is made available for inspection.</w:t>
      </w:r>
    </w:p>
    <w:p w14:paraId="6AA671BB" w14:textId="77777777" w:rsidR="002B1840" w:rsidRPr="000C4031" w:rsidRDefault="002B1840" w:rsidP="000742F2">
      <w:pPr>
        <w:pStyle w:val="BodyText"/>
        <w:numPr>
          <w:ilvl w:val="0"/>
          <w:numId w:val="17"/>
        </w:numPr>
        <w:tabs>
          <w:tab w:val="clear" w:pos="720"/>
          <w:tab w:val="num" w:pos="450"/>
          <w:tab w:val="left" w:pos="630"/>
          <w:tab w:val="left" w:pos="4783"/>
        </w:tabs>
        <w:spacing w:line="276" w:lineRule="auto"/>
        <w:ind w:left="0" w:right="48" w:firstLine="0"/>
        <w:rPr>
          <w:sz w:val="24"/>
          <w:szCs w:val="24"/>
        </w:rPr>
      </w:pPr>
      <w:r>
        <w:rPr>
          <w:sz w:val="24"/>
          <w:szCs w:val="24"/>
        </w:rPr>
        <w:t>The minimum content of the declaration is specified: the identity/contact details of the bearer, owner, intended recipient (when possible), nature/quantity/value, economic origin, purpose, route and means of transport.</w:t>
      </w:r>
    </w:p>
    <w:p w14:paraId="7CD39911" w14:textId="6A5D8A2F" w:rsidR="002B1840" w:rsidRPr="000C4031" w:rsidRDefault="002B1840" w:rsidP="000742F2">
      <w:pPr>
        <w:pStyle w:val="BodyText"/>
        <w:numPr>
          <w:ilvl w:val="0"/>
          <w:numId w:val="17"/>
        </w:numPr>
        <w:tabs>
          <w:tab w:val="clear" w:pos="720"/>
          <w:tab w:val="num" w:pos="450"/>
          <w:tab w:val="left" w:pos="630"/>
          <w:tab w:val="left" w:pos="4783"/>
        </w:tabs>
        <w:spacing w:line="276" w:lineRule="auto"/>
        <w:ind w:left="0" w:right="48" w:firstLine="0"/>
        <w:rPr>
          <w:sz w:val="24"/>
          <w:szCs w:val="24"/>
        </w:rPr>
      </w:pPr>
      <w:r>
        <w:rPr>
          <w:sz w:val="24"/>
          <w:szCs w:val="24"/>
        </w:rPr>
        <w:t>The written or electronic form is foreseen, through the standard form (approved by bylaw), and the right to certified copy upon request.</w:t>
      </w:r>
    </w:p>
    <w:p w14:paraId="5CA409C6"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t>Article 4 – Obligation to notify unaccompanied cash</w:t>
      </w:r>
    </w:p>
    <w:p w14:paraId="1C17E0A6"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regulates “bearerless” cash (e.g. shipment), by establishing an “informative declaration” regime:</w:t>
      </w:r>
    </w:p>
    <w:p w14:paraId="5B121379" w14:textId="77777777" w:rsidR="002B1840" w:rsidRPr="000C4031" w:rsidRDefault="002B1840" w:rsidP="000742F2">
      <w:pPr>
        <w:pStyle w:val="BodyText"/>
        <w:numPr>
          <w:ilvl w:val="0"/>
          <w:numId w:val="18"/>
        </w:numPr>
        <w:tabs>
          <w:tab w:val="clear" w:pos="720"/>
          <w:tab w:val="num" w:pos="540"/>
          <w:tab w:val="left" w:pos="4783"/>
        </w:tabs>
        <w:spacing w:line="276" w:lineRule="auto"/>
        <w:ind w:left="0" w:right="48" w:firstLine="0"/>
        <w:rPr>
          <w:sz w:val="24"/>
          <w:szCs w:val="24"/>
        </w:rPr>
      </w:pPr>
      <w:r>
        <w:rPr>
          <w:bCs/>
          <w:sz w:val="24"/>
          <w:szCs w:val="24"/>
        </w:rPr>
        <w:t>Threshold: from 10,000 euros (or more).</w:t>
      </w:r>
    </w:p>
    <w:p w14:paraId="5F81FA9F" w14:textId="77777777" w:rsidR="002B1840" w:rsidRPr="000C4031" w:rsidRDefault="002B1840" w:rsidP="000742F2">
      <w:pPr>
        <w:pStyle w:val="BodyText"/>
        <w:numPr>
          <w:ilvl w:val="0"/>
          <w:numId w:val="18"/>
        </w:numPr>
        <w:tabs>
          <w:tab w:val="clear" w:pos="720"/>
          <w:tab w:val="num" w:pos="540"/>
          <w:tab w:val="left" w:pos="4783"/>
        </w:tabs>
        <w:spacing w:line="276" w:lineRule="auto"/>
        <w:ind w:left="0" w:right="48" w:firstLine="0"/>
        <w:rPr>
          <w:sz w:val="24"/>
          <w:szCs w:val="24"/>
        </w:rPr>
      </w:pPr>
      <w:r>
        <w:rPr>
          <w:sz w:val="24"/>
          <w:szCs w:val="24"/>
        </w:rPr>
        <w:t>The customs authority may request an informative declaration from the sender/recipient or representative within 30 days, and may freeze the cash until the declaration is submitted.</w:t>
      </w:r>
    </w:p>
    <w:p w14:paraId="187894A9" w14:textId="77777777" w:rsidR="002B1840" w:rsidRPr="000C4031" w:rsidRDefault="002B1840" w:rsidP="000742F2">
      <w:pPr>
        <w:pStyle w:val="BodyText"/>
        <w:numPr>
          <w:ilvl w:val="0"/>
          <w:numId w:val="18"/>
        </w:numPr>
        <w:tabs>
          <w:tab w:val="clear" w:pos="720"/>
          <w:tab w:val="num" w:pos="540"/>
          <w:tab w:val="left" w:pos="4783"/>
        </w:tabs>
        <w:spacing w:line="276" w:lineRule="auto"/>
        <w:ind w:left="0" w:right="48" w:firstLine="0"/>
        <w:rPr>
          <w:sz w:val="24"/>
          <w:szCs w:val="24"/>
        </w:rPr>
      </w:pPr>
      <w:r>
        <w:rPr>
          <w:sz w:val="24"/>
          <w:szCs w:val="24"/>
        </w:rPr>
        <w:t>The content is specified: declarant, owner, sender, recipient/intended recipient, nature/quantity/value, economic origin, purpose.</w:t>
      </w:r>
    </w:p>
    <w:p w14:paraId="43D5AA10" w14:textId="2DB05FFF" w:rsidR="002B1840" w:rsidRPr="000C4031" w:rsidRDefault="002B1840" w:rsidP="000742F2">
      <w:pPr>
        <w:pStyle w:val="BodyText"/>
        <w:numPr>
          <w:ilvl w:val="0"/>
          <w:numId w:val="18"/>
        </w:numPr>
        <w:tabs>
          <w:tab w:val="clear" w:pos="720"/>
          <w:tab w:val="num" w:pos="540"/>
          <w:tab w:val="left" w:pos="4783"/>
        </w:tabs>
        <w:spacing w:line="276" w:lineRule="auto"/>
        <w:ind w:left="0" w:right="48" w:firstLine="0"/>
        <w:rPr>
          <w:sz w:val="24"/>
          <w:szCs w:val="24"/>
        </w:rPr>
      </w:pPr>
      <w:r>
        <w:rPr>
          <w:sz w:val="24"/>
          <w:szCs w:val="24"/>
        </w:rPr>
        <w:t>The written/electronic form and certified copy upon request are provided.</w:t>
      </w:r>
    </w:p>
    <w:p w14:paraId="76EA1295"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t>Article 5 – Powers of customs authorities</w:t>
      </w:r>
    </w:p>
    <w:p w14:paraId="0CD7D81E"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empowers customs for effective enforcement:</w:t>
      </w:r>
    </w:p>
    <w:p w14:paraId="4F8A9F49" w14:textId="77777777" w:rsidR="002B1840" w:rsidRPr="000C4031" w:rsidRDefault="002B1840" w:rsidP="000742F2">
      <w:pPr>
        <w:pStyle w:val="BodyText"/>
        <w:numPr>
          <w:ilvl w:val="0"/>
          <w:numId w:val="19"/>
        </w:numPr>
        <w:tabs>
          <w:tab w:val="clear" w:pos="720"/>
          <w:tab w:val="num" w:pos="540"/>
          <w:tab w:val="left" w:pos="4783"/>
        </w:tabs>
        <w:spacing w:line="276" w:lineRule="auto"/>
        <w:ind w:left="0" w:right="48" w:firstLine="0"/>
        <w:rPr>
          <w:sz w:val="24"/>
          <w:szCs w:val="24"/>
        </w:rPr>
      </w:pPr>
      <w:r>
        <w:rPr>
          <w:bCs/>
          <w:sz w:val="24"/>
          <w:szCs w:val="24"/>
        </w:rPr>
        <w:t>Controls over individuals/baggage/means of transport for accompanied cash.</w:t>
      </w:r>
    </w:p>
    <w:p w14:paraId="140D89B1" w14:textId="77777777" w:rsidR="002B1840" w:rsidRPr="000C4031" w:rsidRDefault="002B1840" w:rsidP="000742F2">
      <w:pPr>
        <w:pStyle w:val="BodyText"/>
        <w:numPr>
          <w:ilvl w:val="0"/>
          <w:numId w:val="19"/>
        </w:numPr>
        <w:tabs>
          <w:tab w:val="clear" w:pos="720"/>
          <w:tab w:val="num" w:pos="540"/>
          <w:tab w:val="left" w:pos="4783"/>
        </w:tabs>
        <w:spacing w:line="276" w:lineRule="auto"/>
        <w:ind w:left="0" w:right="48" w:firstLine="0"/>
        <w:rPr>
          <w:sz w:val="24"/>
          <w:szCs w:val="24"/>
        </w:rPr>
      </w:pPr>
      <w:r>
        <w:rPr>
          <w:bCs/>
          <w:sz w:val="24"/>
          <w:szCs w:val="24"/>
        </w:rPr>
        <w:lastRenderedPageBreak/>
        <w:t>Controls over shipments/containers/means of transport for unaccompanied cash.</w:t>
      </w:r>
    </w:p>
    <w:p w14:paraId="6667FA6E" w14:textId="77777777" w:rsidR="002B1840" w:rsidRPr="000C4031" w:rsidRDefault="002B1840" w:rsidP="000742F2">
      <w:pPr>
        <w:pStyle w:val="BodyText"/>
        <w:numPr>
          <w:ilvl w:val="0"/>
          <w:numId w:val="19"/>
        </w:numPr>
        <w:tabs>
          <w:tab w:val="clear" w:pos="720"/>
          <w:tab w:val="num" w:pos="540"/>
          <w:tab w:val="left" w:pos="4783"/>
        </w:tabs>
        <w:spacing w:line="276" w:lineRule="auto"/>
        <w:ind w:left="0" w:right="48" w:firstLine="0"/>
        <w:rPr>
          <w:sz w:val="24"/>
          <w:szCs w:val="24"/>
        </w:rPr>
      </w:pPr>
      <w:r>
        <w:rPr>
          <w:sz w:val="24"/>
          <w:szCs w:val="24"/>
        </w:rPr>
        <w:t>In case of non-declaration, customs draft an ex officio declaration (with as much information as possible according to articles 3 or 4).</w:t>
      </w:r>
    </w:p>
    <w:p w14:paraId="3DFF3177" w14:textId="77777777" w:rsidR="002B1840" w:rsidRPr="000C4031" w:rsidRDefault="002B1840" w:rsidP="000742F2">
      <w:pPr>
        <w:pStyle w:val="BodyText"/>
        <w:numPr>
          <w:ilvl w:val="0"/>
          <w:numId w:val="19"/>
        </w:numPr>
        <w:tabs>
          <w:tab w:val="clear" w:pos="720"/>
          <w:tab w:val="num" w:pos="540"/>
          <w:tab w:val="left" w:pos="4783"/>
        </w:tabs>
        <w:spacing w:line="276" w:lineRule="auto"/>
        <w:ind w:left="0" w:right="48" w:firstLine="0"/>
        <w:rPr>
          <w:sz w:val="24"/>
          <w:szCs w:val="24"/>
        </w:rPr>
      </w:pPr>
      <w:r>
        <w:rPr>
          <w:sz w:val="24"/>
          <w:szCs w:val="24"/>
        </w:rPr>
        <w:t>Control is primarily based on risk analysis and within a risk management framework (with criteria to be further determined in bylaws).</w:t>
      </w:r>
    </w:p>
    <w:p w14:paraId="02198477" w14:textId="77777777" w:rsidR="002B1840" w:rsidRPr="000C4031" w:rsidRDefault="002B1840" w:rsidP="000742F2">
      <w:pPr>
        <w:pStyle w:val="BodyText"/>
        <w:numPr>
          <w:ilvl w:val="0"/>
          <w:numId w:val="19"/>
        </w:numPr>
        <w:tabs>
          <w:tab w:val="clear" w:pos="720"/>
          <w:tab w:val="num" w:pos="540"/>
          <w:tab w:val="left" w:pos="4783"/>
        </w:tabs>
        <w:spacing w:line="276" w:lineRule="auto"/>
        <w:ind w:left="0" w:right="48" w:firstLine="0"/>
        <w:rPr>
          <w:sz w:val="24"/>
          <w:szCs w:val="24"/>
        </w:rPr>
      </w:pPr>
      <w:r>
        <w:rPr>
          <w:sz w:val="24"/>
          <w:szCs w:val="24"/>
        </w:rPr>
        <w:t>Functional clarification: the powers of this article are also applied to the cases of article 6.</w:t>
      </w:r>
    </w:p>
    <w:p w14:paraId="76AC94C3" w14:textId="03F4EBAC" w:rsidR="002B1840" w:rsidRPr="000C4031" w:rsidRDefault="002B1840" w:rsidP="000742F2">
      <w:pPr>
        <w:pStyle w:val="BodyText"/>
        <w:tabs>
          <w:tab w:val="num" w:pos="540"/>
          <w:tab w:val="left" w:pos="4783"/>
        </w:tabs>
        <w:spacing w:line="276" w:lineRule="auto"/>
        <w:ind w:right="48"/>
        <w:rPr>
          <w:sz w:val="24"/>
          <w:szCs w:val="24"/>
        </w:rPr>
      </w:pPr>
      <w:r>
        <w:rPr>
          <w:i/>
          <w:iCs/>
          <w:sz w:val="24"/>
          <w:szCs w:val="24"/>
        </w:rPr>
        <w:t>Technical note</w:t>
      </w:r>
      <w:r>
        <w:rPr>
          <w:sz w:val="24"/>
          <w:szCs w:val="24"/>
        </w:rPr>
        <w:t>: In the text there is a reference of the type “article 11/4” and “article 6”, which appears to be a marking error (it should be “article 4”). For the explanatory note, it can be highlighted as a need for editing.</w:t>
      </w:r>
    </w:p>
    <w:p w14:paraId="55D3E5AA"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t>Article 6 – Amounts below the threshold with indicators of criminal activity</w:t>
      </w:r>
    </w:p>
    <w:p w14:paraId="3D1E8918"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covers cases where the amount is below 10,000 euros, but there are criminal indicators:</w:t>
      </w:r>
    </w:p>
    <w:p w14:paraId="577E2B7E" w14:textId="77777777" w:rsidR="002B1840" w:rsidRPr="000C4031" w:rsidRDefault="002B1840" w:rsidP="000742F2">
      <w:pPr>
        <w:pStyle w:val="BodyText"/>
        <w:numPr>
          <w:ilvl w:val="0"/>
          <w:numId w:val="20"/>
        </w:numPr>
        <w:tabs>
          <w:tab w:val="left" w:pos="4783"/>
        </w:tabs>
        <w:spacing w:line="276" w:lineRule="auto"/>
        <w:ind w:right="48"/>
        <w:rPr>
          <w:sz w:val="24"/>
          <w:szCs w:val="24"/>
        </w:rPr>
      </w:pPr>
      <w:r>
        <w:rPr>
          <w:sz w:val="24"/>
          <w:szCs w:val="24"/>
        </w:rPr>
        <w:t>Customs record information and identifying data for accompanied cash below the threshold when there are indicators of connection to criminal activity.</w:t>
      </w:r>
    </w:p>
    <w:p w14:paraId="1E576F72" w14:textId="77777777" w:rsidR="002B1840" w:rsidRPr="000C4031" w:rsidRDefault="002B1840" w:rsidP="000742F2">
      <w:pPr>
        <w:pStyle w:val="BodyText"/>
        <w:numPr>
          <w:ilvl w:val="0"/>
          <w:numId w:val="20"/>
        </w:numPr>
        <w:tabs>
          <w:tab w:val="left" w:pos="4783"/>
        </w:tabs>
        <w:spacing w:line="276" w:lineRule="auto"/>
        <w:ind w:right="48"/>
        <w:rPr>
          <w:sz w:val="24"/>
          <w:szCs w:val="24"/>
        </w:rPr>
      </w:pPr>
      <w:r>
        <w:rPr>
          <w:sz w:val="24"/>
          <w:szCs w:val="24"/>
        </w:rPr>
        <w:t>The same logic applies to unaccompanied cash below the threshold.</w:t>
      </w:r>
    </w:p>
    <w:p w14:paraId="12EA98C0" w14:textId="05D20BF8" w:rsidR="002B1840" w:rsidRPr="000C4031" w:rsidRDefault="002B1840" w:rsidP="000742F2">
      <w:pPr>
        <w:pStyle w:val="BodyText"/>
        <w:numPr>
          <w:ilvl w:val="0"/>
          <w:numId w:val="20"/>
        </w:numPr>
        <w:tabs>
          <w:tab w:val="left" w:pos="4783"/>
        </w:tabs>
        <w:spacing w:line="276" w:lineRule="auto"/>
        <w:ind w:right="48"/>
        <w:rPr>
          <w:sz w:val="24"/>
          <w:szCs w:val="24"/>
        </w:rPr>
      </w:pPr>
      <w:r>
        <w:rPr>
          <w:sz w:val="24"/>
          <w:szCs w:val="24"/>
        </w:rPr>
        <w:t>The aim is not to create a “free zone” for the splitting of amounts (smurfing) or repeated transport below the threshold.</w:t>
      </w:r>
    </w:p>
    <w:p w14:paraId="4CF2C109"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t>Article 7 – Temporary prohibition (freezing) of cash</w:t>
      </w:r>
    </w:p>
    <w:p w14:paraId="17E45475"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provides for the administrative measure of temporary freezing:</w:t>
      </w:r>
    </w:p>
    <w:p w14:paraId="2D88CC58" w14:textId="77777777" w:rsidR="002B1840" w:rsidRPr="000C4031" w:rsidRDefault="002B1840" w:rsidP="000742F2">
      <w:pPr>
        <w:pStyle w:val="BodyText"/>
        <w:numPr>
          <w:ilvl w:val="0"/>
          <w:numId w:val="21"/>
        </w:numPr>
        <w:tabs>
          <w:tab w:val="left" w:pos="4783"/>
        </w:tabs>
        <w:spacing w:line="276" w:lineRule="auto"/>
        <w:ind w:right="48"/>
        <w:rPr>
          <w:sz w:val="24"/>
          <w:szCs w:val="24"/>
        </w:rPr>
      </w:pPr>
      <w:r>
        <w:rPr>
          <w:sz w:val="24"/>
          <w:szCs w:val="24"/>
        </w:rPr>
        <w:t>Conditions: (i) non-declaration according to articles 3 or 4; or (ii) indicators that the cash is linked to criminal activity, regardless of the amount.</w:t>
      </w:r>
    </w:p>
    <w:p w14:paraId="74141C84" w14:textId="77777777" w:rsidR="002B1840" w:rsidRPr="000C4031" w:rsidRDefault="002B1840" w:rsidP="000742F2">
      <w:pPr>
        <w:pStyle w:val="BodyText"/>
        <w:numPr>
          <w:ilvl w:val="0"/>
          <w:numId w:val="21"/>
        </w:numPr>
        <w:tabs>
          <w:tab w:val="left" w:pos="4783"/>
        </w:tabs>
        <w:spacing w:line="276" w:lineRule="auto"/>
        <w:ind w:right="48"/>
        <w:rPr>
          <w:sz w:val="24"/>
          <w:szCs w:val="24"/>
        </w:rPr>
      </w:pPr>
      <w:r>
        <w:rPr>
          <w:sz w:val="24"/>
          <w:szCs w:val="24"/>
        </w:rPr>
        <w:t>An administrative decision is required, with a reasoned notification to the respective person (the declarant/the person required to provide information).</w:t>
      </w:r>
    </w:p>
    <w:p w14:paraId="4296D7E8" w14:textId="77777777" w:rsidR="002B1840" w:rsidRPr="000C4031" w:rsidRDefault="002B1840" w:rsidP="000742F2">
      <w:pPr>
        <w:pStyle w:val="BodyText"/>
        <w:numPr>
          <w:ilvl w:val="0"/>
          <w:numId w:val="21"/>
        </w:numPr>
        <w:tabs>
          <w:tab w:val="left" w:pos="4783"/>
        </w:tabs>
        <w:spacing w:line="276" w:lineRule="auto"/>
        <w:ind w:right="48"/>
        <w:rPr>
          <w:sz w:val="24"/>
          <w:szCs w:val="24"/>
        </w:rPr>
      </w:pPr>
      <w:r>
        <w:rPr>
          <w:sz w:val="24"/>
          <w:szCs w:val="24"/>
        </w:rPr>
        <w:t>Deadlines: initial freezing up to 30 days, with the possibility of extension up to 90 days following assessment of necessity/proportionality.</w:t>
      </w:r>
    </w:p>
    <w:p w14:paraId="1CC7973E" w14:textId="1B8F70F9" w:rsidR="002B1840" w:rsidRPr="000C4031" w:rsidRDefault="002B1840" w:rsidP="000742F2">
      <w:pPr>
        <w:pStyle w:val="BodyText"/>
        <w:numPr>
          <w:ilvl w:val="0"/>
          <w:numId w:val="21"/>
        </w:numPr>
        <w:tabs>
          <w:tab w:val="left" w:pos="4783"/>
        </w:tabs>
        <w:spacing w:line="276" w:lineRule="auto"/>
        <w:ind w:right="48"/>
        <w:rPr>
          <w:sz w:val="24"/>
          <w:szCs w:val="24"/>
        </w:rPr>
      </w:pPr>
      <w:r>
        <w:rPr>
          <w:sz w:val="24"/>
          <w:szCs w:val="24"/>
        </w:rPr>
        <w:t>In the absence of a decision for further freezing or when it is not justified, the cash is immediately returned to the respective person.</w:t>
      </w:r>
    </w:p>
    <w:p w14:paraId="3001F7B9"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t>Article 8 – Information campaigns</w:t>
      </w:r>
    </w:p>
    <w:p w14:paraId="6842850B" w14:textId="03617AE3" w:rsidR="002B1840" w:rsidRPr="000C4031" w:rsidRDefault="002B1840" w:rsidP="000742F2">
      <w:pPr>
        <w:pStyle w:val="BodyText"/>
        <w:tabs>
          <w:tab w:val="left" w:pos="4783"/>
        </w:tabs>
        <w:spacing w:line="276" w:lineRule="auto"/>
        <w:ind w:right="48"/>
        <w:rPr>
          <w:sz w:val="24"/>
          <w:szCs w:val="24"/>
        </w:rPr>
      </w:pPr>
      <w:r>
        <w:rPr>
          <w:sz w:val="24"/>
          <w:szCs w:val="24"/>
        </w:rPr>
        <w:t>This article establishes the obligation of customs to provide public information: to ensure that travelers and entities sending/receiving unaccompanied cash are informed of their rights/obligations, through appropriate information materials. The aim is to increase voluntary compliance and reduce violations due to lack of awareness.</w:t>
      </w:r>
    </w:p>
    <w:p w14:paraId="5AF6EBBC"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t>Article 9 – Provision of information to the AIF</w:t>
      </w:r>
    </w:p>
    <w:p w14:paraId="4DBE64FC"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establishes the formal reporting channel from customs to the AIF:</w:t>
      </w:r>
    </w:p>
    <w:p w14:paraId="1C3501A6" w14:textId="77777777" w:rsidR="002B1840" w:rsidRPr="000C4031" w:rsidRDefault="002B1840" w:rsidP="000742F2">
      <w:pPr>
        <w:pStyle w:val="BodyText"/>
        <w:numPr>
          <w:ilvl w:val="0"/>
          <w:numId w:val="22"/>
        </w:numPr>
        <w:tabs>
          <w:tab w:val="left" w:pos="4783"/>
        </w:tabs>
        <w:spacing w:line="276" w:lineRule="auto"/>
        <w:ind w:right="48"/>
        <w:rPr>
          <w:sz w:val="24"/>
          <w:szCs w:val="24"/>
        </w:rPr>
      </w:pPr>
      <w:r>
        <w:rPr>
          <w:sz w:val="24"/>
          <w:szCs w:val="24"/>
        </w:rPr>
        <w:t>Customs register and send to the AIF the information received according to Articles 3, 4, 5(3), and 6.</w:t>
      </w:r>
    </w:p>
    <w:p w14:paraId="388CF893" w14:textId="77777777" w:rsidR="002B1840" w:rsidRPr="000C4031" w:rsidRDefault="002B1840" w:rsidP="000742F2">
      <w:pPr>
        <w:pStyle w:val="BodyText"/>
        <w:numPr>
          <w:ilvl w:val="0"/>
          <w:numId w:val="22"/>
        </w:numPr>
        <w:tabs>
          <w:tab w:val="left" w:pos="4783"/>
        </w:tabs>
        <w:spacing w:line="276" w:lineRule="auto"/>
        <w:ind w:right="48"/>
        <w:rPr>
          <w:sz w:val="24"/>
          <w:szCs w:val="24"/>
        </w:rPr>
      </w:pPr>
      <w:r>
        <w:rPr>
          <w:sz w:val="24"/>
          <w:szCs w:val="24"/>
        </w:rPr>
        <w:t>AIF may exchange this information with counterpart FIUs of other countries, in accordance with the general regulation governing exchange.</w:t>
      </w:r>
    </w:p>
    <w:p w14:paraId="24144689" w14:textId="3B731BE4" w:rsidR="002B1840" w:rsidRPr="000C4031" w:rsidRDefault="002B1840" w:rsidP="000742F2">
      <w:pPr>
        <w:pStyle w:val="BodyText"/>
        <w:numPr>
          <w:ilvl w:val="0"/>
          <w:numId w:val="22"/>
        </w:numPr>
        <w:tabs>
          <w:tab w:val="left" w:pos="4783"/>
        </w:tabs>
        <w:spacing w:line="276" w:lineRule="auto"/>
        <w:ind w:right="48"/>
        <w:rPr>
          <w:sz w:val="24"/>
          <w:szCs w:val="24"/>
        </w:rPr>
      </w:pPr>
      <w:r>
        <w:rPr>
          <w:sz w:val="24"/>
          <w:szCs w:val="24"/>
        </w:rPr>
        <w:t>Maximum deadline: no later than 15 working days from receipt of the information.</w:t>
      </w:r>
    </w:p>
    <w:p w14:paraId="38E2C498"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t>Article 10 – Exchange of information between competent authorities</w:t>
      </w:r>
    </w:p>
    <w:p w14:paraId="6E9CD85A"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institutionalises the electronic exchange of information:</w:t>
      </w:r>
    </w:p>
    <w:p w14:paraId="1224EC6F" w14:textId="77777777" w:rsidR="002B1840" w:rsidRPr="000C4031" w:rsidRDefault="002B1840" w:rsidP="000742F2">
      <w:pPr>
        <w:pStyle w:val="BodyText"/>
        <w:numPr>
          <w:ilvl w:val="0"/>
          <w:numId w:val="23"/>
        </w:numPr>
        <w:tabs>
          <w:tab w:val="left" w:pos="4783"/>
        </w:tabs>
        <w:spacing w:line="276" w:lineRule="auto"/>
        <w:ind w:right="48"/>
        <w:rPr>
          <w:sz w:val="24"/>
          <w:szCs w:val="24"/>
        </w:rPr>
      </w:pPr>
      <w:r>
        <w:rPr>
          <w:sz w:val="24"/>
          <w:szCs w:val="24"/>
        </w:rPr>
        <w:t xml:space="preserve">Includes: ex officio declarations, cases below the threshold with criminal indicators, declarations with criminal indicators, as well as anonymous risk information/analysis </w:t>
      </w:r>
      <w:r>
        <w:rPr>
          <w:sz w:val="24"/>
          <w:szCs w:val="24"/>
        </w:rPr>
        <w:lastRenderedPageBreak/>
        <w:t>results.</w:t>
      </w:r>
    </w:p>
    <w:p w14:paraId="2D8F1BFE" w14:textId="77777777" w:rsidR="002B1840" w:rsidRPr="000C4031" w:rsidRDefault="002B1840" w:rsidP="000742F2">
      <w:pPr>
        <w:pStyle w:val="BodyText"/>
        <w:numPr>
          <w:ilvl w:val="0"/>
          <w:numId w:val="23"/>
        </w:numPr>
        <w:tabs>
          <w:tab w:val="left" w:pos="4783"/>
        </w:tabs>
        <w:spacing w:line="276" w:lineRule="auto"/>
        <w:ind w:right="48"/>
        <w:rPr>
          <w:sz w:val="24"/>
          <w:szCs w:val="24"/>
        </w:rPr>
      </w:pPr>
      <w:r>
        <w:rPr>
          <w:sz w:val="24"/>
          <w:szCs w:val="24"/>
        </w:rPr>
        <w:t>When there are indications that may affect the financial interests of Albania, the information is also sent to the Prosecutor's Office.</w:t>
      </w:r>
    </w:p>
    <w:p w14:paraId="19A920F7" w14:textId="7177A10F" w:rsidR="002B1840" w:rsidRPr="000C4031" w:rsidRDefault="002B1840" w:rsidP="000742F2">
      <w:pPr>
        <w:pStyle w:val="BodyText"/>
        <w:numPr>
          <w:ilvl w:val="0"/>
          <w:numId w:val="23"/>
        </w:numPr>
        <w:tabs>
          <w:tab w:val="left" w:pos="4783"/>
        </w:tabs>
        <w:spacing w:line="276" w:lineRule="auto"/>
        <w:ind w:right="48"/>
        <w:rPr>
          <w:sz w:val="24"/>
          <w:szCs w:val="24"/>
        </w:rPr>
      </w:pPr>
      <w:r>
        <w:rPr>
          <w:sz w:val="24"/>
          <w:szCs w:val="24"/>
        </w:rPr>
        <w:t>Deadline: no later than 15 working days for operational information; anonymous risk information every 6 months.</w:t>
      </w:r>
    </w:p>
    <w:p w14:paraId="0862582F"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t>Article 11 – Exchange of information with other countries</w:t>
      </w:r>
    </w:p>
    <w:p w14:paraId="3FDDBC3F"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provides for the possibility of transmitting information abroad, within the framework of administrative assistance agreements:</w:t>
      </w:r>
    </w:p>
    <w:p w14:paraId="388B8711" w14:textId="77777777" w:rsidR="002B1840" w:rsidRPr="000C4031" w:rsidRDefault="002B1840" w:rsidP="000742F2">
      <w:pPr>
        <w:pStyle w:val="BodyText"/>
        <w:numPr>
          <w:ilvl w:val="0"/>
          <w:numId w:val="24"/>
        </w:numPr>
        <w:tabs>
          <w:tab w:val="left" w:pos="4783"/>
        </w:tabs>
        <w:spacing w:line="276" w:lineRule="auto"/>
        <w:ind w:right="48"/>
        <w:rPr>
          <w:sz w:val="24"/>
          <w:szCs w:val="24"/>
        </w:rPr>
      </w:pPr>
      <w:r>
        <w:rPr>
          <w:sz w:val="24"/>
          <w:szCs w:val="24"/>
        </w:rPr>
        <w:t>Written authorisation is required from the authority that initially received the information.</w:t>
      </w:r>
    </w:p>
    <w:p w14:paraId="5BC96A45" w14:textId="77777777" w:rsidR="002B1840" w:rsidRPr="000C4031" w:rsidRDefault="002B1840" w:rsidP="000742F2">
      <w:pPr>
        <w:pStyle w:val="BodyText"/>
        <w:numPr>
          <w:ilvl w:val="0"/>
          <w:numId w:val="24"/>
        </w:numPr>
        <w:tabs>
          <w:tab w:val="left" w:pos="4783"/>
        </w:tabs>
        <w:spacing w:line="276" w:lineRule="auto"/>
        <w:ind w:right="48"/>
        <w:rPr>
          <w:sz w:val="24"/>
          <w:szCs w:val="24"/>
        </w:rPr>
      </w:pPr>
      <w:r>
        <w:rPr>
          <w:sz w:val="24"/>
          <w:szCs w:val="24"/>
        </w:rPr>
        <w:t>The rules for sending personal data abroad must be respected.</w:t>
      </w:r>
    </w:p>
    <w:p w14:paraId="4020120E" w14:textId="5188B45D" w:rsidR="0075341D" w:rsidRPr="000C4031" w:rsidRDefault="002B1840" w:rsidP="000742F2">
      <w:pPr>
        <w:pStyle w:val="BodyText"/>
        <w:numPr>
          <w:ilvl w:val="0"/>
          <w:numId w:val="24"/>
        </w:numPr>
        <w:tabs>
          <w:tab w:val="left" w:pos="4783"/>
        </w:tabs>
        <w:spacing w:line="276" w:lineRule="auto"/>
        <w:ind w:right="48"/>
        <w:rPr>
          <w:sz w:val="24"/>
          <w:szCs w:val="24"/>
        </w:rPr>
      </w:pPr>
      <w:r>
        <w:rPr>
          <w:sz w:val="24"/>
          <w:szCs w:val="24"/>
        </w:rPr>
        <w:t>The Commissioner for the Protection of Data is notified of every transmission.</w:t>
      </w:r>
    </w:p>
    <w:p w14:paraId="2EDF5E6E" w14:textId="0158A0DE" w:rsidR="002B1840" w:rsidRPr="000C4031" w:rsidRDefault="002B1840" w:rsidP="000742F2">
      <w:pPr>
        <w:pStyle w:val="BodyText"/>
        <w:tabs>
          <w:tab w:val="left" w:pos="4783"/>
        </w:tabs>
        <w:spacing w:line="276" w:lineRule="auto"/>
        <w:ind w:right="48"/>
        <w:rPr>
          <w:b/>
          <w:bCs/>
          <w:sz w:val="24"/>
          <w:szCs w:val="24"/>
        </w:rPr>
      </w:pPr>
      <w:r>
        <w:rPr>
          <w:b/>
          <w:bCs/>
          <w:sz w:val="24"/>
          <w:szCs w:val="24"/>
        </w:rPr>
        <w:t>Article 12 – Professional secrecy, confidentiality and data protection</w:t>
      </w:r>
    </w:p>
    <w:p w14:paraId="4A3677C1"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sanctions the obligation for:</w:t>
      </w:r>
    </w:p>
    <w:p w14:paraId="269D0021" w14:textId="77777777" w:rsidR="002B1840" w:rsidRPr="000C4031" w:rsidRDefault="002B1840" w:rsidP="000742F2">
      <w:pPr>
        <w:pStyle w:val="BodyText"/>
        <w:numPr>
          <w:ilvl w:val="0"/>
          <w:numId w:val="25"/>
        </w:numPr>
        <w:tabs>
          <w:tab w:val="left" w:pos="4783"/>
        </w:tabs>
        <w:spacing w:line="276" w:lineRule="auto"/>
        <w:ind w:right="48"/>
        <w:rPr>
          <w:sz w:val="24"/>
          <w:szCs w:val="24"/>
        </w:rPr>
      </w:pPr>
      <w:r>
        <w:rPr>
          <w:sz w:val="24"/>
          <w:szCs w:val="24"/>
        </w:rPr>
        <w:t>protection of data obtained from customs; and</w:t>
      </w:r>
    </w:p>
    <w:p w14:paraId="4DD3E3A7" w14:textId="66EA5901" w:rsidR="002B1840" w:rsidRPr="000C4031" w:rsidRDefault="002B1840" w:rsidP="000742F2">
      <w:pPr>
        <w:pStyle w:val="BodyText"/>
        <w:numPr>
          <w:ilvl w:val="0"/>
          <w:numId w:val="25"/>
        </w:numPr>
        <w:tabs>
          <w:tab w:val="left" w:pos="4783"/>
        </w:tabs>
        <w:spacing w:line="276" w:lineRule="auto"/>
        <w:ind w:right="48"/>
        <w:rPr>
          <w:sz w:val="24"/>
          <w:szCs w:val="24"/>
        </w:rPr>
      </w:pPr>
      <w:r>
        <w:rPr>
          <w:sz w:val="24"/>
          <w:szCs w:val="24"/>
        </w:rPr>
        <w:t>application of professional secrecy for the information circulated between competent authorities.</w:t>
      </w:r>
    </w:p>
    <w:p w14:paraId="54D16E49"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t>Article 13 – Protection of personal data and retention period</w:t>
      </w:r>
    </w:p>
    <w:p w14:paraId="0180C096"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is structured as a complete data protection regime:</w:t>
      </w:r>
    </w:p>
    <w:p w14:paraId="4368FAB5" w14:textId="77777777" w:rsidR="002B1840" w:rsidRPr="000C4031" w:rsidRDefault="002B1840" w:rsidP="000742F2">
      <w:pPr>
        <w:pStyle w:val="BodyText"/>
        <w:numPr>
          <w:ilvl w:val="0"/>
          <w:numId w:val="26"/>
        </w:numPr>
        <w:tabs>
          <w:tab w:val="left" w:pos="4783"/>
        </w:tabs>
        <w:spacing w:line="276" w:lineRule="auto"/>
        <w:ind w:right="48"/>
        <w:rPr>
          <w:sz w:val="24"/>
          <w:szCs w:val="24"/>
        </w:rPr>
      </w:pPr>
      <w:r>
        <w:rPr>
          <w:sz w:val="24"/>
          <w:szCs w:val="24"/>
        </w:rPr>
        <w:t>The competent authorities are controllers of data.</w:t>
      </w:r>
    </w:p>
    <w:p w14:paraId="2D66BEC8" w14:textId="77777777" w:rsidR="002B1840" w:rsidRPr="000C4031" w:rsidRDefault="002B1840" w:rsidP="000742F2">
      <w:pPr>
        <w:pStyle w:val="BodyText"/>
        <w:numPr>
          <w:ilvl w:val="0"/>
          <w:numId w:val="26"/>
        </w:numPr>
        <w:tabs>
          <w:tab w:val="left" w:pos="4783"/>
        </w:tabs>
        <w:spacing w:line="276" w:lineRule="auto"/>
        <w:ind w:right="48"/>
        <w:rPr>
          <w:sz w:val="24"/>
          <w:szCs w:val="24"/>
        </w:rPr>
      </w:pPr>
      <w:r>
        <w:rPr>
          <w:sz w:val="24"/>
          <w:szCs w:val="24"/>
        </w:rPr>
        <w:t>Processing solely for the purposes of prevention/fight against criminal activities.</w:t>
      </w:r>
    </w:p>
    <w:p w14:paraId="59B1D978" w14:textId="77777777" w:rsidR="002B1840" w:rsidRPr="000C4031" w:rsidRDefault="002B1840" w:rsidP="000742F2">
      <w:pPr>
        <w:pStyle w:val="BodyText"/>
        <w:numPr>
          <w:ilvl w:val="0"/>
          <w:numId w:val="26"/>
        </w:numPr>
        <w:tabs>
          <w:tab w:val="left" w:pos="4783"/>
        </w:tabs>
        <w:spacing w:line="276" w:lineRule="auto"/>
        <w:ind w:right="48"/>
        <w:rPr>
          <w:sz w:val="24"/>
          <w:szCs w:val="24"/>
        </w:rPr>
      </w:pPr>
      <w:r>
        <w:rPr>
          <w:sz w:val="24"/>
          <w:szCs w:val="24"/>
        </w:rPr>
        <w:t>Restricted access for authorised personnel; prohibition of distribution without authorisation, except when required by law/proceedings.</w:t>
      </w:r>
    </w:p>
    <w:p w14:paraId="16F0B021" w14:textId="77777777" w:rsidR="002B1840" w:rsidRPr="000C4031" w:rsidRDefault="002B1840" w:rsidP="000742F2">
      <w:pPr>
        <w:pStyle w:val="BodyText"/>
        <w:numPr>
          <w:ilvl w:val="0"/>
          <w:numId w:val="26"/>
        </w:numPr>
        <w:tabs>
          <w:tab w:val="left" w:pos="4783"/>
        </w:tabs>
        <w:spacing w:line="276" w:lineRule="auto"/>
        <w:ind w:right="48"/>
        <w:rPr>
          <w:sz w:val="24"/>
          <w:szCs w:val="24"/>
        </w:rPr>
      </w:pPr>
      <w:r>
        <w:rPr>
          <w:sz w:val="24"/>
          <w:szCs w:val="24"/>
        </w:rPr>
        <w:t>Retention: 5 years, with deletion after the expiry of the period.</w:t>
      </w:r>
    </w:p>
    <w:p w14:paraId="1756C0B8" w14:textId="787FF41D" w:rsidR="002B1840" w:rsidRPr="000C4031" w:rsidRDefault="002B1840" w:rsidP="000742F2">
      <w:pPr>
        <w:pStyle w:val="BodyText"/>
        <w:numPr>
          <w:ilvl w:val="0"/>
          <w:numId w:val="26"/>
        </w:numPr>
        <w:tabs>
          <w:tab w:val="left" w:pos="4783"/>
        </w:tabs>
        <w:spacing w:line="276" w:lineRule="auto"/>
        <w:ind w:right="48"/>
        <w:rPr>
          <w:sz w:val="24"/>
          <w:szCs w:val="24"/>
        </w:rPr>
      </w:pPr>
      <w:r>
        <w:rPr>
          <w:sz w:val="24"/>
          <w:szCs w:val="24"/>
        </w:rPr>
        <w:t>Extension once for up to 3 additional years only after assessment of necessity/proportionality by the AIF or competent authorities (according to their respective functions).</w:t>
      </w:r>
    </w:p>
    <w:p w14:paraId="762C172D"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t>Article 14 – Penalties</w:t>
      </w:r>
    </w:p>
    <w:p w14:paraId="14820C5E"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establishes the administrative sanctioning regime for non-declaration:</w:t>
      </w:r>
    </w:p>
    <w:p w14:paraId="5C211EBB" w14:textId="77777777" w:rsidR="002B1840" w:rsidRPr="000C4031" w:rsidRDefault="002B1840" w:rsidP="000742F2">
      <w:pPr>
        <w:pStyle w:val="BodyText"/>
        <w:numPr>
          <w:ilvl w:val="0"/>
          <w:numId w:val="27"/>
        </w:numPr>
        <w:tabs>
          <w:tab w:val="left" w:pos="4783"/>
        </w:tabs>
        <w:spacing w:line="276" w:lineRule="auto"/>
        <w:ind w:right="48"/>
        <w:rPr>
          <w:sz w:val="24"/>
          <w:szCs w:val="24"/>
        </w:rPr>
      </w:pPr>
      <w:r>
        <w:rPr>
          <w:sz w:val="24"/>
          <w:szCs w:val="24"/>
        </w:rPr>
        <w:t>Effective, proportionate, and dissuasive administrative fine.</w:t>
      </w:r>
    </w:p>
    <w:p w14:paraId="7DA4C8B1" w14:textId="77777777" w:rsidR="002B1840" w:rsidRPr="000C4031" w:rsidRDefault="002B1840" w:rsidP="000742F2">
      <w:pPr>
        <w:pStyle w:val="BodyText"/>
        <w:numPr>
          <w:ilvl w:val="0"/>
          <w:numId w:val="27"/>
        </w:numPr>
        <w:tabs>
          <w:tab w:val="left" w:pos="4783"/>
        </w:tabs>
        <w:spacing w:line="276" w:lineRule="auto"/>
        <w:ind w:right="48"/>
        <w:rPr>
          <w:sz w:val="24"/>
          <w:szCs w:val="24"/>
        </w:rPr>
      </w:pPr>
      <w:r>
        <w:rPr>
          <w:sz w:val="24"/>
          <w:szCs w:val="24"/>
        </w:rPr>
        <w:t>Scaling mechanism: percentage on the amount over 10,000 euro, according to intervals (up to 20k; 20–50k; over 50k), with a minimum of 500 euro in the first case.</w:t>
      </w:r>
    </w:p>
    <w:p w14:paraId="35B4298F" w14:textId="77777777" w:rsidR="002B1840" w:rsidRPr="000C4031" w:rsidRDefault="002B1840" w:rsidP="000742F2">
      <w:pPr>
        <w:pStyle w:val="BodyText"/>
        <w:numPr>
          <w:ilvl w:val="0"/>
          <w:numId w:val="27"/>
        </w:numPr>
        <w:tabs>
          <w:tab w:val="left" w:pos="4783"/>
        </w:tabs>
        <w:spacing w:line="276" w:lineRule="auto"/>
        <w:ind w:right="48"/>
        <w:rPr>
          <w:sz w:val="24"/>
          <w:szCs w:val="24"/>
        </w:rPr>
      </w:pPr>
      <w:r>
        <w:rPr>
          <w:sz w:val="24"/>
          <w:szCs w:val="24"/>
        </w:rPr>
        <w:t>When cash is not divisible, customs retains an “approximate” amount to ensure the execution of the fine.</w:t>
      </w:r>
    </w:p>
    <w:p w14:paraId="5BAB2525" w14:textId="77777777" w:rsidR="002B1840" w:rsidRPr="000C4031" w:rsidRDefault="002B1840" w:rsidP="000742F2">
      <w:pPr>
        <w:pStyle w:val="BodyText"/>
        <w:numPr>
          <w:ilvl w:val="0"/>
          <w:numId w:val="27"/>
        </w:numPr>
        <w:tabs>
          <w:tab w:val="left" w:pos="4783"/>
        </w:tabs>
        <w:spacing w:line="276" w:lineRule="auto"/>
        <w:ind w:right="48"/>
        <w:rPr>
          <w:sz w:val="24"/>
          <w:szCs w:val="24"/>
        </w:rPr>
      </w:pPr>
      <w:r>
        <w:rPr>
          <w:sz w:val="24"/>
          <w:szCs w:val="24"/>
        </w:rPr>
        <w:t>If a criminal offence (ML/FT) is suspected, the criminal referral with the file is submitted to the judicial authorities within 72 hours; the administrative sanction decision is also attached.</w:t>
      </w:r>
    </w:p>
    <w:p w14:paraId="1BF3A8A1" w14:textId="32C19A4B" w:rsidR="002B1840" w:rsidRPr="000C4031" w:rsidRDefault="002B1840" w:rsidP="000742F2">
      <w:pPr>
        <w:pStyle w:val="BodyText"/>
        <w:numPr>
          <w:ilvl w:val="0"/>
          <w:numId w:val="27"/>
        </w:numPr>
        <w:tabs>
          <w:tab w:val="left" w:pos="4783"/>
        </w:tabs>
        <w:spacing w:line="276" w:lineRule="auto"/>
        <w:ind w:right="48"/>
        <w:rPr>
          <w:sz w:val="24"/>
          <w:szCs w:val="24"/>
        </w:rPr>
      </w:pPr>
      <w:r>
        <w:rPr>
          <w:sz w:val="24"/>
          <w:szCs w:val="24"/>
        </w:rPr>
        <w:t>The Council of Ministers issues detailed rules for implementation.</w:t>
      </w:r>
    </w:p>
    <w:p w14:paraId="6D98F6DC"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t>Article 15 – Value-preserving goods with high liquidity and prepaid cards</w:t>
      </w:r>
    </w:p>
    <w:p w14:paraId="204355FA"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links the definition of “cash” to Annex I:</w:t>
      </w:r>
    </w:p>
    <w:p w14:paraId="52461BA1" w14:textId="77777777" w:rsidR="002B1840" w:rsidRPr="000C4031" w:rsidRDefault="002B1840" w:rsidP="000742F2">
      <w:pPr>
        <w:pStyle w:val="BodyText"/>
        <w:numPr>
          <w:ilvl w:val="0"/>
          <w:numId w:val="28"/>
        </w:numPr>
        <w:tabs>
          <w:tab w:val="left" w:pos="4783"/>
        </w:tabs>
        <w:spacing w:line="276" w:lineRule="auto"/>
        <w:ind w:right="48"/>
        <w:rPr>
          <w:sz w:val="24"/>
          <w:szCs w:val="24"/>
        </w:rPr>
      </w:pPr>
      <w:r>
        <w:rPr>
          <w:sz w:val="24"/>
          <w:szCs w:val="24"/>
        </w:rPr>
        <w:t>It determines which goods/cards are considered cash according to Annex I.</w:t>
      </w:r>
    </w:p>
    <w:p w14:paraId="76D4B3B5" w14:textId="5161F70F" w:rsidR="002B1840" w:rsidRPr="000C4031" w:rsidRDefault="002B1840" w:rsidP="000742F2">
      <w:pPr>
        <w:pStyle w:val="BodyText"/>
        <w:numPr>
          <w:ilvl w:val="0"/>
          <w:numId w:val="28"/>
        </w:numPr>
        <w:tabs>
          <w:tab w:val="left" w:pos="4783"/>
        </w:tabs>
        <w:spacing w:line="276" w:lineRule="auto"/>
        <w:ind w:right="48"/>
        <w:rPr>
          <w:sz w:val="24"/>
          <w:szCs w:val="24"/>
        </w:rPr>
      </w:pPr>
      <w:r>
        <w:rPr>
          <w:sz w:val="24"/>
          <w:szCs w:val="24"/>
        </w:rPr>
        <w:t>It provides a mechanism for updating Annex I in order to respond to new trends in money laundering/terrorist financing and best practices, to prevent the circumvention of obligations.</w:t>
      </w:r>
    </w:p>
    <w:p w14:paraId="58FF2049"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lastRenderedPageBreak/>
        <w:t>Article 16 – Bylaws</w:t>
      </w:r>
    </w:p>
    <w:p w14:paraId="4E868256"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delegates regulatory powers for uniform implementation:</w:t>
      </w:r>
    </w:p>
    <w:p w14:paraId="1942F3B6" w14:textId="77777777" w:rsidR="002B1840" w:rsidRPr="000C4031" w:rsidRDefault="002B1840" w:rsidP="000742F2">
      <w:pPr>
        <w:pStyle w:val="BodyText"/>
        <w:numPr>
          <w:ilvl w:val="0"/>
          <w:numId w:val="29"/>
        </w:numPr>
        <w:tabs>
          <w:tab w:val="left" w:pos="4783"/>
        </w:tabs>
        <w:spacing w:line="276" w:lineRule="auto"/>
        <w:ind w:right="48"/>
        <w:rPr>
          <w:sz w:val="24"/>
          <w:szCs w:val="24"/>
        </w:rPr>
      </w:pPr>
      <w:r>
        <w:rPr>
          <w:sz w:val="24"/>
          <w:szCs w:val="24"/>
        </w:rPr>
        <w:t>The Minister of Finance approves: (a) the templates of forms (declaration and informative declaration), (b) the criteria for the risk management framework, (c) the format for submitting information, (ç) rules/formats for anonymised statistics.</w:t>
      </w:r>
    </w:p>
    <w:p w14:paraId="388C581F" w14:textId="77777777" w:rsidR="002B1840" w:rsidRPr="000C4031" w:rsidRDefault="002B1840" w:rsidP="000742F2">
      <w:pPr>
        <w:pStyle w:val="BodyText"/>
        <w:numPr>
          <w:ilvl w:val="0"/>
          <w:numId w:val="29"/>
        </w:numPr>
        <w:tabs>
          <w:tab w:val="left" w:pos="4783"/>
        </w:tabs>
        <w:spacing w:line="276" w:lineRule="auto"/>
        <w:ind w:right="48"/>
        <w:rPr>
          <w:sz w:val="24"/>
          <w:szCs w:val="24"/>
        </w:rPr>
      </w:pPr>
      <w:r>
        <w:rPr>
          <w:sz w:val="24"/>
          <w:szCs w:val="24"/>
        </w:rPr>
        <w:t>It is foreseen that the technical rules for exchange via CIS will be approved only after access is granted by the EU (practical condition).</w:t>
      </w:r>
    </w:p>
    <w:p w14:paraId="7B1D7047" w14:textId="77777777" w:rsidR="002B1840" w:rsidRPr="000C4031" w:rsidRDefault="002B1840" w:rsidP="000742F2">
      <w:pPr>
        <w:pStyle w:val="BodyText"/>
        <w:numPr>
          <w:ilvl w:val="0"/>
          <w:numId w:val="29"/>
        </w:numPr>
        <w:tabs>
          <w:tab w:val="left" w:pos="4783"/>
        </w:tabs>
        <w:spacing w:line="276" w:lineRule="auto"/>
        <w:ind w:right="48"/>
        <w:rPr>
          <w:sz w:val="24"/>
          <w:szCs w:val="24"/>
        </w:rPr>
      </w:pPr>
      <w:r>
        <w:rPr>
          <w:sz w:val="24"/>
          <w:szCs w:val="24"/>
        </w:rPr>
        <w:t>The rules for anonymised statistics are determined in the relevant agreements.</w:t>
      </w:r>
    </w:p>
    <w:p w14:paraId="458B55E3" w14:textId="29617FC6" w:rsidR="00C452DC" w:rsidRPr="000C4031" w:rsidRDefault="002B1840" w:rsidP="000742F2">
      <w:pPr>
        <w:pStyle w:val="BodyText"/>
        <w:tabs>
          <w:tab w:val="left" w:pos="4783"/>
        </w:tabs>
        <w:spacing w:line="276" w:lineRule="auto"/>
        <w:ind w:right="48"/>
        <w:rPr>
          <w:sz w:val="24"/>
          <w:szCs w:val="24"/>
        </w:rPr>
      </w:pPr>
      <w:r>
        <w:rPr>
          <w:i/>
          <w:iCs/>
          <w:sz w:val="24"/>
          <w:szCs w:val="24"/>
        </w:rPr>
        <w:t>Technical note</w:t>
      </w:r>
      <w:r>
        <w:rPr>
          <w:sz w:val="24"/>
          <w:szCs w:val="24"/>
        </w:rPr>
        <w:t>: The text contains incorrect internal references (“Article 11/5”, “Article 11/10”) which need to be corrected before finalisation.</w:t>
      </w:r>
    </w:p>
    <w:p w14:paraId="791D3C86" w14:textId="0BBF50CC" w:rsidR="002B1840" w:rsidRPr="000C4031" w:rsidRDefault="002B1840" w:rsidP="000742F2">
      <w:pPr>
        <w:pStyle w:val="BodyText"/>
        <w:tabs>
          <w:tab w:val="left" w:pos="4783"/>
        </w:tabs>
        <w:spacing w:line="276" w:lineRule="auto"/>
        <w:ind w:right="48"/>
        <w:rPr>
          <w:b/>
          <w:bCs/>
          <w:sz w:val="24"/>
          <w:szCs w:val="24"/>
        </w:rPr>
      </w:pPr>
      <w:r>
        <w:rPr>
          <w:b/>
          <w:bCs/>
          <w:sz w:val="24"/>
          <w:szCs w:val="24"/>
        </w:rPr>
        <w:t>Article 17 – Publication of information</w:t>
      </w:r>
    </w:p>
    <w:p w14:paraId="71A7DC62"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establishes institutional transparency:</w:t>
      </w:r>
    </w:p>
    <w:p w14:paraId="4FBE979B" w14:textId="77777777" w:rsidR="002B1840" w:rsidRPr="000C4031" w:rsidRDefault="002B1840" w:rsidP="000742F2">
      <w:pPr>
        <w:pStyle w:val="BodyText"/>
        <w:numPr>
          <w:ilvl w:val="0"/>
          <w:numId w:val="30"/>
        </w:numPr>
        <w:tabs>
          <w:tab w:val="left" w:pos="4783"/>
        </w:tabs>
        <w:spacing w:line="276" w:lineRule="auto"/>
        <w:ind w:right="48"/>
        <w:rPr>
          <w:sz w:val="24"/>
          <w:szCs w:val="24"/>
        </w:rPr>
      </w:pPr>
      <w:r>
        <w:rPr>
          <w:sz w:val="24"/>
          <w:szCs w:val="24"/>
        </w:rPr>
        <w:t>Customs publish every year on the official website anonymised statistics on declarations, checks, and violations, and update them within 1 month of any change.</w:t>
      </w:r>
    </w:p>
    <w:p w14:paraId="50D1AD9C" w14:textId="6411D97D" w:rsidR="002B1840" w:rsidRPr="000C4031" w:rsidRDefault="002B1840" w:rsidP="000742F2">
      <w:pPr>
        <w:pStyle w:val="BodyText"/>
        <w:numPr>
          <w:ilvl w:val="0"/>
          <w:numId w:val="30"/>
        </w:numPr>
        <w:tabs>
          <w:tab w:val="left" w:pos="4783"/>
        </w:tabs>
        <w:spacing w:line="276" w:lineRule="auto"/>
        <w:ind w:right="48"/>
        <w:rPr>
          <w:sz w:val="24"/>
          <w:szCs w:val="24"/>
        </w:rPr>
      </w:pPr>
      <w:r>
        <w:rPr>
          <w:sz w:val="24"/>
          <w:szCs w:val="24"/>
        </w:rPr>
        <w:t>They clearly inform users about cash checks upon entry/exit.</w:t>
      </w:r>
    </w:p>
    <w:p w14:paraId="16FE152A"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t>Article 18 – Transitional provisions</w:t>
      </w:r>
    </w:p>
    <w:p w14:paraId="2C7E976B" w14:textId="77777777" w:rsidR="002B1840" w:rsidRPr="000C4031" w:rsidRDefault="002B1840" w:rsidP="000742F2">
      <w:pPr>
        <w:pStyle w:val="BodyText"/>
        <w:tabs>
          <w:tab w:val="left" w:pos="4783"/>
        </w:tabs>
        <w:spacing w:line="276" w:lineRule="auto"/>
        <w:ind w:right="48"/>
        <w:rPr>
          <w:sz w:val="24"/>
          <w:szCs w:val="24"/>
        </w:rPr>
      </w:pPr>
      <w:r>
        <w:rPr>
          <w:sz w:val="24"/>
          <w:szCs w:val="24"/>
        </w:rPr>
        <w:t>This article regulates entry into force and repeal:</w:t>
      </w:r>
    </w:p>
    <w:p w14:paraId="0F83AF54" w14:textId="77777777" w:rsidR="002B1840" w:rsidRPr="000C4031" w:rsidRDefault="002B1840" w:rsidP="000742F2">
      <w:pPr>
        <w:pStyle w:val="BodyText"/>
        <w:numPr>
          <w:ilvl w:val="0"/>
          <w:numId w:val="31"/>
        </w:numPr>
        <w:tabs>
          <w:tab w:val="left" w:pos="4783"/>
        </w:tabs>
        <w:spacing w:line="276" w:lineRule="auto"/>
        <w:ind w:right="48"/>
        <w:rPr>
          <w:sz w:val="24"/>
          <w:szCs w:val="24"/>
        </w:rPr>
      </w:pPr>
      <w:r>
        <w:rPr>
          <w:sz w:val="24"/>
          <w:szCs w:val="24"/>
        </w:rPr>
        <w:t>The implementation of the part related to CIS enters into force only after access is granted by the EU.</w:t>
      </w:r>
    </w:p>
    <w:p w14:paraId="2B4E73C4" w14:textId="2A77994E" w:rsidR="002B1840" w:rsidRPr="000C4031" w:rsidRDefault="002B1840" w:rsidP="000742F2">
      <w:pPr>
        <w:pStyle w:val="BodyText"/>
        <w:numPr>
          <w:ilvl w:val="0"/>
          <w:numId w:val="31"/>
        </w:numPr>
        <w:tabs>
          <w:tab w:val="left" w:pos="4783"/>
        </w:tabs>
        <w:spacing w:line="276" w:lineRule="auto"/>
        <w:ind w:right="48"/>
        <w:rPr>
          <w:sz w:val="24"/>
          <w:szCs w:val="24"/>
        </w:rPr>
      </w:pPr>
      <w:r>
        <w:rPr>
          <w:sz w:val="24"/>
          <w:szCs w:val="24"/>
        </w:rPr>
        <w:t>Part IV is repealed on the date of Albania's accession to the EU.</w:t>
      </w:r>
    </w:p>
    <w:p w14:paraId="7BBBF938" w14:textId="77777777" w:rsidR="002B1840" w:rsidRPr="000C4031" w:rsidRDefault="002B1840" w:rsidP="000742F2">
      <w:pPr>
        <w:pStyle w:val="BodyText"/>
        <w:tabs>
          <w:tab w:val="left" w:pos="4783"/>
        </w:tabs>
        <w:spacing w:line="276" w:lineRule="auto"/>
        <w:ind w:right="48"/>
        <w:rPr>
          <w:b/>
          <w:bCs/>
          <w:sz w:val="24"/>
          <w:szCs w:val="24"/>
        </w:rPr>
      </w:pPr>
      <w:r>
        <w:rPr>
          <w:b/>
          <w:bCs/>
          <w:sz w:val="24"/>
          <w:szCs w:val="24"/>
        </w:rPr>
        <w:t>ANNEX I – Content and function</w:t>
      </w:r>
    </w:p>
    <w:p w14:paraId="7554E36F" w14:textId="77777777" w:rsidR="002B1840" w:rsidRPr="000C4031" w:rsidRDefault="002B1840" w:rsidP="000742F2">
      <w:pPr>
        <w:pStyle w:val="BodyText"/>
        <w:tabs>
          <w:tab w:val="left" w:pos="4783"/>
        </w:tabs>
        <w:spacing w:line="276" w:lineRule="auto"/>
        <w:ind w:right="48"/>
        <w:rPr>
          <w:sz w:val="24"/>
          <w:szCs w:val="24"/>
        </w:rPr>
      </w:pPr>
      <w:r>
        <w:rPr>
          <w:sz w:val="24"/>
          <w:szCs w:val="24"/>
        </w:rPr>
        <w:t>The annex lists the specific categories that are considered “cash” for:</w:t>
      </w:r>
    </w:p>
    <w:p w14:paraId="54A61089" w14:textId="77777777" w:rsidR="002B1840" w:rsidRPr="000C4031" w:rsidRDefault="002B1840" w:rsidP="000742F2">
      <w:pPr>
        <w:pStyle w:val="BodyText"/>
        <w:numPr>
          <w:ilvl w:val="0"/>
          <w:numId w:val="32"/>
        </w:numPr>
        <w:tabs>
          <w:tab w:val="left" w:pos="4783"/>
        </w:tabs>
        <w:spacing w:line="276" w:lineRule="auto"/>
        <w:ind w:right="48"/>
        <w:rPr>
          <w:sz w:val="24"/>
          <w:szCs w:val="24"/>
        </w:rPr>
      </w:pPr>
      <w:r>
        <w:rPr>
          <w:bCs/>
          <w:sz w:val="24"/>
          <w:szCs w:val="24"/>
        </w:rPr>
        <w:t>Value-preserving goods with high liquidity (e.g. gold coins ≥ 90%, gold bars ≥ 99.5%).</w:t>
      </w:r>
    </w:p>
    <w:p w14:paraId="29A7A4EA" w14:textId="77777777" w:rsidR="00683BFC" w:rsidRPr="000C4031" w:rsidRDefault="002B1840" w:rsidP="000742F2">
      <w:pPr>
        <w:pStyle w:val="BodyText"/>
        <w:numPr>
          <w:ilvl w:val="0"/>
          <w:numId w:val="32"/>
        </w:numPr>
        <w:tabs>
          <w:tab w:val="left" w:pos="4783"/>
        </w:tabs>
        <w:spacing w:line="276" w:lineRule="auto"/>
        <w:ind w:right="48"/>
        <w:rPr>
          <w:sz w:val="24"/>
          <w:szCs w:val="24"/>
        </w:rPr>
      </w:pPr>
      <w:r>
        <w:rPr>
          <w:bCs/>
          <w:sz w:val="24"/>
          <w:szCs w:val="24"/>
        </w:rPr>
        <w:t>Prepaid cards (in your text it appears incomplete; the list should be completed according to the foreseen model).</w:t>
      </w:r>
    </w:p>
    <w:p w14:paraId="69F3976F" w14:textId="6948D1DB" w:rsidR="00BA6F6F" w:rsidRPr="000C4031" w:rsidRDefault="001B3476" w:rsidP="000742F2">
      <w:pPr>
        <w:pStyle w:val="BodyText"/>
        <w:tabs>
          <w:tab w:val="left" w:pos="450"/>
          <w:tab w:val="left" w:pos="4783"/>
        </w:tabs>
        <w:spacing w:line="276" w:lineRule="auto"/>
        <w:ind w:right="48"/>
        <w:rPr>
          <w:sz w:val="24"/>
          <w:szCs w:val="24"/>
        </w:rPr>
      </w:pPr>
      <w:r>
        <w:rPr>
          <w:sz w:val="24"/>
          <w:szCs w:val="24"/>
        </w:rPr>
        <w:tab/>
      </w:r>
    </w:p>
    <w:p w14:paraId="62CA8E3B" w14:textId="67699421" w:rsidR="0075341D" w:rsidRPr="000C4031" w:rsidRDefault="00E94EBD" w:rsidP="000742F2">
      <w:pPr>
        <w:pStyle w:val="ListParagraph"/>
        <w:numPr>
          <w:ilvl w:val="0"/>
          <w:numId w:val="1"/>
        </w:numPr>
        <w:tabs>
          <w:tab w:val="left" w:pos="450"/>
          <w:tab w:val="left" w:pos="630"/>
          <w:tab w:val="left" w:pos="2700"/>
          <w:tab w:val="left" w:pos="3330"/>
          <w:tab w:val="left" w:pos="6203"/>
          <w:tab w:val="left" w:pos="6949"/>
          <w:tab w:val="left" w:pos="9159"/>
        </w:tabs>
        <w:spacing w:line="276" w:lineRule="auto"/>
        <w:ind w:left="0" w:right="48" w:firstLine="0"/>
        <w:jc w:val="both"/>
        <w:rPr>
          <w:b/>
          <w:sz w:val="24"/>
          <w:szCs w:val="24"/>
        </w:rPr>
      </w:pPr>
      <w:r>
        <w:rPr>
          <w:b/>
          <w:spacing w:val="-2"/>
          <w:sz w:val="24"/>
          <w:szCs w:val="24"/>
        </w:rPr>
        <w:t>INSTITUTIONS</w:t>
      </w:r>
      <w:r>
        <w:rPr>
          <w:b/>
          <w:sz w:val="24"/>
          <w:szCs w:val="24"/>
        </w:rPr>
        <w:tab/>
      </w:r>
      <w:r>
        <w:rPr>
          <w:b/>
          <w:spacing w:val="-4"/>
          <w:sz w:val="24"/>
          <w:szCs w:val="24"/>
        </w:rPr>
        <w:t>AND</w:t>
      </w:r>
      <w:r>
        <w:rPr>
          <w:b/>
          <w:sz w:val="24"/>
          <w:szCs w:val="24"/>
        </w:rPr>
        <w:tab/>
      </w:r>
      <w:r>
        <w:rPr>
          <w:b/>
          <w:spacing w:val="-2"/>
          <w:sz w:val="24"/>
          <w:szCs w:val="24"/>
        </w:rPr>
        <w:t>AUTHORITIES CHARGED WITH THE IMPLEMENTATION OF THIS DRAFT LAW</w:t>
      </w:r>
    </w:p>
    <w:p w14:paraId="5864AA47" w14:textId="77777777" w:rsidR="00446493" w:rsidRPr="000C4031" w:rsidRDefault="00446493" w:rsidP="000742F2">
      <w:pPr>
        <w:pStyle w:val="ListParagraph"/>
        <w:tabs>
          <w:tab w:val="left" w:pos="450"/>
          <w:tab w:val="left" w:pos="630"/>
          <w:tab w:val="left" w:pos="2700"/>
          <w:tab w:val="left" w:pos="3330"/>
          <w:tab w:val="left" w:pos="6203"/>
          <w:tab w:val="left" w:pos="6949"/>
          <w:tab w:val="left" w:pos="9159"/>
        </w:tabs>
        <w:spacing w:line="276" w:lineRule="auto"/>
        <w:ind w:left="0" w:right="48" w:firstLine="0"/>
        <w:rPr>
          <w:b/>
          <w:sz w:val="24"/>
          <w:szCs w:val="24"/>
        </w:rPr>
      </w:pPr>
    </w:p>
    <w:p w14:paraId="196F25B7" w14:textId="295B4F8C" w:rsidR="006B13CA" w:rsidRPr="000C4031" w:rsidRDefault="00FB04D0" w:rsidP="000742F2">
      <w:pPr>
        <w:widowControl/>
        <w:tabs>
          <w:tab w:val="left" w:pos="450"/>
        </w:tabs>
        <w:autoSpaceDE/>
        <w:autoSpaceDN/>
        <w:spacing w:line="276" w:lineRule="auto"/>
        <w:jc w:val="both"/>
        <w:rPr>
          <w:sz w:val="24"/>
          <w:szCs w:val="24"/>
        </w:rPr>
      </w:pPr>
      <w:r>
        <w:rPr>
          <w:sz w:val="24"/>
          <w:szCs w:val="24"/>
        </w:rPr>
        <w:t>The implementation of this draft law is carried out by public authorities and supervisory entities, in accordance with their legal powers in the area of prevention of money laundering, terrorist financing, financial supervision, and customs control.</w:t>
      </w:r>
    </w:p>
    <w:p w14:paraId="7C158959" w14:textId="253C6804" w:rsidR="00FB04D0" w:rsidRPr="000C4031" w:rsidRDefault="00FB04D0" w:rsidP="000742F2">
      <w:pPr>
        <w:widowControl/>
        <w:tabs>
          <w:tab w:val="left" w:pos="450"/>
        </w:tabs>
        <w:autoSpaceDE/>
        <w:autoSpaceDN/>
        <w:spacing w:line="276" w:lineRule="auto"/>
        <w:jc w:val="both"/>
        <w:rPr>
          <w:b/>
          <w:sz w:val="24"/>
          <w:szCs w:val="24"/>
        </w:rPr>
      </w:pPr>
      <w:r>
        <w:rPr>
          <w:b/>
          <w:sz w:val="24"/>
          <w:szCs w:val="24"/>
        </w:rPr>
        <w:t>In particular:</w:t>
      </w:r>
    </w:p>
    <w:p w14:paraId="61431CBB" w14:textId="77777777" w:rsidR="00FB04D0" w:rsidRPr="000C4031" w:rsidRDefault="00FB04D0" w:rsidP="000742F2">
      <w:pPr>
        <w:widowControl/>
        <w:numPr>
          <w:ilvl w:val="0"/>
          <w:numId w:val="37"/>
        </w:numPr>
        <w:tabs>
          <w:tab w:val="left" w:pos="450"/>
        </w:tabs>
        <w:autoSpaceDE/>
        <w:autoSpaceDN/>
        <w:spacing w:line="276" w:lineRule="auto"/>
        <w:ind w:left="0" w:firstLine="0"/>
        <w:jc w:val="both"/>
        <w:rPr>
          <w:sz w:val="24"/>
          <w:szCs w:val="24"/>
        </w:rPr>
      </w:pPr>
      <w:r>
        <w:rPr>
          <w:b/>
          <w:bCs/>
          <w:sz w:val="24"/>
          <w:szCs w:val="24"/>
        </w:rPr>
        <w:t>Financial Intelligence Agency (AIF)</w:t>
      </w:r>
      <w:r>
        <w:rPr>
          <w:sz w:val="24"/>
          <w:szCs w:val="24"/>
        </w:rPr>
        <w:t>, in its capacity as the financial intelligence unit, is responsible for receiving, analyzing, and disseminating financial information, inter-institutional coordination, as well as general monitoring of the functioning of the reporting and tracing mechanisms for transfers of funds and crypto assets.</w:t>
      </w:r>
    </w:p>
    <w:p w14:paraId="66B22672" w14:textId="77777777" w:rsidR="00FB04D0" w:rsidRPr="000C4031" w:rsidRDefault="00FB04D0" w:rsidP="000742F2">
      <w:pPr>
        <w:widowControl/>
        <w:numPr>
          <w:ilvl w:val="0"/>
          <w:numId w:val="37"/>
        </w:numPr>
        <w:tabs>
          <w:tab w:val="left" w:pos="450"/>
        </w:tabs>
        <w:autoSpaceDE/>
        <w:autoSpaceDN/>
        <w:spacing w:line="276" w:lineRule="auto"/>
        <w:ind w:left="0" w:firstLine="0"/>
        <w:jc w:val="both"/>
        <w:rPr>
          <w:sz w:val="24"/>
          <w:szCs w:val="24"/>
        </w:rPr>
      </w:pPr>
      <w:r>
        <w:rPr>
          <w:b/>
          <w:bCs/>
          <w:sz w:val="24"/>
          <w:szCs w:val="24"/>
        </w:rPr>
        <w:t>Bank of Albania</w:t>
      </w:r>
      <w:r>
        <w:rPr>
          <w:sz w:val="24"/>
          <w:szCs w:val="24"/>
        </w:rPr>
        <w:t xml:space="preserve"> exercises supervisory powers over banks and payment institutions, regarding the implementation of obligations for accompanying transfers with the required information, data retention, and implementation of restrictive measures.</w:t>
      </w:r>
    </w:p>
    <w:p w14:paraId="5B79CE8F" w14:textId="77777777" w:rsidR="00FB04D0" w:rsidRPr="000C4031" w:rsidRDefault="00FB04D0" w:rsidP="000742F2">
      <w:pPr>
        <w:widowControl/>
        <w:numPr>
          <w:ilvl w:val="0"/>
          <w:numId w:val="37"/>
        </w:numPr>
        <w:tabs>
          <w:tab w:val="left" w:pos="450"/>
        </w:tabs>
        <w:autoSpaceDE/>
        <w:autoSpaceDN/>
        <w:spacing w:line="276" w:lineRule="auto"/>
        <w:ind w:left="0" w:firstLine="0"/>
        <w:jc w:val="both"/>
        <w:rPr>
          <w:sz w:val="24"/>
          <w:szCs w:val="24"/>
        </w:rPr>
      </w:pPr>
      <w:r>
        <w:rPr>
          <w:b/>
          <w:bCs/>
          <w:sz w:val="24"/>
          <w:szCs w:val="24"/>
        </w:rPr>
        <w:t>Financial Supervisory Authority</w:t>
      </w:r>
      <w:r>
        <w:rPr>
          <w:sz w:val="24"/>
          <w:szCs w:val="24"/>
        </w:rPr>
        <w:t xml:space="preserve"> supervises entities under its jurisdiction, including non-bank financial institutions and crypto asset market entities, according to the powers defined in sectoral legislation.</w:t>
      </w:r>
    </w:p>
    <w:p w14:paraId="6AF63A69" w14:textId="77777777" w:rsidR="00FB04D0" w:rsidRPr="000C4031" w:rsidRDefault="00FB04D0" w:rsidP="000742F2">
      <w:pPr>
        <w:widowControl/>
        <w:numPr>
          <w:ilvl w:val="0"/>
          <w:numId w:val="37"/>
        </w:numPr>
        <w:tabs>
          <w:tab w:val="left" w:pos="450"/>
        </w:tabs>
        <w:autoSpaceDE/>
        <w:autoSpaceDN/>
        <w:spacing w:line="276" w:lineRule="auto"/>
        <w:ind w:left="0" w:firstLine="0"/>
        <w:jc w:val="both"/>
        <w:rPr>
          <w:sz w:val="24"/>
          <w:szCs w:val="24"/>
        </w:rPr>
      </w:pPr>
      <w:r>
        <w:rPr>
          <w:b/>
          <w:bCs/>
          <w:sz w:val="24"/>
          <w:szCs w:val="24"/>
        </w:rPr>
        <w:lastRenderedPageBreak/>
        <w:t>General Directorate of Customs</w:t>
      </w:r>
      <w:r>
        <w:rPr>
          <w:sz w:val="24"/>
          <w:szCs w:val="24"/>
        </w:rPr>
        <w:t xml:space="preserve"> is responsible for implementing the provisions related to the control of physical money entering or leaving the territory of the Republic of Albania, including declaration, verification, temporary freezing, and information exchange.</w:t>
      </w:r>
    </w:p>
    <w:p w14:paraId="032BAEA8" w14:textId="77777777" w:rsidR="00FB04D0" w:rsidRPr="000C4031" w:rsidRDefault="00FB04D0" w:rsidP="000742F2">
      <w:pPr>
        <w:widowControl/>
        <w:numPr>
          <w:ilvl w:val="0"/>
          <w:numId w:val="37"/>
        </w:numPr>
        <w:tabs>
          <w:tab w:val="left" w:pos="450"/>
        </w:tabs>
        <w:autoSpaceDE/>
        <w:autoSpaceDN/>
        <w:spacing w:line="276" w:lineRule="auto"/>
        <w:ind w:left="0" w:firstLine="0"/>
        <w:jc w:val="both"/>
        <w:rPr>
          <w:sz w:val="24"/>
          <w:szCs w:val="24"/>
        </w:rPr>
      </w:pPr>
      <w:r>
        <w:rPr>
          <w:b/>
          <w:bCs/>
          <w:sz w:val="24"/>
          <w:szCs w:val="24"/>
        </w:rPr>
        <w:t>Other sectoral supervisory authorities</w:t>
      </w:r>
      <w:r>
        <w:rPr>
          <w:sz w:val="24"/>
          <w:szCs w:val="24"/>
        </w:rPr>
        <w:t>, according to their area of competence, ensure the implementation of obligations by the relevant entities.</w:t>
      </w:r>
    </w:p>
    <w:p w14:paraId="7468A1FD" w14:textId="3E2C977F" w:rsidR="0000439D" w:rsidRPr="000C4031" w:rsidRDefault="00FB04D0" w:rsidP="000742F2">
      <w:pPr>
        <w:widowControl/>
        <w:numPr>
          <w:ilvl w:val="0"/>
          <w:numId w:val="37"/>
        </w:numPr>
        <w:tabs>
          <w:tab w:val="left" w:pos="450"/>
        </w:tabs>
        <w:autoSpaceDE/>
        <w:autoSpaceDN/>
        <w:spacing w:line="276" w:lineRule="auto"/>
        <w:ind w:left="0" w:firstLine="0"/>
        <w:jc w:val="both"/>
        <w:rPr>
          <w:sz w:val="24"/>
          <w:szCs w:val="24"/>
        </w:rPr>
      </w:pPr>
      <w:r>
        <w:rPr>
          <w:b/>
          <w:bCs/>
          <w:sz w:val="24"/>
          <w:szCs w:val="24"/>
        </w:rPr>
        <w:t xml:space="preserve">Law enforcement agencies </w:t>
      </w:r>
      <w:r>
        <w:rPr>
          <w:sz w:val="24"/>
          <w:szCs w:val="24"/>
        </w:rPr>
        <w:t>in cases where elements of criminal offences related to money laundering, terrorist financing, or other violations provided for by criminal legislation are identified.</w:t>
      </w:r>
    </w:p>
    <w:p w14:paraId="259F4E02" w14:textId="25C7933F" w:rsidR="00FB04D0" w:rsidRPr="000C4031" w:rsidRDefault="00FB04D0" w:rsidP="000742F2">
      <w:pPr>
        <w:widowControl/>
        <w:tabs>
          <w:tab w:val="left" w:pos="450"/>
        </w:tabs>
        <w:autoSpaceDE/>
        <w:autoSpaceDN/>
        <w:spacing w:line="276" w:lineRule="auto"/>
        <w:jc w:val="both"/>
        <w:rPr>
          <w:sz w:val="24"/>
          <w:szCs w:val="24"/>
        </w:rPr>
      </w:pPr>
      <w:r>
        <w:rPr>
          <w:sz w:val="24"/>
          <w:szCs w:val="24"/>
        </w:rPr>
        <w:t>The Financial Intelligence Agency exercises a coordinating role at the national level for monitoring the effectiveness of the implementation of the new framework, in cooperation with supervisory authorities and law enforcement agencies.</w:t>
      </w:r>
    </w:p>
    <w:p w14:paraId="1BC49825" w14:textId="77777777" w:rsidR="00FB04D0" w:rsidRPr="000C4031" w:rsidRDefault="00FB04D0" w:rsidP="000742F2">
      <w:pPr>
        <w:pStyle w:val="ListParagraph"/>
        <w:tabs>
          <w:tab w:val="left" w:pos="0"/>
        </w:tabs>
        <w:spacing w:line="276" w:lineRule="auto"/>
        <w:ind w:left="0" w:right="48" w:firstLine="0"/>
        <w:rPr>
          <w:b/>
          <w:sz w:val="24"/>
          <w:szCs w:val="24"/>
        </w:rPr>
      </w:pPr>
    </w:p>
    <w:p w14:paraId="02992005" w14:textId="5B471059" w:rsidR="0075341D" w:rsidRPr="000C4031" w:rsidRDefault="00E94EBD" w:rsidP="000742F2">
      <w:pPr>
        <w:pStyle w:val="ListParagraph"/>
        <w:numPr>
          <w:ilvl w:val="0"/>
          <w:numId w:val="1"/>
        </w:numPr>
        <w:tabs>
          <w:tab w:val="left" w:pos="0"/>
        </w:tabs>
        <w:spacing w:line="276" w:lineRule="auto"/>
        <w:ind w:left="0" w:right="48" w:firstLine="0"/>
        <w:jc w:val="both"/>
        <w:rPr>
          <w:b/>
          <w:sz w:val="24"/>
          <w:szCs w:val="24"/>
        </w:rPr>
      </w:pPr>
      <w:r>
        <w:rPr>
          <w:b/>
          <w:sz w:val="24"/>
          <w:szCs w:val="24"/>
        </w:rPr>
        <w:t>PERSONS AND INSTITUTIONS THAT HAVE CONTRIBUTED TO THE DRAFTING OF THE DRAFT LAW.</w:t>
      </w:r>
    </w:p>
    <w:p w14:paraId="504AFA1A" w14:textId="77777777" w:rsidR="00446493" w:rsidRPr="000C4031" w:rsidRDefault="00446493" w:rsidP="000742F2">
      <w:pPr>
        <w:pStyle w:val="ListParagraph"/>
        <w:tabs>
          <w:tab w:val="left" w:pos="0"/>
        </w:tabs>
        <w:spacing w:line="276" w:lineRule="auto"/>
        <w:ind w:left="0" w:right="48" w:firstLine="0"/>
        <w:rPr>
          <w:b/>
          <w:sz w:val="24"/>
          <w:szCs w:val="24"/>
        </w:rPr>
      </w:pPr>
    </w:p>
    <w:p w14:paraId="2146339F" w14:textId="550B7319" w:rsidR="006D5D5B" w:rsidRPr="000C4031" w:rsidRDefault="006D5D5B" w:rsidP="000742F2">
      <w:pPr>
        <w:pStyle w:val="ListParagraph"/>
        <w:tabs>
          <w:tab w:val="left" w:pos="0"/>
        </w:tabs>
        <w:spacing w:line="276" w:lineRule="auto"/>
        <w:ind w:left="0" w:right="48" w:firstLine="0"/>
        <w:rPr>
          <w:sz w:val="24"/>
          <w:szCs w:val="24"/>
        </w:rPr>
      </w:pPr>
      <w:r>
        <w:rPr>
          <w:sz w:val="24"/>
          <w:szCs w:val="24"/>
        </w:rPr>
        <w:t>The draft law was drafted by an inter-institutional working group, established by Prime Minister's Order No. 222 dated 26.11.2025 and chaired by the Deputy Minister of Finance.</w:t>
      </w:r>
    </w:p>
    <w:p w14:paraId="6879DA2B" w14:textId="336DF073" w:rsidR="006D5D5B" w:rsidRPr="000C4031" w:rsidRDefault="006D5D5B" w:rsidP="000742F2">
      <w:pPr>
        <w:pStyle w:val="ListParagraph"/>
        <w:tabs>
          <w:tab w:val="left" w:pos="0"/>
        </w:tabs>
        <w:spacing w:line="276" w:lineRule="auto"/>
        <w:ind w:left="0" w:right="48" w:firstLine="0"/>
        <w:rPr>
          <w:sz w:val="24"/>
          <w:szCs w:val="24"/>
        </w:rPr>
      </w:pPr>
      <w:r>
        <w:rPr>
          <w:sz w:val="24"/>
          <w:szCs w:val="24"/>
        </w:rPr>
        <w:t>The group included representatives at the management level from the Bank of Albania, the Financial Supervisory Authority, the Ministry of Finance, the Ministry of Justice, the Financial Intelligence Agency, the General Directorate of Taxation, the State Cadastre Agency, the Gambling Supervisory Authority, the National Business Center, the Public Oversight Board, and the Albanian Bar Association.</w:t>
      </w:r>
    </w:p>
    <w:p w14:paraId="35EF1606" w14:textId="18F52262" w:rsidR="0056618D" w:rsidRPr="000C4031" w:rsidRDefault="006D5D5B" w:rsidP="000742F2">
      <w:pPr>
        <w:pStyle w:val="ListParagraph"/>
        <w:tabs>
          <w:tab w:val="left" w:pos="0"/>
        </w:tabs>
        <w:spacing w:line="276" w:lineRule="auto"/>
        <w:ind w:left="0" w:right="48" w:firstLine="0"/>
        <w:rPr>
          <w:sz w:val="24"/>
          <w:szCs w:val="24"/>
        </w:rPr>
      </w:pPr>
      <w:r>
        <w:rPr>
          <w:sz w:val="24"/>
          <w:szCs w:val="24"/>
        </w:rPr>
        <w:t>The working group has coordinated the technical and institutional contribution for the drafting of the draft law in accordance with the requirements for the harmonisation of national legislation with the acquis of the European Union.</w:t>
      </w:r>
    </w:p>
    <w:p w14:paraId="0F34CA1E" w14:textId="77777777" w:rsidR="00446493" w:rsidRPr="000C4031" w:rsidRDefault="00446493" w:rsidP="000742F2">
      <w:pPr>
        <w:pStyle w:val="ListParagraph"/>
        <w:tabs>
          <w:tab w:val="left" w:pos="0"/>
        </w:tabs>
        <w:spacing w:line="276" w:lineRule="auto"/>
        <w:ind w:left="0" w:right="48" w:firstLine="0"/>
        <w:rPr>
          <w:sz w:val="24"/>
          <w:szCs w:val="24"/>
        </w:rPr>
      </w:pPr>
    </w:p>
    <w:p w14:paraId="26FF921C" w14:textId="27A0FAE5" w:rsidR="00E76BF2" w:rsidRPr="000C4031" w:rsidRDefault="00E94EBD" w:rsidP="000742F2">
      <w:pPr>
        <w:pStyle w:val="ListParagraph"/>
        <w:numPr>
          <w:ilvl w:val="0"/>
          <w:numId w:val="1"/>
        </w:numPr>
        <w:tabs>
          <w:tab w:val="left" w:pos="0"/>
          <w:tab w:val="left" w:pos="808"/>
          <w:tab w:val="left" w:pos="811"/>
          <w:tab w:val="left" w:pos="2527"/>
          <w:tab w:val="left" w:pos="3062"/>
          <w:tab w:val="left" w:pos="5274"/>
          <w:tab w:val="left" w:pos="6070"/>
          <w:tab w:val="left" w:pos="6869"/>
          <w:tab w:val="left" w:pos="9111"/>
        </w:tabs>
        <w:spacing w:line="276" w:lineRule="auto"/>
        <w:ind w:left="0" w:right="48" w:firstLine="0"/>
        <w:jc w:val="both"/>
        <w:rPr>
          <w:b/>
          <w:sz w:val="24"/>
          <w:szCs w:val="24"/>
        </w:rPr>
      </w:pPr>
      <w:r>
        <w:rPr>
          <w:b/>
          <w:spacing w:val="-2"/>
          <w:sz w:val="24"/>
          <w:szCs w:val="24"/>
        </w:rPr>
        <w:t>INCOME ASSESSMENT REPORT</w:t>
      </w:r>
      <w:r>
        <w:rPr>
          <w:b/>
          <w:sz w:val="24"/>
          <w:szCs w:val="24"/>
        </w:rPr>
        <w:tab/>
      </w:r>
      <w:r>
        <w:rPr>
          <w:b/>
          <w:spacing w:val="-4"/>
          <w:sz w:val="24"/>
          <w:szCs w:val="24"/>
        </w:rPr>
        <w:t>AND BUDGET EXPENDITURES</w:t>
      </w:r>
    </w:p>
    <w:p w14:paraId="1F9CBE8E" w14:textId="77777777" w:rsidR="00446493" w:rsidRPr="000C4031" w:rsidRDefault="00446493" w:rsidP="000742F2">
      <w:pPr>
        <w:pStyle w:val="ListParagraph"/>
        <w:tabs>
          <w:tab w:val="left" w:pos="0"/>
          <w:tab w:val="left" w:pos="808"/>
          <w:tab w:val="left" w:pos="811"/>
          <w:tab w:val="left" w:pos="2527"/>
          <w:tab w:val="left" w:pos="3062"/>
          <w:tab w:val="left" w:pos="5274"/>
          <w:tab w:val="left" w:pos="6070"/>
          <w:tab w:val="left" w:pos="6869"/>
          <w:tab w:val="left" w:pos="9111"/>
        </w:tabs>
        <w:spacing w:line="276" w:lineRule="auto"/>
        <w:ind w:left="0" w:right="48" w:firstLine="0"/>
        <w:rPr>
          <w:b/>
          <w:sz w:val="24"/>
          <w:szCs w:val="24"/>
        </w:rPr>
      </w:pPr>
    </w:p>
    <w:p w14:paraId="4AA3B5BF" w14:textId="77777777" w:rsidR="00886ECC" w:rsidRPr="000C4031" w:rsidRDefault="00886ECC" w:rsidP="000742F2">
      <w:pPr>
        <w:spacing w:line="276" w:lineRule="auto"/>
        <w:ind w:right="48"/>
        <w:jc w:val="both"/>
        <w:rPr>
          <w:sz w:val="24"/>
          <w:szCs w:val="24"/>
        </w:rPr>
      </w:pPr>
      <w:r>
        <w:rPr>
          <w:sz w:val="24"/>
          <w:szCs w:val="24"/>
        </w:rPr>
        <w:t>The implementation of the draft law requires the updating of information technology systems, staff training, and the enhancement of institutional capacities.</w:t>
      </w:r>
    </w:p>
    <w:p w14:paraId="05803163" w14:textId="77777777" w:rsidR="00886ECC" w:rsidRPr="000C4031" w:rsidRDefault="00886ECC" w:rsidP="000742F2">
      <w:pPr>
        <w:spacing w:line="276" w:lineRule="auto"/>
        <w:ind w:right="48"/>
        <w:jc w:val="both"/>
        <w:rPr>
          <w:sz w:val="24"/>
          <w:szCs w:val="24"/>
        </w:rPr>
      </w:pPr>
      <w:r>
        <w:rPr>
          <w:sz w:val="24"/>
          <w:szCs w:val="24"/>
        </w:rPr>
        <w:t>These measures are foreseen to be implemented within the existing budgetary resources or through the redistribution of funds, without creating an unmanageable burden for the state budget.</w:t>
      </w:r>
    </w:p>
    <w:p w14:paraId="599FAB33" w14:textId="41A5FD4F" w:rsidR="0013622C" w:rsidRPr="000C4031" w:rsidRDefault="0013622C" w:rsidP="000742F2">
      <w:pPr>
        <w:spacing w:line="276" w:lineRule="auto"/>
        <w:ind w:right="48"/>
        <w:rPr>
          <w:b/>
          <w:sz w:val="24"/>
          <w:szCs w:val="24"/>
        </w:rPr>
      </w:pPr>
    </w:p>
    <w:p w14:paraId="17F39AE4" w14:textId="7789D279" w:rsidR="00302A73" w:rsidRPr="000C4031" w:rsidRDefault="00302A73" w:rsidP="000742F2">
      <w:pPr>
        <w:spacing w:line="276" w:lineRule="auto"/>
        <w:ind w:right="48"/>
        <w:rPr>
          <w:b/>
          <w:sz w:val="24"/>
          <w:szCs w:val="24"/>
        </w:rPr>
      </w:pPr>
    </w:p>
    <w:p w14:paraId="7D5C6E41" w14:textId="77777777" w:rsidR="00302A73" w:rsidRPr="000C4031" w:rsidRDefault="00302A73" w:rsidP="000742F2">
      <w:pPr>
        <w:spacing w:line="276" w:lineRule="auto"/>
        <w:ind w:right="48"/>
        <w:rPr>
          <w:b/>
          <w:sz w:val="24"/>
          <w:szCs w:val="24"/>
        </w:rPr>
      </w:pPr>
    </w:p>
    <w:p w14:paraId="363B2A51" w14:textId="5DAC55BF" w:rsidR="00A170B0" w:rsidRPr="000C4031" w:rsidRDefault="004F0D2D" w:rsidP="000742F2">
      <w:pPr>
        <w:spacing w:line="276" w:lineRule="auto"/>
        <w:ind w:left="491" w:right="48"/>
        <w:jc w:val="center"/>
        <w:rPr>
          <w:b/>
          <w:sz w:val="24"/>
          <w:szCs w:val="24"/>
        </w:rPr>
      </w:pPr>
      <w:r>
        <w:rPr>
          <w:b/>
          <w:sz w:val="24"/>
          <w:szCs w:val="24"/>
        </w:rPr>
        <w:t>MINISTER</w:t>
      </w:r>
    </w:p>
    <w:p w14:paraId="74DE8782" w14:textId="77777777" w:rsidR="00DA49BA" w:rsidRPr="000C4031" w:rsidRDefault="00DA49BA" w:rsidP="000742F2">
      <w:pPr>
        <w:spacing w:line="276" w:lineRule="auto"/>
        <w:ind w:left="491" w:right="48"/>
        <w:jc w:val="center"/>
        <w:rPr>
          <w:b/>
          <w:sz w:val="24"/>
          <w:szCs w:val="24"/>
        </w:rPr>
      </w:pPr>
    </w:p>
    <w:p w14:paraId="0DB79FE8" w14:textId="2BCD296D" w:rsidR="004F0D2D" w:rsidRPr="000C4031" w:rsidRDefault="004E5EF6" w:rsidP="000742F2">
      <w:pPr>
        <w:spacing w:line="276" w:lineRule="auto"/>
        <w:ind w:left="491" w:right="48"/>
        <w:jc w:val="center"/>
        <w:rPr>
          <w:b/>
          <w:szCs w:val="24"/>
        </w:rPr>
      </w:pPr>
      <w:r>
        <w:rPr>
          <w:b/>
          <w:szCs w:val="24"/>
        </w:rPr>
        <w:t>PETRIT MALAJ</w:t>
      </w:r>
    </w:p>
    <w:sectPr w:rsidR="004F0D2D" w:rsidRPr="000C4031" w:rsidSect="00E83544">
      <w:footerReference w:type="default" r:id="rId8"/>
      <w:pgSz w:w="11906" w:h="16838" w:code="9"/>
      <w:pgMar w:top="1440" w:right="1440" w:bottom="1440" w:left="1440" w:header="0" w:footer="86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17FC0" w14:textId="77777777" w:rsidR="0052381C" w:rsidRDefault="0052381C">
      <w:r>
        <w:separator/>
      </w:r>
    </w:p>
  </w:endnote>
  <w:endnote w:type="continuationSeparator" w:id="0">
    <w:p w14:paraId="737A0B90" w14:textId="77777777" w:rsidR="0052381C" w:rsidRDefault="0052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01672429"/>
      <w:docPartObj>
        <w:docPartGallery w:val="Page Numbers (Bottom of Page)"/>
        <w:docPartUnique/>
      </w:docPartObj>
    </w:sdtPr>
    <w:sdtEndPr>
      <w:rPr>
        <w:noProof/>
      </w:rPr>
    </w:sdtEndPr>
    <w:sdtContent>
      <w:p w14:paraId="71B5A7CF" w14:textId="49C9FB83" w:rsidR="00A638B2" w:rsidRPr="000C1CB4" w:rsidRDefault="00A638B2">
        <w:pPr>
          <w:pStyle w:val="Footer"/>
          <w:jc w:val="right"/>
          <w:rPr>
            <w:sz w:val="20"/>
            <w:szCs w:val="20"/>
          </w:rPr>
        </w:pPr>
        <w:r>
          <w:rPr>
            <w:sz w:val="20"/>
            <w:szCs w:val="20"/>
          </w:rPr>
          <w:t xml:space="preserve">      </w:t>
        </w:r>
        <w:r w:rsidRPr="000C1CB4">
          <w:rPr>
            <w:sz w:val="20"/>
            <w:szCs w:val="20"/>
          </w:rPr>
          <w:fldChar w:fldCharType="begin"/>
        </w:r>
        <w:r w:rsidRPr="000C1CB4">
          <w:rPr>
            <w:sz w:val="20"/>
            <w:szCs w:val="20"/>
          </w:rPr>
          <w:instrText xml:space="preserve"> PAGE   \* MERGEFORMAT </w:instrText>
        </w:r>
        <w:r w:rsidRPr="000C1CB4">
          <w:rPr>
            <w:sz w:val="20"/>
            <w:szCs w:val="20"/>
          </w:rPr>
          <w:fldChar w:fldCharType="separate"/>
        </w:r>
        <w:r w:rsidR="008B4A0A">
          <w:rPr>
            <w:noProof/>
            <w:sz w:val="20"/>
            <w:szCs w:val="20"/>
          </w:rPr>
          <w:t>2</w:t>
        </w:r>
        <w:r w:rsidRPr="000C1CB4">
          <w:rPr>
            <w:noProof/>
            <w:sz w:val="20"/>
            <w:szCs w:val="20"/>
          </w:rPr>
          <w:fldChar w:fldCharType="end"/>
        </w:r>
      </w:p>
    </w:sdtContent>
  </w:sdt>
  <w:p w14:paraId="49AE2ACD" w14:textId="4A0E219B" w:rsidR="00A638B2" w:rsidRPr="000C1CB4" w:rsidRDefault="00A638B2" w:rsidP="000C1CB4">
    <w:pPr>
      <w:pBdr>
        <w:top w:val="single" w:sz="4" w:space="1" w:color="auto"/>
      </w:pBdr>
      <w:spacing w:line="276" w:lineRule="auto"/>
      <w:ind w:right="48"/>
      <w:jc w:val="center"/>
      <w:rPr>
        <w:bCs/>
        <w:sz w:val="20"/>
        <w:szCs w:val="20"/>
      </w:rPr>
    </w:pPr>
    <w:r w:rsidRPr="000C1CB4">
      <w:rPr>
        <w:bCs/>
        <w:spacing w:val="-5"/>
        <w:sz w:val="20"/>
        <w:szCs w:val="20"/>
      </w:rPr>
      <w:t>Relacion shpjegues për projektligji</w:t>
    </w:r>
    <w:r>
      <w:rPr>
        <w:bCs/>
        <w:spacing w:val="-5"/>
        <w:sz w:val="20"/>
        <w:szCs w:val="20"/>
      </w:rPr>
      <w:t xml:space="preserve">n </w:t>
    </w:r>
    <w:r w:rsidRPr="000C1CB4">
      <w:rPr>
        <w:bCs/>
        <w:sz w:val="20"/>
        <w:szCs w:val="20"/>
      </w:rPr>
      <w:t xml:space="preserve"> “Për parandalimin e pastrimit të parave dhe financimit të terrorizmit”, </w:t>
    </w:r>
  </w:p>
  <w:p w14:paraId="60F3AD41" w14:textId="77777777" w:rsidR="00A638B2" w:rsidRDefault="00A638B2">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6A544" w14:textId="77777777" w:rsidR="0052381C" w:rsidRDefault="0052381C">
      <w:r>
        <w:separator/>
      </w:r>
    </w:p>
  </w:footnote>
  <w:footnote w:type="continuationSeparator" w:id="0">
    <w:p w14:paraId="5537539D" w14:textId="77777777" w:rsidR="0052381C" w:rsidRDefault="005238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E00"/>
    <w:multiLevelType w:val="multilevel"/>
    <w:tmpl w:val="16D6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F3CED"/>
    <w:multiLevelType w:val="multilevel"/>
    <w:tmpl w:val="3E6E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34F0C"/>
    <w:multiLevelType w:val="multilevel"/>
    <w:tmpl w:val="74D8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17CC4"/>
    <w:multiLevelType w:val="multilevel"/>
    <w:tmpl w:val="5CDE1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841D7"/>
    <w:multiLevelType w:val="multilevel"/>
    <w:tmpl w:val="38CC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57D96"/>
    <w:multiLevelType w:val="hybridMultilevel"/>
    <w:tmpl w:val="3760D6D8"/>
    <w:lvl w:ilvl="0" w:tplc="A0682AA2">
      <w:start w:val="1"/>
      <w:numFmt w:val="upperRoman"/>
      <w:lvlText w:val="%1."/>
      <w:lvlJc w:val="left"/>
      <w:pPr>
        <w:ind w:left="824" w:hanging="464"/>
        <w:jc w:val="right"/>
      </w:pPr>
      <w:rPr>
        <w:rFonts w:ascii="Times New Roman" w:eastAsia="Times New Roman" w:hAnsi="Times New Roman" w:cs="Times New Roman" w:hint="default"/>
        <w:b/>
        <w:bCs/>
        <w:i w:val="0"/>
        <w:iCs w:val="0"/>
        <w:spacing w:val="0"/>
        <w:w w:val="100"/>
        <w:sz w:val="24"/>
        <w:szCs w:val="24"/>
        <w:lang w:val="sq-AL" w:eastAsia="en-US" w:bidi="ar-SA"/>
      </w:rPr>
    </w:lvl>
    <w:lvl w:ilvl="1" w:tplc="5AD03382">
      <w:numFmt w:val="bullet"/>
      <w:lvlText w:val=""/>
      <w:lvlJc w:val="left"/>
      <w:pPr>
        <w:ind w:left="823" w:hanging="360"/>
      </w:pPr>
      <w:rPr>
        <w:rFonts w:ascii="Symbol" w:eastAsia="Symbol" w:hAnsi="Symbol" w:cs="Symbol" w:hint="default"/>
        <w:b w:val="0"/>
        <w:bCs w:val="0"/>
        <w:i w:val="0"/>
        <w:iCs w:val="0"/>
        <w:spacing w:val="0"/>
        <w:w w:val="100"/>
        <w:sz w:val="28"/>
        <w:szCs w:val="28"/>
        <w:lang w:val="sq-AL" w:eastAsia="en-US" w:bidi="ar-SA"/>
      </w:rPr>
    </w:lvl>
    <w:lvl w:ilvl="2" w:tplc="7A28D16E">
      <w:numFmt w:val="bullet"/>
      <w:lvlText w:val="•"/>
      <w:lvlJc w:val="left"/>
      <w:pPr>
        <w:ind w:left="1823" w:hanging="360"/>
      </w:pPr>
      <w:rPr>
        <w:rFonts w:hint="default"/>
        <w:lang w:val="sq-AL" w:eastAsia="en-US" w:bidi="ar-SA"/>
      </w:rPr>
    </w:lvl>
    <w:lvl w:ilvl="3" w:tplc="043A7A76">
      <w:numFmt w:val="bullet"/>
      <w:lvlText w:val="•"/>
      <w:lvlJc w:val="left"/>
      <w:pPr>
        <w:ind w:left="2823" w:hanging="360"/>
      </w:pPr>
      <w:rPr>
        <w:rFonts w:hint="default"/>
        <w:lang w:val="sq-AL" w:eastAsia="en-US" w:bidi="ar-SA"/>
      </w:rPr>
    </w:lvl>
    <w:lvl w:ilvl="4" w:tplc="A01CDF72">
      <w:numFmt w:val="bullet"/>
      <w:lvlText w:val="•"/>
      <w:lvlJc w:val="left"/>
      <w:pPr>
        <w:ind w:left="3823" w:hanging="360"/>
      </w:pPr>
      <w:rPr>
        <w:rFonts w:hint="default"/>
        <w:lang w:val="sq-AL" w:eastAsia="en-US" w:bidi="ar-SA"/>
      </w:rPr>
    </w:lvl>
    <w:lvl w:ilvl="5" w:tplc="BB94BCA0">
      <w:numFmt w:val="bullet"/>
      <w:lvlText w:val="•"/>
      <w:lvlJc w:val="left"/>
      <w:pPr>
        <w:ind w:left="4823" w:hanging="360"/>
      </w:pPr>
      <w:rPr>
        <w:rFonts w:hint="default"/>
        <w:lang w:val="sq-AL" w:eastAsia="en-US" w:bidi="ar-SA"/>
      </w:rPr>
    </w:lvl>
    <w:lvl w:ilvl="6" w:tplc="E2FA13DA">
      <w:numFmt w:val="bullet"/>
      <w:lvlText w:val="•"/>
      <w:lvlJc w:val="left"/>
      <w:pPr>
        <w:ind w:left="5823" w:hanging="360"/>
      </w:pPr>
      <w:rPr>
        <w:rFonts w:hint="default"/>
        <w:lang w:val="sq-AL" w:eastAsia="en-US" w:bidi="ar-SA"/>
      </w:rPr>
    </w:lvl>
    <w:lvl w:ilvl="7" w:tplc="FF482988">
      <w:numFmt w:val="bullet"/>
      <w:lvlText w:val="•"/>
      <w:lvlJc w:val="left"/>
      <w:pPr>
        <w:ind w:left="6823" w:hanging="360"/>
      </w:pPr>
      <w:rPr>
        <w:rFonts w:hint="default"/>
        <w:lang w:val="sq-AL" w:eastAsia="en-US" w:bidi="ar-SA"/>
      </w:rPr>
    </w:lvl>
    <w:lvl w:ilvl="8" w:tplc="B8E6CE5C">
      <w:numFmt w:val="bullet"/>
      <w:lvlText w:val="•"/>
      <w:lvlJc w:val="left"/>
      <w:pPr>
        <w:ind w:left="7823" w:hanging="360"/>
      </w:pPr>
      <w:rPr>
        <w:rFonts w:hint="default"/>
        <w:lang w:val="sq-AL" w:eastAsia="en-US" w:bidi="ar-SA"/>
      </w:rPr>
    </w:lvl>
  </w:abstractNum>
  <w:abstractNum w:abstractNumId="6" w15:restartNumberingAfterBreak="0">
    <w:nsid w:val="0F7A6A27"/>
    <w:multiLevelType w:val="hybridMultilevel"/>
    <w:tmpl w:val="5590E5E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1AF861E6"/>
    <w:multiLevelType w:val="multilevel"/>
    <w:tmpl w:val="FE86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D1BCE"/>
    <w:multiLevelType w:val="multilevel"/>
    <w:tmpl w:val="D246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F6F3E"/>
    <w:multiLevelType w:val="multilevel"/>
    <w:tmpl w:val="C736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201F5"/>
    <w:multiLevelType w:val="multilevel"/>
    <w:tmpl w:val="6FC4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73C50"/>
    <w:multiLevelType w:val="multilevel"/>
    <w:tmpl w:val="185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15570"/>
    <w:multiLevelType w:val="multilevel"/>
    <w:tmpl w:val="C9A2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E7C10"/>
    <w:multiLevelType w:val="multilevel"/>
    <w:tmpl w:val="6956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03651"/>
    <w:multiLevelType w:val="hybridMultilevel"/>
    <w:tmpl w:val="2FF2C1E6"/>
    <w:lvl w:ilvl="0" w:tplc="878ECA30">
      <w:start w:val="3"/>
      <w:numFmt w:val="bullet"/>
      <w:lvlText w:val="-"/>
      <w:lvlJc w:val="left"/>
      <w:pPr>
        <w:ind w:left="720" w:hanging="360"/>
      </w:pPr>
      <w:rPr>
        <w:rFonts w:ascii="Times New Roman" w:eastAsiaTheme="minorEastAsia"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3CFB2EF4"/>
    <w:multiLevelType w:val="multilevel"/>
    <w:tmpl w:val="1194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215F8"/>
    <w:multiLevelType w:val="multilevel"/>
    <w:tmpl w:val="E39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85F66"/>
    <w:multiLevelType w:val="multilevel"/>
    <w:tmpl w:val="2D10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45CBA"/>
    <w:multiLevelType w:val="multilevel"/>
    <w:tmpl w:val="31B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C52187"/>
    <w:multiLevelType w:val="multilevel"/>
    <w:tmpl w:val="CA16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D6574"/>
    <w:multiLevelType w:val="multilevel"/>
    <w:tmpl w:val="BD3C2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A1B42"/>
    <w:multiLevelType w:val="multilevel"/>
    <w:tmpl w:val="D206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6F54D1"/>
    <w:multiLevelType w:val="multilevel"/>
    <w:tmpl w:val="24F0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502819"/>
    <w:multiLevelType w:val="hybridMultilevel"/>
    <w:tmpl w:val="9A180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A2E41"/>
    <w:multiLevelType w:val="multilevel"/>
    <w:tmpl w:val="5852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006451"/>
    <w:multiLevelType w:val="multilevel"/>
    <w:tmpl w:val="7D42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6D3873"/>
    <w:multiLevelType w:val="multilevel"/>
    <w:tmpl w:val="ABA8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BD6DE4"/>
    <w:multiLevelType w:val="multilevel"/>
    <w:tmpl w:val="0D34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819B6"/>
    <w:multiLevelType w:val="multilevel"/>
    <w:tmpl w:val="0CE2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FB55FF"/>
    <w:multiLevelType w:val="multilevel"/>
    <w:tmpl w:val="AB36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8767D3"/>
    <w:multiLevelType w:val="multilevel"/>
    <w:tmpl w:val="90A2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5E26B8"/>
    <w:multiLevelType w:val="multilevel"/>
    <w:tmpl w:val="0FFC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736D18"/>
    <w:multiLevelType w:val="multilevel"/>
    <w:tmpl w:val="0466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8B4907"/>
    <w:multiLevelType w:val="multilevel"/>
    <w:tmpl w:val="AE34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016A8A"/>
    <w:multiLevelType w:val="multilevel"/>
    <w:tmpl w:val="20C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534864"/>
    <w:multiLevelType w:val="multilevel"/>
    <w:tmpl w:val="BA22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BF2B8E"/>
    <w:multiLevelType w:val="multilevel"/>
    <w:tmpl w:val="57C6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C20C3"/>
    <w:multiLevelType w:val="multilevel"/>
    <w:tmpl w:val="3C5C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1B11A8"/>
    <w:multiLevelType w:val="multilevel"/>
    <w:tmpl w:val="0916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8692B"/>
    <w:multiLevelType w:val="multilevel"/>
    <w:tmpl w:val="B834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0715BD"/>
    <w:multiLevelType w:val="multilevel"/>
    <w:tmpl w:val="6A54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0E07C5"/>
    <w:multiLevelType w:val="hybridMultilevel"/>
    <w:tmpl w:val="458ECFE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5"/>
  </w:num>
  <w:num w:numId="2">
    <w:abstractNumId w:val="22"/>
  </w:num>
  <w:num w:numId="3">
    <w:abstractNumId w:val="28"/>
  </w:num>
  <w:num w:numId="4">
    <w:abstractNumId w:val="33"/>
  </w:num>
  <w:num w:numId="5">
    <w:abstractNumId w:val="31"/>
  </w:num>
  <w:num w:numId="6">
    <w:abstractNumId w:val="24"/>
  </w:num>
  <w:num w:numId="7">
    <w:abstractNumId w:val="34"/>
  </w:num>
  <w:num w:numId="8">
    <w:abstractNumId w:val="8"/>
  </w:num>
  <w:num w:numId="9">
    <w:abstractNumId w:val="26"/>
  </w:num>
  <w:num w:numId="10">
    <w:abstractNumId w:val="36"/>
  </w:num>
  <w:num w:numId="11">
    <w:abstractNumId w:val="19"/>
  </w:num>
  <w:num w:numId="12">
    <w:abstractNumId w:val="39"/>
  </w:num>
  <w:num w:numId="13">
    <w:abstractNumId w:val="7"/>
  </w:num>
  <w:num w:numId="14">
    <w:abstractNumId w:val="21"/>
  </w:num>
  <w:num w:numId="15">
    <w:abstractNumId w:val="27"/>
  </w:num>
  <w:num w:numId="16">
    <w:abstractNumId w:val="16"/>
  </w:num>
  <w:num w:numId="17">
    <w:abstractNumId w:val="13"/>
  </w:num>
  <w:num w:numId="18">
    <w:abstractNumId w:val="38"/>
  </w:num>
  <w:num w:numId="19">
    <w:abstractNumId w:val="2"/>
  </w:num>
  <w:num w:numId="20">
    <w:abstractNumId w:val="18"/>
  </w:num>
  <w:num w:numId="21">
    <w:abstractNumId w:val="35"/>
  </w:num>
  <w:num w:numId="22">
    <w:abstractNumId w:val="0"/>
  </w:num>
  <w:num w:numId="23">
    <w:abstractNumId w:val="25"/>
  </w:num>
  <w:num w:numId="24">
    <w:abstractNumId w:val="30"/>
  </w:num>
  <w:num w:numId="25">
    <w:abstractNumId w:val="1"/>
  </w:num>
  <w:num w:numId="26">
    <w:abstractNumId w:val="17"/>
  </w:num>
  <w:num w:numId="27">
    <w:abstractNumId w:val="29"/>
  </w:num>
  <w:num w:numId="28">
    <w:abstractNumId w:val="11"/>
  </w:num>
  <w:num w:numId="29">
    <w:abstractNumId w:val="40"/>
  </w:num>
  <w:num w:numId="30">
    <w:abstractNumId w:val="37"/>
  </w:num>
  <w:num w:numId="31">
    <w:abstractNumId w:val="4"/>
  </w:num>
  <w:num w:numId="32">
    <w:abstractNumId w:val="3"/>
  </w:num>
  <w:num w:numId="33">
    <w:abstractNumId w:val="15"/>
  </w:num>
  <w:num w:numId="34">
    <w:abstractNumId w:val="20"/>
  </w:num>
  <w:num w:numId="35">
    <w:abstractNumId w:val="12"/>
  </w:num>
  <w:num w:numId="36">
    <w:abstractNumId w:val="32"/>
  </w:num>
  <w:num w:numId="37">
    <w:abstractNumId w:val="9"/>
  </w:num>
  <w:num w:numId="38">
    <w:abstractNumId w:val="23"/>
  </w:num>
  <w:num w:numId="39">
    <w:abstractNumId w:val="14"/>
  </w:num>
  <w:num w:numId="40">
    <w:abstractNumId w:val="41"/>
  </w:num>
  <w:num w:numId="41">
    <w:abstractNumId w:val="6"/>
  </w:num>
  <w:num w:numId="42">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BC"/>
    <w:rsid w:val="000001CD"/>
    <w:rsid w:val="00002EAF"/>
    <w:rsid w:val="000038AD"/>
    <w:rsid w:val="00004380"/>
    <w:rsid w:val="0000439D"/>
    <w:rsid w:val="00004E5E"/>
    <w:rsid w:val="00005984"/>
    <w:rsid w:val="00005FE5"/>
    <w:rsid w:val="000139A6"/>
    <w:rsid w:val="00025C27"/>
    <w:rsid w:val="00027D64"/>
    <w:rsid w:val="0004188A"/>
    <w:rsid w:val="00056E6B"/>
    <w:rsid w:val="000623FB"/>
    <w:rsid w:val="0006355F"/>
    <w:rsid w:val="00066B73"/>
    <w:rsid w:val="000742F2"/>
    <w:rsid w:val="000763DD"/>
    <w:rsid w:val="00090E82"/>
    <w:rsid w:val="000973CD"/>
    <w:rsid w:val="000A224C"/>
    <w:rsid w:val="000C1CB4"/>
    <w:rsid w:val="000C4031"/>
    <w:rsid w:val="000C7ADA"/>
    <w:rsid w:val="000C7D7F"/>
    <w:rsid w:val="000E1318"/>
    <w:rsid w:val="000E399A"/>
    <w:rsid w:val="000E50FE"/>
    <w:rsid w:val="001014F3"/>
    <w:rsid w:val="00103330"/>
    <w:rsid w:val="00103C84"/>
    <w:rsid w:val="001312BE"/>
    <w:rsid w:val="00132AA3"/>
    <w:rsid w:val="0013622C"/>
    <w:rsid w:val="001372A4"/>
    <w:rsid w:val="001439A3"/>
    <w:rsid w:val="00144779"/>
    <w:rsid w:val="0015179C"/>
    <w:rsid w:val="0016474B"/>
    <w:rsid w:val="001938A9"/>
    <w:rsid w:val="00194B4F"/>
    <w:rsid w:val="00195900"/>
    <w:rsid w:val="0019658A"/>
    <w:rsid w:val="001A416F"/>
    <w:rsid w:val="001A4D58"/>
    <w:rsid w:val="001A7009"/>
    <w:rsid w:val="001B12F6"/>
    <w:rsid w:val="001B2FD8"/>
    <w:rsid w:val="001B3476"/>
    <w:rsid w:val="001C19FD"/>
    <w:rsid w:val="001D1304"/>
    <w:rsid w:val="001D6344"/>
    <w:rsid w:val="001D7B94"/>
    <w:rsid w:val="001E02B6"/>
    <w:rsid w:val="001E24BA"/>
    <w:rsid w:val="001F0648"/>
    <w:rsid w:val="001F11A2"/>
    <w:rsid w:val="002152AE"/>
    <w:rsid w:val="00230C8D"/>
    <w:rsid w:val="0024124A"/>
    <w:rsid w:val="002579AA"/>
    <w:rsid w:val="00292B17"/>
    <w:rsid w:val="002A7836"/>
    <w:rsid w:val="002B1338"/>
    <w:rsid w:val="002B1840"/>
    <w:rsid w:val="002C0368"/>
    <w:rsid w:val="002C3AF6"/>
    <w:rsid w:val="002E11D4"/>
    <w:rsid w:val="002F1A0C"/>
    <w:rsid w:val="00300E56"/>
    <w:rsid w:val="00302A73"/>
    <w:rsid w:val="00330E9B"/>
    <w:rsid w:val="0033704F"/>
    <w:rsid w:val="00356BEA"/>
    <w:rsid w:val="00364646"/>
    <w:rsid w:val="003A31F4"/>
    <w:rsid w:val="003A51E9"/>
    <w:rsid w:val="003B2AE3"/>
    <w:rsid w:val="003B348F"/>
    <w:rsid w:val="003B71A0"/>
    <w:rsid w:val="003C2D23"/>
    <w:rsid w:val="003C4224"/>
    <w:rsid w:val="003E3C36"/>
    <w:rsid w:val="003F36CD"/>
    <w:rsid w:val="003F7041"/>
    <w:rsid w:val="003F7C7D"/>
    <w:rsid w:val="004142D0"/>
    <w:rsid w:val="00426B9D"/>
    <w:rsid w:val="00433F79"/>
    <w:rsid w:val="00437A46"/>
    <w:rsid w:val="00446493"/>
    <w:rsid w:val="00464EE7"/>
    <w:rsid w:val="00470762"/>
    <w:rsid w:val="00473A3D"/>
    <w:rsid w:val="00480201"/>
    <w:rsid w:val="004836FC"/>
    <w:rsid w:val="00490CF3"/>
    <w:rsid w:val="00492C0E"/>
    <w:rsid w:val="00496CC7"/>
    <w:rsid w:val="004A7A2A"/>
    <w:rsid w:val="004B0520"/>
    <w:rsid w:val="004C27D7"/>
    <w:rsid w:val="004C7389"/>
    <w:rsid w:val="004D5FC8"/>
    <w:rsid w:val="004E5EF6"/>
    <w:rsid w:val="004F0D2D"/>
    <w:rsid w:val="004F4CCB"/>
    <w:rsid w:val="00500057"/>
    <w:rsid w:val="00505694"/>
    <w:rsid w:val="00506BD8"/>
    <w:rsid w:val="005136A4"/>
    <w:rsid w:val="00515CBD"/>
    <w:rsid w:val="0051664E"/>
    <w:rsid w:val="0052381C"/>
    <w:rsid w:val="0053792F"/>
    <w:rsid w:val="005427B9"/>
    <w:rsid w:val="00544D31"/>
    <w:rsid w:val="00546CD1"/>
    <w:rsid w:val="00553A21"/>
    <w:rsid w:val="00554035"/>
    <w:rsid w:val="005552C8"/>
    <w:rsid w:val="00556BFD"/>
    <w:rsid w:val="00563A38"/>
    <w:rsid w:val="0056618D"/>
    <w:rsid w:val="0056683A"/>
    <w:rsid w:val="0057297F"/>
    <w:rsid w:val="00590247"/>
    <w:rsid w:val="00597749"/>
    <w:rsid w:val="005A29AE"/>
    <w:rsid w:val="005A406F"/>
    <w:rsid w:val="005D6403"/>
    <w:rsid w:val="00613779"/>
    <w:rsid w:val="0062489A"/>
    <w:rsid w:val="00640C54"/>
    <w:rsid w:val="006639D0"/>
    <w:rsid w:val="00665B38"/>
    <w:rsid w:val="00667DE2"/>
    <w:rsid w:val="006759DB"/>
    <w:rsid w:val="00683BFC"/>
    <w:rsid w:val="0069290F"/>
    <w:rsid w:val="006934F9"/>
    <w:rsid w:val="006B13CA"/>
    <w:rsid w:val="006C0875"/>
    <w:rsid w:val="006D5D5B"/>
    <w:rsid w:val="006E1886"/>
    <w:rsid w:val="006F0635"/>
    <w:rsid w:val="006F243E"/>
    <w:rsid w:val="006F2A0E"/>
    <w:rsid w:val="00717AFA"/>
    <w:rsid w:val="007227BB"/>
    <w:rsid w:val="007309D3"/>
    <w:rsid w:val="007333CC"/>
    <w:rsid w:val="007457FC"/>
    <w:rsid w:val="0075341D"/>
    <w:rsid w:val="00754B49"/>
    <w:rsid w:val="007647DE"/>
    <w:rsid w:val="00781C22"/>
    <w:rsid w:val="00795C64"/>
    <w:rsid w:val="007C41F6"/>
    <w:rsid w:val="007D12D1"/>
    <w:rsid w:val="007F2966"/>
    <w:rsid w:val="007F39D2"/>
    <w:rsid w:val="007F3C89"/>
    <w:rsid w:val="007F4F28"/>
    <w:rsid w:val="00802880"/>
    <w:rsid w:val="008037EE"/>
    <w:rsid w:val="00804179"/>
    <w:rsid w:val="00811399"/>
    <w:rsid w:val="0082018C"/>
    <w:rsid w:val="008312E9"/>
    <w:rsid w:val="00834908"/>
    <w:rsid w:val="008528DD"/>
    <w:rsid w:val="00861882"/>
    <w:rsid w:val="00870145"/>
    <w:rsid w:val="00871F18"/>
    <w:rsid w:val="00886ECC"/>
    <w:rsid w:val="00897006"/>
    <w:rsid w:val="008B4A0A"/>
    <w:rsid w:val="008B6F6E"/>
    <w:rsid w:val="008C10B9"/>
    <w:rsid w:val="008C701F"/>
    <w:rsid w:val="008D10E3"/>
    <w:rsid w:val="008E0EFC"/>
    <w:rsid w:val="008E626D"/>
    <w:rsid w:val="009047FA"/>
    <w:rsid w:val="00913CDC"/>
    <w:rsid w:val="0092540A"/>
    <w:rsid w:val="00936260"/>
    <w:rsid w:val="00940334"/>
    <w:rsid w:val="00942D78"/>
    <w:rsid w:val="009505BC"/>
    <w:rsid w:val="00962A2D"/>
    <w:rsid w:val="00966B06"/>
    <w:rsid w:val="009712F9"/>
    <w:rsid w:val="009734A6"/>
    <w:rsid w:val="00975C14"/>
    <w:rsid w:val="00976341"/>
    <w:rsid w:val="009952F2"/>
    <w:rsid w:val="009C0F14"/>
    <w:rsid w:val="009D1EF0"/>
    <w:rsid w:val="009D3D16"/>
    <w:rsid w:val="009F5A9F"/>
    <w:rsid w:val="009F616A"/>
    <w:rsid w:val="00A02418"/>
    <w:rsid w:val="00A02801"/>
    <w:rsid w:val="00A1062A"/>
    <w:rsid w:val="00A170B0"/>
    <w:rsid w:val="00A17DF7"/>
    <w:rsid w:val="00A23724"/>
    <w:rsid w:val="00A24964"/>
    <w:rsid w:val="00A413A5"/>
    <w:rsid w:val="00A60C56"/>
    <w:rsid w:val="00A638B2"/>
    <w:rsid w:val="00A66583"/>
    <w:rsid w:val="00A96BB7"/>
    <w:rsid w:val="00AA1D7D"/>
    <w:rsid w:val="00AA3B07"/>
    <w:rsid w:val="00AA437C"/>
    <w:rsid w:val="00AD4693"/>
    <w:rsid w:val="00AD7853"/>
    <w:rsid w:val="00AE4159"/>
    <w:rsid w:val="00AF7503"/>
    <w:rsid w:val="00B0084F"/>
    <w:rsid w:val="00B0667A"/>
    <w:rsid w:val="00B3183D"/>
    <w:rsid w:val="00B64014"/>
    <w:rsid w:val="00B71559"/>
    <w:rsid w:val="00B72800"/>
    <w:rsid w:val="00B816E9"/>
    <w:rsid w:val="00B84A87"/>
    <w:rsid w:val="00B97FD5"/>
    <w:rsid w:val="00BA0521"/>
    <w:rsid w:val="00BA1798"/>
    <w:rsid w:val="00BA6F6F"/>
    <w:rsid w:val="00BB03C6"/>
    <w:rsid w:val="00BB53C1"/>
    <w:rsid w:val="00BC662D"/>
    <w:rsid w:val="00BF3EEE"/>
    <w:rsid w:val="00BF4AFC"/>
    <w:rsid w:val="00C04806"/>
    <w:rsid w:val="00C17726"/>
    <w:rsid w:val="00C20AFF"/>
    <w:rsid w:val="00C224AA"/>
    <w:rsid w:val="00C35AFA"/>
    <w:rsid w:val="00C40173"/>
    <w:rsid w:val="00C452DC"/>
    <w:rsid w:val="00C47C9B"/>
    <w:rsid w:val="00C675BA"/>
    <w:rsid w:val="00C82945"/>
    <w:rsid w:val="00C84E19"/>
    <w:rsid w:val="00C93047"/>
    <w:rsid w:val="00CB0096"/>
    <w:rsid w:val="00CC15D0"/>
    <w:rsid w:val="00CC1B29"/>
    <w:rsid w:val="00CC47AB"/>
    <w:rsid w:val="00CD6840"/>
    <w:rsid w:val="00CE2AE2"/>
    <w:rsid w:val="00CE3CEE"/>
    <w:rsid w:val="00CE6848"/>
    <w:rsid w:val="00D06F6B"/>
    <w:rsid w:val="00D1530D"/>
    <w:rsid w:val="00D24F12"/>
    <w:rsid w:val="00D81940"/>
    <w:rsid w:val="00D90B87"/>
    <w:rsid w:val="00DA02FD"/>
    <w:rsid w:val="00DA49BA"/>
    <w:rsid w:val="00DC26F2"/>
    <w:rsid w:val="00DD4AC9"/>
    <w:rsid w:val="00DE3404"/>
    <w:rsid w:val="00DE453E"/>
    <w:rsid w:val="00DE7352"/>
    <w:rsid w:val="00DF6FE4"/>
    <w:rsid w:val="00E00808"/>
    <w:rsid w:val="00E02575"/>
    <w:rsid w:val="00E03C40"/>
    <w:rsid w:val="00E11606"/>
    <w:rsid w:val="00E139B2"/>
    <w:rsid w:val="00E21594"/>
    <w:rsid w:val="00E448F0"/>
    <w:rsid w:val="00E516E4"/>
    <w:rsid w:val="00E61A37"/>
    <w:rsid w:val="00E76BF2"/>
    <w:rsid w:val="00E80B56"/>
    <w:rsid w:val="00E80D9F"/>
    <w:rsid w:val="00E83544"/>
    <w:rsid w:val="00E94EBD"/>
    <w:rsid w:val="00EC0726"/>
    <w:rsid w:val="00EC1547"/>
    <w:rsid w:val="00ED095C"/>
    <w:rsid w:val="00ED09E7"/>
    <w:rsid w:val="00F015D6"/>
    <w:rsid w:val="00F17E8F"/>
    <w:rsid w:val="00F26F6C"/>
    <w:rsid w:val="00F360F3"/>
    <w:rsid w:val="00F443E0"/>
    <w:rsid w:val="00F470FA"/>
    <w:rsid w:val="00F7173D"/>
    <w:rsid w:val="00F7601B"/>
    <w:rsid w:val="00F86FDE"/>
    <w:rsid w:val="00F940D1"/>
    <w:rsid w:val="00FB04D0"/>
    <w:rsid w:val="00FB3AC4"/>
    <w:rsid w:val="00FD70B2"/>
    <w:rsid w:val="00FE0B1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9BE7F"/>
  <w15:docId w15:val="{E8967EF3-A7D6-454B-B4A1-E1390470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E0B1D"/>
    <w:rPr>
      <w:rFonts w:ascii="Times New Roman" w:eastAsia="Times New Roman" w:hAnsi="Times New Roman" w:cs="Times New Roman"/>
      <w:lang w:val="sq-AL"/>
    </w:rPr>
  </w:style>
  <w:style w:type="paragraph" w:styleId="Heading1">
    <w:name w:val="heading 1"/>
    <w:basedOn w:val="Normal"/>
    <w:link w:val="Heading1Char"/>
    <w:uiPriority w:val="9"/>
    <w:qFormat/>
    <w:rsid w:val="004836FC"/>
    <w:pPr>
      <w:widowControl/>
      <w:autoSpaceDE/>
      <w:autoSpaceDN/>
      <w:spacing w:before="100" w:beforeAutospacing="1" w:after="100" w:afterAutospacing="1"/>
      <w:outlineLvl w:val="0"/>
    </w:pPr>
    <w:rPr>
      <w:b/>
      <w:bCs/>
      <w:kern w:val="36"/>
      <w:sz w:val="48"/>
      <w:szCs w:val="48"/>
      <w:lang w:val="en-US"/>
    </w:rPr>
  </w:style>
  <w:style w:type="paragraph" w:styleId="Heading2">
    <w:name w:val="heading 2"/>
    <w:basedOn w:val="Normal"/>
    <w:link w:val="Heading2Char"/>
    <w:uiPriority w:val="9"/>
    <w:qFormat/>
    <w:rsid w:val="004836FC"/>
    <w:pPr>
      <w:widowControl/>
      <w:autoSpaceDE/>
      <w:autoSpaceDN/>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semiHidden/>
    <w:unhideWhenUsed/>
    <w:qFormat/>
    <w:rsid w:val="001F11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8"/>
      <w:szCs w:val="28"/>
    </w:rPr>
  </w:style>
  <w:style w:type="paragraph" w:styleId="ListParagraph">
    <w:name w:val="List Paragraph"/>
    <w:basedOn w:val="Normal"/>
    <w:uiPriority w:val="34"/>
    <w:qFormat/>
    <w:pPr>
      <w:ind w:left="1080" w:right="355" w:hanging="360"/>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sid w:val="00FE0B1D"/>
    <w:pPr>
      <w:widowControl/>
      <w:autoSpaceDE/>
      <w:autoSpaceDN/>
    </w:pPr>
    <w:rPr>
      <w:rFonts w:ascii="Calibri" w:eastAsiaTheme="minorHAnsi" w:hAnsi="Calibri" w:cs="Calibri"/>
      <w:sz w:val="20"/>
      <w:szCs w:val="20"/>
      <w:lang w:val="en-US"/>
    </w:rPr>
  </w:style>
  <w:style w:type="character" w:customStyle="1" w:styleId="CommentTextChar">
    <w:name w:val="Comment Text Char"/>
    <w:basedOn w:val="DefaultParagraphFont"/>
    <w:link w:val="CommentText"/>
    <w:uiPriority w:val="99"/>
    <w:semiHidden/>
    <w:rsid w:val="00FE0B1D"/>
    <w:rPr>
      <w:rFonts w:ascii="Calibri" w:hAnsi="Calibri" w:cs="Calibri"/>
      <w:sz w:val="20"/>
      <w:szCs w:val="20"/>
    </w:rPr>
  </w:style>
  <w:style w:type="paragraph" w:styleId="Header">
    <w:name w:val="header"/>
    <w:basedOn w:val="Normal"/>
    <w:link w:val="HeaderChar"/>
    <w:uiPriority w:val="99"/>
    <w:unhideWhenUsed/>
    <w:rsid w:val="0013622C"/>
    <w:pPr>
      <w:tabs>
        <w:tab w:val="center" w:pos="4513"/>
        <w:tab w:val="right" w:pos="9026"/>
      </w:tabs>
    </w:pPr>
  </w:style>
  <w:style w:type="character" w:customStyle="1" w:styleId="HeaderChar">
    <w:name w:val="Header Char"/>
    <w:basedOn w:val="DefaultParagraphFont"/>
    <w:link w:val="Header"/>
    <w:uiPriority w:val="99"/>
    <w:rsid w:val="0013622C"/>
    <w:rPr>
      <w:rFonts w:ascii="Times New Roman" w:eastAsia="Times New Roman" w:hAnsi="Times New Roman" w:cs="Times New Roman"/>
      <w:lang w:val="sq-AL"/>
    </w:rPr>
  </w:style>
  <w:style w:type="paragraph" w:styleId="Footer">
    <w:name w:val="footer"/>
    <w:basedOn w:val="Normal"/>
    <w:link w:val="FooterChar"/>
    <w:uiPriority w:val="99"/>
    <w:unhideWhenUsed/>
    <w:rsid w:val="0013622C"/>
    <w:pPr>
      <w:tabs>
        <w:tab w:val="center" w:pos="4513"/>
        <w:tab w:val="right" w:pos="9026"/>
      </w:tabs>
    </w:pPr>
  </w:style>
  <w:style w:type="character" w:customStyle="1" w:styleId="FooterChar">
    <w:name w:val="Footer Char"/>
    <w:basedOn w:val="DefaultParagraphFont"/>
    <w:link w:val="Footer"/>
    <w:uiPriority w:val="99"/>
    <w:rsid w:val="0013622C"/>
    <w:rPr>
      <w:rFonts w:ascii="Times New Roman" w:eastAsia="Times New Roman" w:hAnsi="Times New Roman" w:cs="Times New Roman"/>
      <w:lang w:val="sq-AL"/>
    </w:rPr>
  </w:style>
  <w:style w:type="paragraph" w:customStyle="1" w:styleId="Default">
    <w:name w:val="Default"/>
    <w:rsid w:val="00473A3D"/>
    <w:pPr>
      <w:widowControl/>
      <w:adjustRightInd w:val="0"/>
    </w:pPr>
    <w:rPr>
      <w:rFonts w:ascii="Times New Roman" w:hAnsi="Times New Roman" w:cs="Times New Roman"/>
      <w:color w:val="000000"/>
      <w:sz w:val="24"/>
      <w:szCs w:val="24"/>
    </w:rPr>
  </w:style>
  <w:style w:type="paragraph" w:customStyle="1" w:styleId="Paragrafi">
    <w:name w:val="Paragrafi"/>
    <w:rsid w:val="00DD4AC9"/>
    <w:pPr>
      <w:autoSpaceDE/>
      <w:autoSpaceDN/>
      <w:ind w:firstLine="720"/>
      <w:jc w:val="both"/>
    </w:pPr>
    <w:rPr>
      <w:rFonts w:ascii="CG Times" w:eastAsia="Times New Roman" w:hAnsi="CG Times" w:cs="Times New Roman"/>
      <w:szCs w:val="20"/>
    </w:rPr>
  </w:style>
  <w:style w:type="character" w:styleId="Emphasis">
    <w:name w:val="Emphasis"/>
    <w:basedOn w:val="DefaultParagraphFont"/>
    <w:uiPriority w:val="20"/>
    <w:qFormat/>
    <w:rsid w:val="0051664E"/>
    <w:rPr>
      <w:i/>
      <w:iCs/>
    </w:rPr>
  </w:style>
  <w:style w:type="paragraph" w:styleId="FootnoteText">
    <w:name w:val="footnote text"/>
    <w:basedOn w:val="Normal"/>
    <w:link w:val="FootnoteTextChar"/>
    <w:uiPriority w:val="99"/>
    <w:semiHidden/>
    <w:unhideWhenUsed/>
    <w:rsid w:val="00554035"/>
    <w:rPr>
      <w:sz w:val="20"/>
      <w:szCs w:val="20"/>
    </w:rPr>
  </w:style>
  <w:style w:type="character" w:customStyle="1" w:styleId="FootnoteTextChar">
    <w:name w:val="Footnote Text Char"/>
    <w:basedOn w:val="DefaultParagraphFont"/>
    <w:link w:val="FootnoteText"/>
    <w:uiPriority w:val="99"/>
    <w:semiHidden/>
    <w:rsid w:val="00554035"/>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554035"/>
    <w:rPr>
      <w:vertAlign w:val="superscript"/>
    </w:rPr>
  </w:style>
  <w:style w:type="character" w:styleId="Hyperlink">
    <w:name w:val="Hyperlink"/>
    <w:basedOn w:val="DefaultParagraphFont"/>
    <w:uiPriority w:val="99"/>
    <w:unhideWhenUsed/>
    <w:rsid w:val="000E50FE"/>
    <w:rPr>
      <w:color w:val="0000FF" w:themeColor="hyperlink"/>
      <w:u w:val="single"/>
    </w:rPr>
  </w:style>
  <w:style w:type="character" w:customStyle="1" w:styleId="Heading1Char">
    <w:name w:val="Heading 1 Char"/>
    <w:basedOn w:val="DefaultParagraphFont"/>
    <w:link w:val="Heading1"/>
    <w:uiPriority w:val="9"/>
    <w:rsid w:val="004836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36F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36FC"/>
    <w:pPr>
      <w:widowControl/>
      <w:autoSpaceDE/>
      <w:autoSpaceDN/>
      <w:spacing w:before="100" w:beforeAutospacing="1" w:after="100" w:afterAutospacing="1"/>
    </w:pPr>
    <w:rPr>
      <w:sz w:val="24"/>
      <w:szCs w:val="24"/>
      <w:lang w:val="en-US"/>
    </w:rPr>
  </w:style>
  <w:style w:type="character" w:customStyle="1" w:styleId="Heading3Char">
    <w:name w:val="Heading 3 Char"/>
    <w:basedOn w:val="DefaultParagraphFont"/>
    <w:link w:val="Heading3"/>
    <w:uiPriority w:val="9"/>
    <w:semiHidden/>
    <w:rsid w:val="001F11A2"/>
    <w:rPr>
      <w:rFonts w:asciiTheme="majorHAnsi" w:eastAsiaTheme="majorEastAsia" w:hAnsiTheme="majorHAnsi" w:cstheme="majorBidi"/>
      <w:color w:val="243F60" w:themeColor="accent1" w:themeShade="7F"/>
      <w:sz w:val="24"/>
      <w:szCs w:val="24"/>
      <w:lang w:val="sq-AL"/>
    </w:rPr>
  </w:style>
  <w:style w:type="character" w:styleId="Strong">
    <w:name w:val="Strong"/>
    <w:basedOn w:val="DefaultParagraphFont"/>
    <w:uiPriority w:val="22"/>
    <w:qFormat/>
    <w:rsid w:val="00FB0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9157">
      <w:bodyDiv w:val="1"/>
      <w:marLeft w:val="0"/>
      <w:marRight w:val="0"/>
      <w:marTop w:val="0"/>
      <w:marBottom w:val="0"/>
      <w:divBdr>
        <w:top w:val="none" w:sz="0" w:space="0" w:color="auto"/>
        <w:left w:val="none" w:sz="0" w:space="0" w:color="auto"/>
        <w:bottom w:val="none" w:sz="0" w:space="0" w:color="auto"/>
        <w:right w:val="none" w:sz="0" w:space="0" w:color="auto"/>
      </w:divBdr>
    </w:div>
    <w:div w:id="102656060">
      <w:bodyDiv w:val="1"/>
      <w:marLeft w:val="0"/>
      <w:marRight w:val="0"/>
      <w:marTop w:val="0"/>
      <w:marBottom w:val="0"/>
      <w:divBdr>
        <w:top w:val="none" w:sz="0" w:space="0" w:color="auto"/>
        <w:left w:val="none" w:sz="0" w:space="0" w:color="auto"/>
        <w:bottom w:val="none" w:sz="0" w:space="0" w:color="auto"/>
        <w:right w:val="none" w:sz="0" w:space="0" w:color="auto"/>
      </w:divBdr>
    </w:div>
    <w:div w:id="186722553">
      <w:bodyDiv w:val="1"/>
      <w:marLeft w:val="0"/>
      <w:marRight w:val="0"/>
      <w:marTop w:val="0"/>
      <w:marBottom w:val="0"/>
      <w:divBdr>
        <w:top w:val="none" w:sz="0" w:space="0" w:color="auto"/>
        <w:left w:val="none" w:sz="0" w:space="0" w:color="auto"/>
        <w:bottom w:val="none" w:sz="0" w:space="0" w:color="auto"/>
        <w:right w:val="none" w:sz="0" w:space="0" w:color="auto"/>
      </w:divBdr>
    </w:div>
    <w:div w:id="203297316">
      <w:bodyDiv w:val="1"/>
      <w:marLeft w:val="0"/>
      <w:marRight w:val="0"/>
      <w:marTop w:val="0"/>
      <w:marBottom w:val="0"/>
      <w:divBdr>
        <w:top w:val="none" w:sz="0" w:space="0" w:color="auto"/>
        <w:left w:val="none" w:sz="0" w:space="0" w:color="auto"/>
        <w:bottom w:val="none" w:sz="0" w:space="0" w:color="auto"/>
        <w:right w:val="none" w:sz="0" w:space="0" w:color="auto"/>
      </w:divBdr>
    </w:div>
    <w:div w:id="236329362">
      <w:bodyDiv w:val="1"/>
      <w:marLeft w:val="0"/>
      <w:marRight w:val="0"/>
      <w:marTop w:val="0"/>
      <w:marBottom w:val="0"/>
      <w:divBdr>
        <w:top w:val="none" w:sz="0" w:space="0" w:color="auto"/>
        <w:left w:val="none" w:sz="0" w:space="0" w:color="auto"/>
        <w:bottom w:val="none" w:sz="0" w:space="0" w:color="auto"/>
        <w:right w:val="none" w:sz="0" w:space="0" w:color="auto"/>
      </w:divBdr>
    </w:div>
    <w:div w:id="260309018">
      <w:bodyDiv w:val="1"/>
      <w:marLeft w:val="0"/>
      <w:marRight w:val="0"/>
      <w:marTop w:val="0"/>
      <w:marBottom w:val="0"/>
      <w:divBdr>
        <w:top w:val="none" w:sz="0" w:space="0" w:color="auto"/>
        <w:left w:val="none" w:sz="0" w:space="0" w:color="auto"/>
        <w:bottom w:val="none" w:sz="0" w:space="0" w:color="auto"/>
        <w:right w:val="none" w:sz="0" w:space="0" w:color="auto"/>
      </w:divBdr>
      <w:divsChild>
        <w:div w:id="15665356">
          <w:marLeft w:val="0"/>
          <w:marRight w:val="0"/>
          <w:marTop w:val="0"/>
          <w:marBottom w:val="0"/>
          <w:divBdr>
            <w:top w:val="none" w:sz="0" w:space="0" w:color="auto"/>
            <w:left w:val="none" w:sz="0" w:space="0" w:color="auto"/>
            <w:bottom w:val="none" w:sz="0" w:space="0" w:color="auto"/>
            <w:right w:val="none" w:sz="0" w:space="0" w:color="auto"/>
          </w:divBdr>
          <w:divsChild>
            <w:div w:id="1947958574">
              <w:marLeft w:val="0"/>
              <w:marRight w:val="0"/>
              <w:marTop w:val="0"/>
              <w:marBottom w:val="0"/>
              <w:divBdr>
                <w:top w:val="none" w:sz="0" w:space="0" w:color="auto"/>
                <w:left w:val="none" w:sz="0" w:space="0" w:color="auto"/>
                <w:bottom w:val="none" w:sz="0" w:space="0" w:color="auto"/>
                <w:right w:val="none" w:sz="0" w:space="0" w:color="auto"/>
              </w:divBdr>
              <w:divsChild>
                <w:div w:id="1082141155">
                  <w:marLeft w:val="0"/>
                  <w:marRight w:val="0"/>
                  <w:marTop w:val="0"/>
                  <w:marBottom w:val="0"/>
                  <w:divBdr>
                    <w:top w:val="none" w:sz="0" w:space="0" w:color="auto"/>
                    <w:left w:val="none" w:sz="0" w:space="0" w:color="auto"/>
                    <w:bottom w:val="none" w:sz="0" w:space="0" w:color="auto"/>
                    <w:right w:val="none" w:sz="0" w:space="0" w:color="auto"/>
                  </w:divBdr>
                  <w:divsChild>
                    <w:div w:id="1345979908">
                      <w:marLeft w:val="0"/>
                      <w:marRight w:val="0"/>
                      <w:marTop w:val="0"/>
                      <w:marBottom w:val="0"/>
                      <w:divBdr>
                        <w:top w:val="none" w:sz="0" w:space="0" w:color="auto"/>
                        <w:left w:val="none" w:sz="0" w:space="0" w:color="auto"/>
                        <w:bottom w:val="none" w:sz="0" w:space="0" w:color="auto"/>
                        <w:right w:val="none" w:sz="0" w:space="0" w:color="auto"/>
                      </w:divBdr>
                      <w:divsChild>
                        <w:div w:id="1335567318">
                          <w:marLeft w:val="0"/>
                          <w:marRight w:val="0"/>
                          <w:marTop w:val="0"/>
                          <w:marBottom w:val="0"/>
                          <w:divBdr>
                            <w:top w:val="none" w:sz="0" w:space="0" w:color="auto"/>
                            <w:left w:val="none" w:sz="0" w:space="0" w:color="auto"/>
                            <w:bottom w:val="none" w:sz="0" w:space="0" w:color="auto"/>
                            <w:right w:val="none" w:sz="0" w:space="0" w:color="auto"/>
                          </w:divBdr>
                          <w:divsChild>
                            <w:div w:id="815998497">
                              <w:marLeft w:val="0"/>
                              <w:marRight w:val="0"/>
                              <w:marTop w:val="0"/>
                              <w:marBottom w:val="0"/>
                              <w:divBdr>
                                <w:top w:val="none" w:sz="0" w:space="0" w:color="auto"/>
                                <w:left w:val="none" w:sz="0" w:space="0" w:color="auto"/>
                                <w:bottom w:val="none" w:sz="0" w:space="0" w:color="auto"/>
                                <w:right w:val="none" w:sz="0" w:space="0" w:color="auto"/>
                              </w:divBdr>
                              <w:divsChild>
                                <w:div w:id="1667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624376">
      <w:bodyDiv w:val="1"/>
      <w:marLeft w:val="0"/>
      <w:marRight w:val="0"/>
      <w:marTop w:val="0"/>
      <w:marBottom w:val="0"/>
      <w:divBdr>
        <w:top w:val="none" w:sz="0" w:space="0" w:color="auto"/>
        <w:left w:val="none" w:sz="0" w:space="0" w:color="auto"/>
        <w:bottom w:val="none" w:sz="0" w:space="0" w:color="auto"/>
        <w:right w:val="none" w:sz="0" w:space="0" w:color="auto"/>
      </w:divBdr>
    </w:div>
    <w:div w:id="510989521">
      <w:bodyDiv w:val="1"/>
      <w:marLeft w:val="0"/>
      <w:marRight w:val="0"/>
      <w:marTop w:val="0"/>
      <w:marBottom w:val="0"/>
      <w:divBdr>
        <w:top w:val="none" w:sz="0" w:space="0" w:color="auto"/>
        <w:left w:val="none" w:sz="0" w:space="0" w:color="auto"/>
        <w:bottom w:val="none" w:sz="0" w:space="0" w:color="auto"/>
        <w:right w:val="none" w:sz="0" w:space="0" w:color="auto"/>
      </w:divBdr>
    </w:div>
    <w:div w:id="607663232">
      <w:bodyDiv w:val="1"/>
      <w:marLeft w:val="0"/>
      <w:marRight w:val="0"/>
      <w:marTop w:val="0"/>
      <w:marBottom w:val="0"/>
      <w:divBdr>
        <w:top w:val="none" w:sz="0" w:space="0" w:color="auto"/>
        <w:left w:val="none" w:sz="0" w:space="0" w:color="auto"/>
        <w:bottom w:val="none" w:sz="0" w:space="0" w:color="auto"/>
        <w:right w:val="none" w:sz="0" w:space="0" w:color="auto"/>
      </w:divBdr>
    </w:div>
    <w:div w:id="655762434">
      <w:bodyDiv w:val="1"/>
      <w:marLeft w:val="0"/>
      <w:marRight w:val="0"/>
      <w:marTop w:val="0"/>
      <w:marBottom w:val="0"/>
      <w:divBdr>
        <w:top w:val="none" w:sz="0" w:space="0" w:color="auto"/>
        <w:left w:val="none" w:sz="0" w:space="0" w:color="auto"/>
        <w:bottom w:val="none" w:sz="0" w:space="0" w:color="auto"/>
        <w:right w:val="none" w:sz="0" w:space="0" w:color="auto"/>
      </w:divBdr>
    </w:div>
    <w:div w:id="669020575">
      <w:bodyDiv w:val="1"/>
      <w:marLeft w:val="0"/>
      <w:marRight w:val="0"/>
      <w:marTop w:val="0"/>
      <w:marBottom w:val="0"/>
      <w:divBdr>
        <w:top w:val="none" w:sz="0" w:space="0" w:color="auto"/>
        <w:left w:val="none" w:sz="0" w:space="0" w:color="auto"/>
        <w:bottom w:val="none" w:sz="0" w:space="0" w:color="auto"/>
        <w:right w:val="none" w:sz="0" w:space="0" w:color="auto"/>
      </w:divBdr>
    </w:div>
    <w:div w:id="785084562">
      <w:bodyDiv w:val="1"/>
      <w:marLeft w:val="0"/>
      <w:marRight w:val="0"/>
      <w:marTop w:val="0"/>
      <w:marBottom w:val="0"/>
      <w:divBdr>
        <w:top w:val="none" w:sz="0" w:space="0" w:color="auto"/>
        <w:left w:val="none" w:sz="0" w:space="0" w:color="auto"/>
        <w:bottom w:val="none" w:sz="0" w:space="0" w:color="auto"/>
        <w:right w:val="none" w:sz="0" w:space="0" w:color="auto"/>
      </w:divBdr>
    </w:div>
    <w:div w:id="862061033">
      <w:bodyDiv w:val="1"/>
      <w:marLeft w:val="0"/>
      <w:marRight w:val="0"/>
      <w:marTop w:val="0"/>
      <w:marBottom w:val="0"/>
      <w:divBdr>
        <w:top w:val="none" w:sz="0" w:space="0" w:color="auto"/>
        <w:left w:val="none" w:sz="0" w:space="0" w:color="auto"/>
        <w:bottom w:val="none" w:sz="0" w:space="0" w:color="auto"/>
        <w:right w:val="none" w:sz="0" w:space="0" w:color="auto"/>
      </w:divBdr>
    </w:div>
    <w:div w:id="879899556">
      <w:bodyDiv w:val="1"/>
      <w:marLeft w:val="0"/>
      <w:marRight w:val="0"/>
      <w:marTop w:val="0"/>
      <w:marBottom w:val="0"/>
      <w:divBdr>
        <w:top w:val="none" w:sz="0" w:space="0" w:color="auto"/>
        <w:left w:val="none" w:sz="0" w:space="0" w:color="auto"/>
        <w:bottom w:val="none" w:sz="0" w:space="0" w:color="auto"/>
        <w:right w:val="none" w:sz="0" w:space="0" w:color="auto"/>
      </w:divBdr>
    </w:div>
    <w:div w:id="1042751469">
      <w:bodyDiv w:val="1"/>
      <w:marLeft w:val="0"/>
      <w:marRight w:val="0"/>
      <w:marTop w:val="0"/>
      <w:marBottom w:val="0"/>
      <w:divBdr>
        <w:top w:val="none" w:sz="0" w:space="0" w:color="auto"/>
        <w:left w:val="none" w:sz="0" w:space="0" w:color="auto"/>
        <w:bottom w:val="none" w:sz="0" w:space="0" w:color="auto"/>
        <w:right w:val="none" w:sz="0" w:space="0" w:color="auto"/>
      </w:divBdr>
    </w:div>
    <w:div w:id="1071199213">
      <w:bodyDiv w:val="1"/>
      <w:marLeft w:val="0"/>
      <w:marRight w:val="0"/>
      <w:marTop w:val="0"/>
      <w:marBottom w:val="0"/>
      <w:divBdr>
        <w:top w:val="none" w:sz="0" w:space="0" w:color="auto"/>
        <w:left w:val="none" w:sz="0" w:space="0" w:color="auto"/>
        <w:bottom w:val="none" w:sz="0" w:space="0" w:color="auto"/>
        <w:right w:val="none" w:sz="0" w:space="0" w:color="auto"/>
      </w:divBdr>
    </w:div>
    <w:div w:id="1149519960">
      <w:bodyDiv w:val="1"/>
      <w:marLeft w:val="0"/>
      <w:marRight w:val="0"/>
      <w:marTop w:val="0"/>
      <w:marBottom w:val="0"/>
      <w:divBdr>
        <w:top w:val="none" w:sz="0" w:space="0" w:color="auto"/>
        <w:left w:val="none" w:sz="0" w:space="0" w:color="auto"/>
        <w:bottom w:val="none" w:sz="0" w:space="0" w:color="auto"/>
        <w:right w:val="none" w:sz="0" w:space="0" w:color="auto"/>
      </w:divBdr>
    </w:div>
    <w:div w:id="1173296058">
      <w:bodyDiv w:val="1"/>
      <w:marLeft w:val="0"/>
      <w:marRight w:val="0"/>
      <w:marTop w:val="0"/>
      <w:marBottom w:val="0"/>
      <w:divBdr>
        <w:top w:val="none" w:sz="0" w:space="0" w:color="auto"/>
        <w:left w:val="none" w:sz="0" w:space="0" w:color="auto"/>
        <w:bottom w:val="none" w:sz="0" w:space="0" w:color="auto"/>
        <w:right w:val="none" w:sz="0" w:space="0" w:color="auto"/>
      </w:divBdr>
    </w:div>
    <w:div w:id="1223445951">
      <w:bodyDiv w:val="1"/>
      <w:marLeft w:val="0"/>
      <w:marRight w:val="0"/>
      <w:marTop w:val="0"/>
      <w:marBottom w:val="0"/>
      <w:divBdr>
        <w:top w:val="none" w:sz="0" w:space="0" w:color="auto"/>
        <w:left w:val="none" w:sz="0" w:space="0" w:color="auto"/>
        <w:bottom w:val="none" w:sz="0" w:space="0" w:color="auto"/>
        <w:right w:val="none" w:sz="0" w:space="0" w:color="auto"/>
      </w:divBdr>
    </w:div>
    <w:div w:id="1244073439">
      <w:bodyDiv w:val="1"/>
      <w:marLeft w:val="0"/>
      <w:marRight w:val="0"/>
      <w:marTop w:val="0"/>
      <w:marBottom w:val="0"/>
      <w:divBdr>
        <w:top w:val="none" w:sz="0" w:space="0" w:color="auto"/>
        <w:left w:val="none" w:sz="0" w:space="0" w:color="auto"/>
        <w:bottom w:val="none" w:sz="0" w:space="0" w:color="auto"/>
        <w:right w:val="none" w:sz="0" w:space="0" w:color="auto"/>
      </w:divBdr>
    </w:div>
    <w:div w:id="1278412164">
      <w:bodyDiv w:val="1"/>
      <w:marLeft w:val="0"/>
      <w:marRight w:val="0"/>
      <w:marTop w:val="0"/>
      <w:marBottom w:val="0"/>
      <w:divBdr>
        <w:top w:val="none" w:sz="0" w:space="0" w:color="auto"/>
        <w:left w:val="none" w:sz="0" w:space="0" w:color="auto"/>
        <w:bottom w:val="none" w:sz="0" w:space="0" w:color="auto"/>
        <w:right w:val="none" w:sz="0" w:space="0" w:color="auto"/>
      </w:divBdr>
    </w:div>
    <w:div w:id="1387535125">
      <w:bodyDiv w:val="1"/>
      <w:marLeft w:val="0"/>
      <w:marRight w:val="0"/>
      <w:marTop w:val="0"/>
      <w:marBottom w:val="0"/>
      <w:divBdr>
        <w:top w:val="none" w:sz="0" w:space="0" w:color="auto"/>
        <w:left w:val="none" w:sz="0" w:space="0" w:color="auto"/>
        <w:bottom w:val="none" w:sz="0" w:space="0" w:color="auto"/>
        <w:right w:val="none" w:sz="0" w:space="0" w:color="auto"/>
      </w:divBdr>
    </w:div>
    <w:div w:id="1416899747">
      <w:bodyDiv w:val="1"/>
      <w:marLeft w:val="0"/>
      <w:marRight w:val="0"/>
      <w:marTop w:val="0"/>
      <w:marBottom w:val="0"/>
      <w:divBdr>
        <w:top w:val="none" w:sz="0" w:space="0" w:color="auto"/>
        <w:left w:val="none" w:sz="0" w:space="0" w:color="auto"/>
        <w:bottom w:val="none" w:sz="0" w:space="0" w:color="auto"/>
        <w:right w:val="none" w:sz="0" w:space="0" w:color="auto"/>
      </w:divBdr>
    </w:div>
    <w:div w:id="1486703207">
      <w:bodyDiv w:val="1"/>
      <w:marLeft w:val="0"/>
      <w:marRight w:val="0"/>
      <w:marTop w:val="0"/>
      <w:marBottom w:val="0"/>
      <w:divBdr>
        <w:top w:val="none" w:sz="0" w:space="0" w:color="auto"/>
        <w:left w:val="none" w:sz="0" w:space="0" w:color="auto"/>
        <w:bottom w:val="none" w:sz="0" w:space="0" w:color="auto"/>
        <w:right w:val="none" w:sz="0" w:space="0" w:color="auto"/>
      </w:divBdr>
    </w:div>
    <w:div w:id="1519851262">
      <w:bodyDiv w:val="1"/>
      <w:marLeft w:val="0"/>
      <w:marRight w:val="0"/>
      <w:marTop w:val="0"/>
      <w:marBottom w:val="0"/>
      <w:divBdr>
        <w:top w:val="none" w:sz="0" w:space="0" w:color="auto"/>
        <w:left w:val="none" w:sz="0" w:space="0" w:color="auto"/>
        <w:bottom w:val="none" w:sz="0" w:space="0" w:color="auto"/>
        <w:right w:val="none" w:sz="0" w:space="0" w:color="auto"/>
      </w:divBdr>
    </w:div>
    <w:div w:id="1541744066">
      <w:bodyDiv w:val="1"/>
      <w:marLeft w:val="0"/>
      <w:marRight w:val="0"/>
      <w:marTop w:val="0"/>
      <w:marBottom w:val="0"/>
      <w:divBdr>
        <w:top w:val="none" w:sz="0" w:space="0" w:color="auto"/>
        <w:left w:val="none" w:sz="0" w:space="0" w:color="auto"/>
        <w:bottom w:val="none" w:sz="0" w:space="0" w:color="auto"/>
        <w:right w:val="none" w:sz="0" w:space="0" w:color="auto"/>
      </w:divBdr>
    </w:div>
    <w:div w:id="1611550791">
      <w:bodyDiv w:val="1"/>
      <w:marLeft w:val="0"/>
      <w:marRight w:val="0"/>
      <w:marTop w:val="0"/>
      <w:marBottom w:val="0"/>
      <w:divBdr>
        <w:top w:val="none" w:sz="0" w:space="0" w:color="auto"/>
        <w:left w:val="none" w:sz="0" w:space="0" w:color="auto"/>
        <w:bottom w:val="none" w:sz="0" w:space="0" w:color="auto"/>
        <w:right w:val="none" w:sz="0" w:space="0" w:color="auto"/>
      </w:divBdr>
    </w:div>
    <w:div w:id="1621260888">
      <w:bodyDiv w:val="1"/>
      <w:marLeft w:val="0"/>
      <w:marRight w:val="0"/>
      <w:marTop w:val="0"/>
      <w:marBottom w:val="0"/>
      <w:divBdr>
        <w:top w:val="none" w:sz="0" w:space="0" w:color="auto"/>
        <w:left w:val="none" w:sz="0" w:space="0" w:color="auto"/>
        <w:bottom w:val="none" w:sz="0" w:space="0" w:color="auto"/>
        <w:right w:val="none" w:sz="0" w:space="0" w:color="auto"/>
      </w:divBdr>
    </w:div>
    <w:div w:id="1659575371">
      <w:bodyDiv w:val="1"/>
      <w:marLeft w:val="0"/>
      <w:marRight w:val="0"/>
      <w:marTop w:val="0"/>
      <w:marBottom w:val="0"/>
      <w:divBdr>
        <w:top w:val="none" w:sz="0" w:space="0" w:color="auto"/>
        <w:left w:val="none" w:sz="0" w:space="0" w:color="auto"/>
        <w:bottom w:val="none" w:sz="0" w:space="0" w:color="auto"/>
        <w:right w:val="none" w:sz="0" w:space="0" w:color="auto"/>
      </w:divBdr>
    </w:div>
    <w:div w:id="1904832984">
      <w:bodyDiv w:val="1"/>
      <w:marLeft w:val="0"/>
      <w:marRight w:val="0"/>
      <w:marTop w:val="0"/>
      <w:marBottom w:val="0"/>
      <w:divBdr>
        <w:top w:val="none" w:sz="0" w:space="0" w:color="auto"/>
        <w:left w:val="none" w:sz="0" w:space="0" w:color="auto"/>
        <w:bottom w:val="none" w:sz="0" w:space="0" w:color="auto"/>
        <w:right w:val="none" w:sz="0" w:space="0" w:color="auto"/>
      </w:divBdr>
    </w:div>
    <w:div w:id="2045910362">
      <w:bodyDiv w:val="1"/>
      <w:marLeft w:val="0"/>
      <w:marRight w:val="0"/>
      <w:marTop w:val="0"/>
      <w:marBottom w:val="0"/>
      <w:divBdr>
        <w:top w:val="none" w:sz="0" w:space="0" w:color="auto"/>
        <w:left w:val="none" w:sz="0" w:space="0" w:color="auto"/>
        <w:bottom w:val="none" w:sz="0" w:space="0" w:color="auto"/>
        <w:right w:val="none" w:sz="0" w:space="0" w:color="auto"/>
      </w:divBdr>
    </w:div>
    <w:div w:id="2079590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E1E7D-02C7-467B-950C-BF3D24AA6D35}">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11873</Words>
  <Characters>67679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Relacioni Varianti Dakordesuar</vt:lpstr>
    </vt:vector>
  </TitlesOfParts>
  <Company/>
  <LinksUpToDate>false</LinksUpToDate>
  <CharactersWithSpaces>79394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Relacioni Varianti Dakordesuar</dc:title>
  <dc:creator>Ina Zogu</dc:creator>
  <cp:lastModifiedBy>AIF</cp:lastModifiedBy>
  <cp:revision>2</cp:revision>
  <cp:lastPrinted>2025-10-08T10:07:00Z</cp:lastPrinted>
  <dcterms:created xsi:type="dcterms:W3CDTF">2026-03-12T08:26:00Z</dcterms:created>
  <dcterms:modified xsi:type="dcterms:W3CDTF">2026-03-12T08:26:00Z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2016</vt:lpwstr>
  </property>
  <property fmtid="{D5CDD505-2E9C-101B-9397-08002B2CF9AE}" pid="4" name="LastSaved">
    <vt:filetime>2025-05-22T00:00:00Z</vt:filetime>
  </property>
  <property fmtid="{D5CDD505-2E9C-101B-9397-08002B2CF9AE}" pid="5" name="Producer">
    <vt:lpwstr>Microsoft® Word 2016</vt:lpwstr>
  </property>
</Properties>
</file>