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60E12" w14:textId="71904782" w:rsidR="00E76BF2" w:rsidRPr="00437A46" w:rsidRDefault="00E94EBD" w:rsidP="00E83544">
      <w:pPr>
        <w:spacing w:line="276" w:lineRule="auto"/>
        <w:ind w:left="491" w:right="48"/>
        <w:jc w:val="center"/>
        <w:rPr>
          <w:b/>
          <w:spacing w:val="-10"/>
          <w:sz w:val="24"/>
          <w:szCs w:val="24"/>
        </w:rPr>
      </w:pPr>
      <w:r w:rsidRPr="001B2FD8">
        <w:rPr>
          <w:b/>
          <w:sz w:val="24"/>
          <w:szCs w:val="24"/>
        </w:rPr>
        <w:t>R</w:t>
      </w:r>
      <w:r w:rsidRPr="001B2FD8">
        <w:rPr>
          <w:b/>
          <w:spacing w:val="-2"/>
          <w:sz w:val="24"/>
          <w:szCs w:val="24"/>
        </w:rPr>
        <w:t xml:space="preserve"> </w:t>
      </w:r>
      <w:r w:rsidRPr="001B2FD8">
        <w:rPr>
          <w:b/>
          <w:sz w:val="24"/>
          <w:szCs w:val="24"/>
        </w:rPr>
        <w:t>E</w:t>
      </w:r>
      <w:r w:rsidRPr="001B2FD8">
        <w:rPr>
          <w:b/>
          <w:spacing w:val="-1"/>
          <w:sz w:val="24"/>
          <w:szCs w:val="24"/>
        </w:rPr>
        <w:t xml:space="preserve"> </w:t>
      </w:r>
      <w:r w:rsidRPr="001B2FD8">
        <w:rPr>
          <w:b/>
          <w:sz w:val="24"/>
          <w:szCs w:val="24"/>
        </w:rPr>
        <w:t>L</w:t>
      </w:r>
      <w:r w:rsidRPr="001B2FD8">
        <w:rPr>
          <w:b/>
          <w:spacing w:val="-1"/>
          <w:sz w:val="24"/>
          <w:szCs w:val="24"/>
        </w:rPr>
        <w:t xml:space="preserve"> </w:t>
      </w:r>
      <w:r w:rsidRPr="001B2FD8">
        <w:rPr>
          <w:b/>
          <w:sz w:val="24"/>
          <w:szCs w:val="24"/>
        </w:rPr>
        <w:t>A</w:t>
      </w:r>
      <w:r w:rsidRPr="001B2FD8">
        <w:rPr>
          <w:b/>
          <w:spacing w:val="-2"/>
          <w:sz w:val="24"/>
          <w:szCs w:val="24"/>
        </w:rPr>
        <w:t xml:space="preserve"> </w:t>
      </w:r>
      <w:r w:rsidRPr="001B2FD8">
        <w:rPr>
          <w:b/>
          <w:sz w:val="24"/>
          <w:szCs w:val="24"/>
        </w:rPr>
        <w:t>C</w:t>
      </w:r>
      <w:r w:rsidRPr="001B2FD8">
        <w:rPr>
          <w:b/>
          <w:spacing w:val="-2"/>
          <w:sz w:val="24"/>
          <w:szCs w:val="24"/>
        </w:rPr>
        <w:t xml:space="preserve"> </w:t>
      </w:r>
      <w:r w:rsidRPr="001B2FD8">
        <w:rPr>
          <w:b/>
          <w:sz w:val="24"/>
          <w:szCs w:val="24"/>
        </w:rPr>
        <w:t>I</w:t>
      </w:r>
      <w:r w:rsidRPr="001B2FD8">
        <w:rPr>
          <w:b/>
          <w:spacing w:val="1"/>
          <w:sz w:val="24"/>
          <w:szCs w:val="24"/>
        </w:rPr>
        <w:t xml:space="preserve"> </w:t>
      </w:r>
      <w:r w:rsidRPr="001B2FD8">
        <w:rPr>
          <w:b/>
          <w:sz w:val="24"/>
          <w:szCs w:val="24"/>
        </w:rPr>
        <w:t>O</w:t>
      </w:r>
      <w:r w:rsidRPr="001B2FD8">
        <w:rPr>
          <w:b/>
          <w:spacing w:val="-1"/>
          <w:sz w:val="24"/>
          <w:szCs w:val="24"/>
        </w:rPr>
        <w:t xml:space="preserve"> </w:t>
      </w:r>
      <w:r w:rsidRPr="001B2FD8">
        <w:rPr>
          <w:b/>
          <w:spacing w:val="-10"/>
          <w:sz w:val="24"/>
          <w:szCs w:val="24"/>
        </w:rPr>
        <w:t>N</w:t>
      </w:r>
    </w:p>
    <w:p w14:paraId="273724B2" w14:textId="4A0CC5C3" w:rsidR="00B71559" w:rsidRPr="001B2FD8" w:rsidRDefault="00E94EBD" w:rsidP="00E83544">
      <w:pPr>
        <w:spacing w:line="276" w:lineRule="auto"/>
        <w:ind w:left="491" w:right="48"/>
        <w:jc w:val="center"/>
        <w:rPr>
          <w:b/>
          <w:spacing w:val="-5"/>
          <w:sz w:val="24"/>
          <w:szCs w:val="24"/>
        </w:rPr>
      </w:pPr>
      <w:r w:rsidRPr="001B2FD8">
        <w:rPr>
          <w:b/>
          <w:spacing w:val="-5"/>
          <w:sz w:val="24"/>
          <w:szCs w:val="24"/>
        </w:rPr>
        <w:t>PËR</w:t>
      </w:r>
      <w:r w:rsidR="00B71559" w:rsidRPr="001B2FD8">
        <w:rPr>
          <w:b/>
          <w:spacing w:val="-5"/>
          <w:sz w:val="24"/>
          <w:szCs w:val="24"/>
        </w:rPr>
        <w:t xml:space="preserve"> PROJEKTLIGJIN </w:t>
      </w:r>
    </w:p>
    <w:p w14:paraId="0F5F1A35" w14:textId="783875A8" w:rsidR="00E76BF2" w:rsidRDefault="00194B4F" w:rsidP="00E83544">
      <w:pPr>
        <w:spacing w:line="276" w:lineRule="auto"/>
        <w:ind w:firstLine="284"/>
        <w:jc w:val="center"/>
        <w:rPr>
          <w:b/>
          <w:bCs/>
          <w:sz w:val="24"/>
          <w:szCs w:val="24"/>
        </w:rPr>
      </w:pPr>
      <w:r>
        <w:rPr>
          <w:b/>
          <w:bCs/>
          <w:sz w:val="24"/>
          <w:szCs w:val="24"/>
        </w:rPr>
        <w:t>“</w:t>
      </w:r>
      <w:r w:rsidR="00D24F12" w:rsidRPr="00D24F12">
        <w:rPr>
          <w:b/>
          <w:bCs/>
          <w:sz w:val="24"/>
          <w:szCs w:val="24"/>
        </w:rPr>
        <w:t>PËR PARANDALIMIN E PASTRIMIT TË PARAVE</w:t>
      </w:r>
      <w:r w:rsidR="00D24F12">
        <w:rPr>
          <w:b/>
          <w:bCs/>
          <w:sz w:val="24"/>
          <w:szCs w:val="24"/>
        </w:rPr>
        <w:t xml:space="preserve"> DHE</w:t>
      </w:r>
      <w:r w:rsidR="00D24F12" w:rsidRPr="00D24F12">
        <w:rPr>
          <w:b/>
          <w:bCs/>
          <w:sz w:val="24"/>
          <w:szCs w:val="24"/>
        </w:rPr>
        <w:t xml:space="preserve"> FINANCIMIT TË TERRORIZMIT</w:t>
      </w:r>
      <w:r>
        <w:rPr>
          <w:b/>
          <w:bCs/>
          <w:sz w:val="24"/>
          <w:szCs w:val="24"/>
        </w:rPr>
        <w:t>”</w:t>
      </w:r>
    </w:p>
    <w:p w14:paraId="332A972C" w14:textId="77777777" w:rsidR="00D24F12" w:rsidRPr="001B2FD8" w:rsidRDefault="00D24F12" w:rsidP="00E83544">
      <w:pPr>
        <w:spacing w:line="276" w:lineRule="auto"/>
        <w:ind w:firstLine="284"/>
        <w:jc w:val="center"/>
        <w:rPr>
          <w:bCs/>
          <w:sz w:val="24"/>
          <w:szCs w:val="24"/>
        </w:rPr>
      </w:pPr>
    </w:p>
    <w:p w14:paraId="760F3B47" w14:textId="1F431506" w:rsidR="00292B17" w:rsidRPr="00004E5E" w:rsidRDefault="00E94EBD" w:rsidP="004D5FC8">
      <w:pPr>
        <w:pStyle w:val="ListParagraph"/>
        <w:numPr>
          <w:ilvl w:val="0"/>
          <w:numId w:val="1"/>
        </w:numPr>
        <w:tabs>
          <w:tab w:val="left" w:pos="450"/>
        </w:tabs>
        <w:spacing w:line="276" w:lineRule="auto"/>
        <w:ind w:left="0" w:right="48" w:firstLine="0"/>
        <w:jc w:val="both"/>
        <w:rPr>
          <w:b/>
          <w:sz w:val="24"/>
          <w:szCs w:val="24"/>
        </w:rPr>
      </w:pPr>
      <w:r w:rsidRPr="001B2FD8">
        <w:rPr>
          <w:b/>
          <w:sz w:val="24"/>
          <w:szCs w:val="24"/>
        </w:rPr>
        <w:t xml:space="preserve">QËLLIMI I PROJEKTAKTIT DHE OBJEKTIVAT QË SYNOHEN TË </w:t>
      </w:r>
      <w:r w:rsidRPr="001B2FD8">
        <w:rPr>
          <w:b/>
          <w:spacing w:val="-2"/>
          <w:sz w:val="24"/>
          <w:szCs w:val="24"/>
        </w:rPr>
        <w:t>ARRIHEN</w:t>
      </w:r>
    </w:p>
    <w:p w14:paraId="6B8A570D" w14:textId="77777777" w:rsidR="00004E5E" w:rsidRPr="000763DD" w:rsidRDefault="00004E5E" w:rsidP="00004E5E">
      <w:pPr>
        <w:pStyle w:val="ListParagraph"/>
        <w:tabs>
          <w:tab w:val="left" w:pos="450"/>
        </w:tabs>
        <w:spacing w:line="276" w:lineRule="auto"/>
        <w:ind w:left="0" w:right="48" w:firstLine="0"/>
        <w:rPr>
          <w:b/>
          <w:sz w:val="24"/>
          <w:szCs w:val="24"/>
        </w:rPr>
      </w:pPr>
    </w:p>
    <w:p w14:paraId="552AC8AE" w14:textId="0F525BA8" w:rsidR="00546CD1" w:rsidRPr="00546CD1" w:rsidRDefault="00546CD1" w:rsidP="00E83544">
      <w:pPr>
        <w:pStyle w:val="BodyText"/>
        <w:spacing w:line="276" w:lineRule="auto"/>
        <w:ind w:right="48"/>
        <w:rPr>
          <w:sz w:val="24"/>
          <w:szCs w:val="24"/>
          <w:lang w:val="en-US"/>
        </w:rPr>
      </w:pPr>
      <w:r w:rsidRPr="00546CD1">
        <w:rPr>
          <w:sz w:val="24"/>
          <w:szCs w:val="24"/>
          <w:lang w:val="en-US"/>
        </w:rPr>
        <w:t>Qëllimi i këtij projektligji është forcimi i integritetit, transparencës dhe qëndrueshmërisë së sistemit financiar dhe ekonomik të Republikës së Shqipërisë, nëpërmjet parandalimit, zbulimit dhe ndërprerjes efektive të pastrimit të parave, financimit të terrorizmit dhe përhapjes së armëve të dëmtimit në masë, duke adresuar njëkohësisht rreziqet që lidhen me transferimet e fondeve/kriptoaseteve dhe me lëvizjen ndërkufitare të parasë fizike.</w:t>
      </w:r>
    </w:p>
    <w:p w14:paraId="310059E3" w14:textId="77777777" w:rsidR="003A31F4" w:rsidRDefault="003A31F4" w:rsidP="00E83544">
      <w:pPr>
        <w:pStyle w:val="BodyText"/>
        <w:spacing w:line="276" w:lineRule="auto"/>
        <w:ind w:right="48"/>
        <w:rPr>
          <w:sz w:val="24"/>
          <w:szCs w:val="24"/>
          <w:lang w:val="en-US"/>
        </w:rPr>
      </w:pPr>
    </w:p>
    <w:p w14:paraId="6F71396C" w14:textId="030D519B" w:rsidR="00546CD1" w:rsidRPr="00546CD1" w:rsidRDefault="00546CD1" w:rsidP="00E83544">
      <w:pPr>
        <w:pStyle w:val="BodyText"/>
        <w:spacing w:line="276" w:lineRule="auto"/>
        <w:ind w:right="48"/>
        <w:rPr>
          <w:sz w:val="24"/>
          <w:szCs w:val="24"/>
          <w:lang w:val="en-US"/>
        </w:rPr>
      </w:pPr>
      <w:r w:rsidRPr="00546CD1">
        <w:rPr>
          <w:sz w:val="24"/>
          <w:szCs w:val="24"/>
          <w:lang w:val="en-US"/>
        </w:rPr>
        <w:t>Projektligji synon të ndërtojë një kuadër ligjor të konsoliduar, të bazuar në qasjen e vlerësimit të rrezikut, proporcionalitetit dhe gjurmueshmërisë, në harmoni të plotë me acquis të Bashkimit Evropian dhe standardet ndërkombëtare.</w:t>
      </w:r>
    </w:p>
    <w:p w14:paraId="3082A843" w14:textId="77777777" w:rsidR="008E626D" w:rsidRDefault="008E626D" w:rsidP="00E83544">
      <w:pPr>
        <w:pStyle w:val="BodyText"/>
        <w:spacing w:line="276" w:lineRule="auto"/>
        <w:ind w:right="48"/>
        <w:rPr>
          <w:sz w:val="24"/>
          <w:szCs w:val="24"/>
          <w:lang w:val="en-US"/>
        </w:rPr>
      </w:pPr>
    </w:p>
    <w:p w14:paraId="6498D1DE" w14:textId="324C3464" w:rsidR="00546CD1" w:rsidRPr="00546CD1" w:rsidRDefault="00546CD1" w:rsidP="00E83544">
      <w:pPr>
        <w:pStyle w:val="BodyText"/>
        <w:spacing w:line="276" w:lineRule="auto"/>
        <w:ind w:right="48"/>
        <w:rPr>
          <w:sz w:val="24"/>
          <w:szCs w:val="24"/>
          <w:lang w:val="en-US"/>
        </w:rPr>
      </w:pPr>
      <w:r w:rsidRPr="00546CD1">
        <w:rPr>
          <w:sz w:val="24"/>
          <w:szCs w:val="24"/>
          <w:lang w:val="en-US"/>
        </w:rPr>
        <w:t>Në funksion të këtij qëllimi, projektligji realizon këto objektiva kryesorë:</w:t>
      </w:r>
    </w:p>
    <w:p w14:paraId="6360938A" w14:textId="77777777" w:rsidR="003A31F4" w:rsidRDefault="003A31F4" w:rsidP="00E83544">
      <w:pPr>
        <w:pStyle w:val="BodyText"/>
        <w:spacing w:line="276" w:lineRule="auto"/>
        <w:ind w:right="48"/>
        <w:rPr>
          <w:sz w:val="24"/>
          <w:szCs w:val="24"/>
          <w:lang w:val="en-US"/>
        </w:rPr>
      </w:pPr>
    </w:p>
    <w:p w14:paraId="1415C420" w14:textId="4BA0565A" w:rsidR="00546CD1" w:rsidRDefault="00DA02FD" w:rsidP="00E83544">
      <w:pPr>
        <w:pStyle w:val="BodyText"/>
        <w:spacing w:line="276" w:lineRule="auto"/>
        <w:ind w:right="48"/>
        <w:rPr>
          <w:sz w:val="24"/>
          <w:szCs w:val="24"/>
          <w:lang w:val="en-US"/>
        </w:rPr>
      </w:pPr>
      <w:r>
        <w:rPr>
          <w:sz w:val="24"/>
          <w:szCs w:val="24"/>
          <w:lang w:val="en-US"/>
        </w:rPr>
        <w:t>Transpozimin dhe h</w:t>
      </w:r>
      <w:r w:rsidR="00546CD1" w:rsidRPr="00546CD1">
        <w:rPr>
          <w:sz w:val="24"/>
          <w:szCs w:val="24"/>
          <w:lang w:val="en-US"/>
        </w:rPr>
        <w:t>armonizimin e plotë të legjislacionit kombëtar me:</w:t>
      </w:r>
    </w:p>
    <w:p w14:paraId="611D97E8" w14:textId="77777777" w:rsidR="003A31F4" w:rsidRPr="00546CD1" w:rsidRDefault="003A31F4" w:rsidP="00E83544">
      <w:pPr>
        <w:pStyle w:val="BodyText"/>
        <w:spacing w:line="276" w:lineRule="auto"/>
        <w:ind w:right="48"/>
        <w:rPr>
          <w:sz w:val="24"/>
          <w:szCs w:val="24"/>
          <w:lang w:val="en-US"/>
        </w:rPr>
      </w:pPr>
    </w:p>
    <w:p w14:paraId="7BA66D79" w14:textId="77777777" w:rsidR="00DA02FD" w:rsidRPr="0004689B" w:rsidRDefault="00DA02FD" w:rsidP="00DA02FD">
      <w:pPr>
        <w:pStyle w:val="Header"/>
        <w:widowControl/>
        <w:numPr>
          <w:ilvl w:val="0"/>
          <w:numId w:val="38"/>
        </w:numPr>
        <w:tabs>
          <w:tab w:val="center" w:pos="4680"/>
          <w:tab w:val="right" w:pos="9360"/>
        </w:tabs>
        <w:autoSpaceDE/>
        <w:autoSpaceDN/>
        <w:ind w:right="48"/>
        <w:jc w:val="both"/>
        <w:rPr>
          <w:sz w:val="24"/>
          <w:szCs w:val="24"/>
        </w:rPr>
      </w:pPr>
      <w:r w:rsidRPr="0004689B">
        <w:rPr>
          <w:b/>
          <w:sz w:val="24"/>
          <w:szCs w:val="24"/>
        </w:rPr>
        <w:t>Direktiva (BE) 2024/1640</w:t>
      </w:r>
      <w:r w:rsidRPr="0004689B">
        <w:rPr>
          <w:sz w:val="24"/>
          <w:szCs w:val="24"/>
        </w:rPr>
        <w:t xml:space="preserve"> e Parlamentit Evropian dhe e Këshillit e 31 majit 2024 mbi mekanizmat që duhen vendosur nga Shtetet Anëtare për parandalimin e përdorimit të sistemit financiar për qëllime të pastrimit të parave ose financimit të terrorizmit, që ndryshon Direktivën (BE) 2019/1937 dhe që ndryshon dhe shfuqizon Direktivën (BE) 2015/849 (ndryshe e njohur si direktiva e 6t</w:t>
      </w:r>
      <w:r>
        <w:rPr>
          <w:sz w:val="24"/>
          <w:szCs w:val="24"/>
        </w:rPr>
        <w:t>ë</w:t>
      </w:r>
      <w:r w:rsidRPr="0004689B">
        <w:rPr>
          <w:sz w:val="24"/>
          <w:szCs w:val="24"/>
        </w:rPr>
        <w:t xml:space="preserve">); </w:t>
      </w:r>
    </w:p>
    <w:p w14:paraId="3AC2A249" w14:textId="77777777" w:rsidR="00DA02FD" w:rsidRPr="00632B44" w:rsidRDefault="00DA02FD" w:rsidP="00DA02FD">
      <w:pPr>
        <w:pStyle w:val="Header"/>
        <w:tabs>
          <w:tab w:val="clear" w:pos="4513"/>
          <w:tab w:val="clear" w:pos="9026"/>
          <w:tab w:val="center" w:pos="4680"/>
          <w:tab w:val="right" w:pos="9360"/>
        </w:tabs>
        <w:ind w:left="720" w:right="48"/>
        <w:jc w:val="both"/>
        <w:rPr>
          <w:bCs/>
          <w:sz w:val="24"/>
          <w:szCs w:val="24"/>
          <w:lang w:eastAsia="x-none"/>
        </w:rPr>
      </w:pPr>
    </w:p>
    <w:p w14:paraId="57D89C1E" w14:textId="77777777" w:rsidR="00DA02FD" w:rsidRPr="002805B9" w:rsidRDefault="00DA02FD" w:rsidP="00DA02FD">
      <w:pPr>
        <w:pStyle w:val="Header"/>
        <w:widowControl/>
        <w:numPr>
          <w:ilvl w:val="0"/>
          <w:numId w:val="38"/>
        </w:numPr>
        <w:tabs>
          <w:tab w:val="clear" w:pos="4513"/>
          <w:tab w:val="clear" w:pos="9026"/>
          <w:tab w:val="center" w:pos="4680"/>
          <w:tab w:val="right" w:pos="9360"/>
        </w:tabs>
        <w:autoSpaceDE/>
        <w:autoSpaceDN/>
        <w:ind w:right="48"/>
        <w:jc w:val="both"/>
        <w:rPr>
          <w:bCs/>
          <w:sz w:val="24"/>
          <w:szCs w:val="24"/>
          <w:lang w:eastAsia="x-none"/>
        </w:rPr>
      </w:pPr>
      <w:r w:rsidRPr="002805B9">
        <w:rPr>
          <w:b/>
          <w:sz w:val="24"/>
          <w:szCs w:val="24"/>
        </w:rPr>
        <w:t>Rregullorja (BE) 2024/1624</w:t>
      </w:r>
      <w:r w:rsidRPr="002805B9">
        <w:rPr>
          <w:sz w:val="24"/>
          <w:szCs w:val="24"/>
        </w:rPr>
        <w:t xml:space="preserve"> e Parlamentit Evropian dhe e Këshillit, e datës 31 maj 2024, mbi parandalimin e përdorimit të sistemit financiar për qëllime të pastrimit të parav</w:t>
      </w:r>
      <w:r>
        <w:rPr>
          <w:sz w:val="24"/>
          <w:szCs w:val="24"/>
        </w:rPr>
        <w:t>e ose financimit të terrorizmit;</w:t>
      </w:r>
    </w:p>
    <w:p w14:paraId="2BE9FD52" w14:textId="77777777" w:rsidR="00DA02FD" w:rsidRPr="002805B9" w:rsidRDefault="00DA02FD" w:rsidP="00DA02FD">
      <w:pPr>
        <w:pStyle w:val="Header"/>
        <w:tabs>
          <w:tab w:val="clear" w:pos="4513"/>
          <w:tab w:val="clear" w:pos="9026"/>
          <w:tab w:val="center" w:pos="4680"/>
          <w:tab w:val="right" w:pos="9360"/>
        </w:tabs>
        <w:ind w:left="720" w:right="48"/>
        <w:jc w:val="both"/>
        <w:rPr>
          <w:bCs/>
          <w:sz w:val="24"/>
          <w:szCs w:val="24"/>
          <w:lang w:eastAsia="x-none"/>
        </w:rPr>
      </w:pPr>
    </w:p>
    <w:p w14:paraId="10AC4365" w14:textId="77777777" w:rsidR="00DA02FD" w:rsidRPr="00DA02FD" w:rsidRDefault="00DA02FD" w:rsidP="00DA02FD">
      <w:pPr>
        <w:pStyle w:val="Header"/>
        <w:widowControl/>
        <w:numPr>
          <w:ilvl w:val="0"/>
          <w:numId w:val="38"/>
        </w:numPr>
        <w:tabs>
          <w:tab w:val="clear" w:pos="4513"/>
          <w:tab w:val="clear" w:pos="9026"/>
          <w:tab w:val="center" w:pos="4680"/>
          <w:tab w:val="right" w:pos="9360"/>
        </w:tabs>
        <w:autoSpaceDE/>
        <w:autoSpaceDN/>
        <w:ind w:right="48"/>
        <w:jc w:val="both"/>
        <w:rPr>
          <w:bCs/>
          <w:sz w:val="24"/>
          <w:szCs w:val="24"/>
          <w:lang w:eastAsia="x-none"/>
        </w:rPr>
      </w:pPr>
      <w:r w:rsidRPr="002805B9">
        <w:rPr>
          <w:b/>
          <w:sz w:val="24"/>
          <w:szCs w:val="24"/>
        </w:rPr>
        <w:t>Rregullorja (BE) 2023/1113</w:t>
      </w:r>
      <w:r w:rsidRPr="002805B9">
        <w:rPr>
          <w:sz w:val="24"/>
          <w:szCs w:val="24"/>
        </w:rPr>
        <w:t xml:space="preserve"> e Parlamentit Evropian dhe e Këshillit, e datës 31 maj 2023, mbi informacionin që shoqëron transferimet e fondeve dhe disa kripto-aseteve dhe që ndryshon Direktivën (BE) 2015/849</w:t>
      </w:r>
      <w:r>
        <w:rPr>
          <w:sz w:val="24"/>
          <w:szCs w:val="24"/>
        </w:rPr>
        <w:t>.</w:t>
      </w:r>
    </w:p>
    <w:p w14:paraId="3424165A" w14:textId="77777777" w:rsidR="00DA02FD" w:rsidRDefault="00DA02FD" w:rsidP="00DA02FD">
      <w:pPr>
        <w:pStyle w:val="ListParagraph"/>
        <w:rPr>
          <w:sz w:val="24"/>
          <w:szCs w:val="24"/>
          <w:lang w:val="en-US"/>
        </w:rPr>
      </w:pPr>
    </w:p>
    <w:p w14:paraId="093AF79E" w14:textId="5009526F" w:rsidR="00546CD1" w:rsidRPr="00DA02FD" w:rsidRDefault="00546CD1" w:rsidP="00DA02FD">
      <w:pPr>
        <w:pStyle w:val="Header"/>
        <w:widowControl/>
        <w:numPr>
          <w:ilvl w:val="0"/>
          <w:numId w:val="38"/>
        </w:numPr>
        <w:tabs>
          <w:tab w:val="clear" w:pos="4513"/>
          <w:tab w:val="clear" w:pos="9026"/>
          <w:tab w:val="center" w:pos="4680"/>
          <w:tab w:val="right" w:pos="9360"/>
        </w:tabs>
        <w:autoSpaceDE/>
        <w:autoSpaceDN/>
        <w:ind w:right="48"/>
        <w:jc w:val="both"/>
        <w:rPr>
          <w:bCs/>
          <w:sz w:val="24"/>
          <w:szCs w:val="24"/>
          <w:lang w:eastAsia="x-none"/>
        </w:rPr>
      </w:pPr>
      <w:r w:rsidRPr="00DA02FD">
        <w:rPr>
          <w:b/>
          <w:sz w:val="24"/>
          <w:szCs w:val="24"/>
          <w:lang w:val="en-US"/>
        </w:rPr>
        <w:t>Rregulloren (BE) 2018/1672</w:t>
      </w:r>
      <w:r w:rsidRPr="00DA02FD">
        <w:rPr>
          <w:sz w:val="24"/>
          <w:szCs w:val="24"/>
          <w:lang w:val="en-US"/>
        </w:rPr>
        <w:t>, të Parlamentit Evropian dhe të Këshillit, datë 23 tetor 2018, “mbi kontrollin e parasë fizike që hyn ose del nga Bashkimi”, duke reflektuar mekanizmat e deklarimit/raportimit, kontrollit dhe shkëmbimit të informacionit mbi lëvizjet ndërkufitare të parasë fizike.</w:t>
      </w:r>
    </w:p>
    <w:p w14:paraId="3854EB59" w14:textId="77777777" w:rsidR="008312E9" w:rsidRDefault="008312E9" w:rsidP="00E83544">
      <w:pPr>
        <w:pStyle w:val="BodyText"/>
        <w:spacing w:line="276" w:lineRule="auto"/>
        <w:ind w:right="48"/>
        <w:rPr>
          <w:sz w:val="24"/>
          <w:szCs w:val="24"/>
          <w:lang w:val="en-US"/>
        </w:rPr>
      </w:pPr>
    </w:p>
    <w:p w14:paraId="6D915A73" w14:textId="5D08DEB7" w:rsidR="00546CD1" w:rsidRPr="00546CD1" w:rsidRDefault="00546CD1" w:rsidP="00E83544">
      <w:pPr>
        <w:pStyle w:val="BodyText"/>
        <w:spacing w:line="276" w:lineRule="auto"/>
        <w:ind w:right="48"/>
        <w:rPr>
          <w:sz w:val="24"/>
          <w:szCs w:val="24"/>
          <w:lang w:val="en-US"/>
        </w:rPr>
      </w:pPr>
      <w:r w:rsidRPr="00546CD1">
        <w:rPr>
          <w:sz w:val="24"/>
          <w:szCs w:val="24"/>
          <w:lang w:val="en-US"/>
        </w:rPr>
        <w:t>Përshtatjen e kuadrit kombëtar me rekomandimet e përditësuara të FATF dhe adresimin e gjetjeve/rekomandimeve të MONEYVAL, veçanërisht për transparencën,</w:t>
      </w:r>
      <w:r>
        <w:rPr>
          <w:sz w:val="24"/>
          <w:szCs w:val="24"/>
          <w:lang w:val="en-US"/>
        </w:rPr>
        <w:t xml:space="preserve"> </w:t>
      </w:r>
      <w:r w:rsidRPr="00546CD1">
        <w:rPr>
          <w:sz w:val="24"/>
          <w:szCs w:val="24"/>
          <w:lang w:val="en-US"/>
        </w:rPr>
        <w:t>gjurmueshmërinë dhe bashkëpunimin ndërinstitucional;</w:t>
      </w:r>
    </w:p>
    <w:p w14:paraId="6E5669CB" w14:textId="4B380BA0" w:rsidR="00546CD1" w:rsidRPr="00546CD1" w:rsidRDefault="00546CD1" w:rsidP="00E83544">
      <w:pPr>
        <w:pStyle w:val="BodyText"/>
        <w:spacing w:line="276" w:lineRule="auto"/>
        <w:ind w:right="48"/>
        <w:rPr>
          <w:sz w:val="24"/>
          <w:szCs w:val="24"/>
          <w:lang w:val="en-US"/>
        </w:rPr>
      </w:pPr>
      <w:r w:rsidRPr="00546CD1">
        <w:rPr>
          <w:sz w:val="24"/>
          <w:szCs w:val="24"/>
          <w:lang w:val="en-US"/>
        </w:rPr>
        <w:t>Forcimin e rolit analitik, koordinues dhe të shkëmbimit të informacionit të Agjencisë së Inteligjencës Financiare, si njësi qendrore e inteligjencës financiare;</w:t>
      </w:r>
    </w:p>
    <w:p w14:paraId="2DEC2668" w14:textId="64DB46CD" w:rsidR="00546CD1" w:rsidRPr="00546CD1" w:rsidRDefault="00546CD1" w:rsidP="00E83544">
      <w:pPr>
        <w:pStyle w:val="BodyText"/>
        <w:spacing w:line="276" w:lineRule="auto"/>
        <w:ind w:right="48"/>
        <w:rPr>
          <w:sz w:val="24"/>
          <w:szCs w:val="24"/>
          <w:lang w:val="en-US"/>
        </w:rPr>
      </w:pPr>
      <w:r w:rsidRPr="00546CD1">
        <w:rPr>
          <w:sz w:val="24"/>
          <w:szCs w:val="24"/>
          <w:lang w:val="en-US"/>
        </w:rPr>
        <w:t xml:space="preserve">Rritjen e transparencës së pronësisë përfituese dhe përmirësimin e cilësisë së informacionit që </w:t>
      </w:r>
      <w:r w:rsidRPr="00546CD1">
        <w:rPr>
          <w:sz w:val="24"/>
          <w:szCs w:val="24"/>
          <w:lang w:val="en-US"/>
        </w:rPr>
        <w:lastRenderedPageBreak/>
        <w:t>mbështet hetimin financiar dhe penal;</w:t>
      </w:r>
    </w:p>
    <w:p w14:paraId="6DE668DF" w14:textId="1440512E" w:rsidR="00546CD1" w:rsidRPr="00546CD1" w:rsidRDefault="00546CD1" w:rsidP="00E83544">
      <w:pPr>
        <w:pStyle w:val="BodyText"/>
        <w:spacing w:line="276" w:lineRule="auto"/>
        <w:ind w:right="48"/>
        <w:rPr>
          <w:sz w:val="24"/>
          <w:szCs w:val="24"/>
          <w:lang w:val="en-US"/>
        </w:rPr>
      </w:pPr>
      <w:r w:rsidRPr="00546CD1">
        <w:rPr>
          <w:sz w:val="24"/>
          <w:szCs w:val="24"/>
          <w:lang w:val="en-US"/>
        </w:rPr>
        <w:t>Forcimin e mekanizmave për zbatimin e masave kufizuese, si dhe për ngrirjen/bllokimin e fondeve dhe aseteve, në përputhje me standardet ndërkombëtare;</w:t>
      </w:r>
    </w:p>
    <w:p w14:paraId="57E3206C" w14:textId="136D5825" w:rsidR="00546CD1" w:rsidRPr="00546CD1" w:rsidRDefault="00546CD1" w:rsidP="00E83544">
      <w:pPr>
        <w:pStyle w:val="BodyText"/>
        <w:spacing w:line="276" w:lineRule="auto"/>
        <w:ind w:right="48"/>
        <w:rPr>
          <w:sz w:val="24"/>
          <w:szCs w:val="24"/>
          <w:lang w:val="en-US"/>
        </w:rPr>
      </w:pPr>
      <w:r w:rsidRPr="00546CD1">
        <w:rPr>
          <w:sz w:val="24"/>
          <w:szCs w:val="24"/>
          <w:lang w:val="en-US"/>
        </w:rPr>
        <w:t>Rritjen e efektivitetit të bashkëpunimit ndërinstitucional dhe ndërkombëtar, përmes mekanizmave të standardizuar të raportimit, shkëmbimit të informacionit dhe menaxhimit të riskut.</w:t>
      </w:r>
    </w:p>
    <w:p w14:paraId="4F0063FE" w14:textId="77777777" w:rsidR="008312E9" w:rsidRDefault="008312E9" w:rsidP="00E83544">
      <w:pPr>
        <w:pStyle w:val="BodyText"/>
        <w:spacing w:line="276" w:lineRule="auto"/>
        <w:ind w:right="48"/>
        <w:rPr>
          <w:sz w:val="24"/>
          <w:szCs w:val="24"/>
          <w:lang w:val="en-US"/>
        </w:rPr>
      </w:pPr>
    </w:p>
    <w:p w14:paraId="70520F8A" w14:textId="1B3B5A35" w:rsidR="00D24F12" w:rsidRDefault="00546CD1" w:rsidP="00E83544">
      <w:pPr>
        <w:pStyle w:val="BodyText"/>
        <w:spacing w:line="276" w:lineRule="auto"/>
        <w:ind w:right="48"/>
        <w:rPr>
          <w:sz w:val="24"/>
          <w:szCs w:val="24"/>
          <w:lang w:val="en-US"/>
        </w:rPr>
      </w:pPr>
      <w:r w:rsidRPr="00546CD1">
        <w:rPr>
          <w:sz w:val="24"/>
          <w:szCs w:val="24"/>
          <w:lang w:val="en-US"/>
        </w:rPr>
        <w:t>Në tërësi, projektligji synon të ulë rrezikun e përdorimit të sistemit financiar, të tregjeve të kriptoaseteve dhe të lëvizjeve ndërkufitare të parasë fizike për qëllime kriminale, duke rritur efektivitetin e sistemit parandalues dhe duke mbështetur procesin e integrimit evropian.</w:t>
      </w:r>
    </w:p>
    <w:p w14:paraId="149542AE" w14:textId="77777777" w:rsidR="008312E9" w:rsidRPr="001B2FD8" w:rsidRDefault="008312E9" w:rsidP="00E83544">
      <w:pPr>
        <w:pStyle w:val="BodyText"/>
        <w:spacing w:line="276" w:lineRule="auto"/>
        <w:ind w:right="48"/>
        <w:jc w:val="left"/>
        <w:rPr>
          <w:sz w:val="24"/>
          <w:szCs w:val="24"/>
        </w:rPr>
      </w:pPr>
    </w:p>
    <w:p w14:paraId="46C99390" w14:textId="6252CA3E" w:rsidR="001E24BA" w:rsidRPr="00005984" w:rsidRDefault="00E94EBD" w:rsidP="004D5FC8">
      <w:pPr>
        <w:pStyle w:val="ListParagraph"/>
        <w:numPr>
          <w:ilvl w:val="0"/>
          <w:numId w:val="1"/>
        </w:numPr>
        <w:tabs>
          <w:tab w:val="left" w:pos="0"/>
        </w:tabs>
        <w:spacing w:line="276" w:lineRule="auto"/>
        <w:ind w:left="0" w:right="48" w:firstLine="0"/>
        <w:jc w:val="both"/>
        <w:rPr>
          <w:b/>
          <w:sz w:val="24"/>
          <w:szCs w:val="24"/>
        </w:rPr>
      </w:pPr>
      <w:r w:rsidRPr="001B2FD8">
        <w:rPr>
          <w:b/>
          <w:sz w:val="24"/>
          <w:szCs w:val="24"/>
        </w:rPr>
        <w:t xml:space="preserve">VLERËSIMI I PROJEKTAKTIT NË RAPORT ME PROGRAMIN POLITIK TË KËSHILLIT TË MINISTRAVE, ME PROGRAMIN ANALITIK TË AKTEVE DHE DOKUMENTEVE TË TJERA </w:t>
      </w:r>
      <w:r w:rsidRPr="001B2FD8">
        <w:rPr>
          <w:b/>
          <w:spacing w:val="-2"/>
          <w:sz w:val="24"/>
          <w:szCs w:val="24"/>
        </w:rPr>
        <w:t>POLITIKE</w:t>
      </w:r>
    </w:p>
    <w:p w14:paraId="1D258AC9" w14:textId="77777777" w:rsidR="00005984" w:rsidRPr="000763DD" w:rsidRDefault="00005984" w:rsidP="00005984">
      <w:pPr>
        <w:pStyle w:val="ListParagraph"/>
        <w:tabs>
          <w:tab w:val="left" w:pos="0"/>
        </w:tabs>
        <w:spacing w:line="276" w:lineRule="auto"/>
        <w:ind w:left="0" w:right="48" w:firstLine="0"/>
        <w:rPr>
          <w:b/>
          <w:sz w:val="24"/>
          <w:szCs w:val="24"/>
        </w:rPr>
      </w:pPr>
    </w:p>
    <w:p w14:paraId="67566DB2" w14:textId="77777777" w:rsidR="00D24F12" w:rsidRPr="00D24F12" w:rsidRDefault="00D24F12" w:rsidP="00E83544">
      <w:pPr>
        <w:pStyle w:val="BodyText"/>
        <w:tabs>
          <w:tab w:val="left" w:pos="0"/>
        </w:tabs>
        <w:spacing w:line="276" w:lineRule="auto"/>
        <w:ind w:right="48"/>
        <w:rPr>
          <w:sz w:val="24"/>
          <w:szCs w:val="24"/>
          <w:lang w:val="en-US"/>
        </w:rPr>
      </w:pPr>
      <w:r w:rsidRPr="00D24F12">
        <w:rPr>
          <w:sz w:val="24"/>
          <w:szCs w:val="24"/>
          <w:lang w:val="en-US"/>
        </w:rPr>
        <w:t>Projektligji është në përputhje me Programin Politik të Qeverisë 2025–2029, në kuadër të angazhimeve për përshpejtimin e procesit të integrimit evropian dhe forcimin e shtetit të së drejtës.</w:t>
      </w:r>
    </w:p>
    <w:p w14:paraId="79BB4257" w14:textId="77777777" w:rsidR="00D24F12" w:rsidRPr="00D24F12" w:rsidRDefault="00D24F12" w:rsidP="00E83544">
      <w:pPr>
        <w:pStyle w:val="BodyText"/>
        <w:tabs>
          <w:tab w:val="left" w:pos="0"/>
        </w:tabs>
        <w:spacing w:line="276" w:lineRule="auto"/>
        <w:ind w:right="48"/>
        <w:rPr>
          <w:sz w:val="24"/>
          <w:szCs w:val="24"/>
          <w:lang w:val="en-US"/>
        </w:rPr>
      </w:pPr>
      <w:r w:rsidRPr="00D24F12">
        <w:rPr>
          <w:sz w:val="24"/>
          <w:szCs w:val="24"/>
          <w:lang w:val="en-US"/>
        </w:rPr>
        <w:t>Ky projektligj hartohet në kuadër të përmbushjes së detyrimeve që rrjedhin nga procesi i harmonizimit të kuadrit ligjor kombëtar me acquis të Bashkimit Evropian, në kuadër të Kapitullit 4 “Lëvizja e lirë e kapitalit”, seksioni 4.3 “Lufta kundër pastrimit të parave dhe financimit të terrorizmit”.</w:t>
      </w:r>
    </w:p>
    <w:p w14:paraId="1FED0D67" w14:textId="77777777" w:rsidR="00D24F12" w:rsidRPr="00D24F12" w:rsidRDefault="00D24F12" w:rsidP="00E83544">
      <w:pPr>
        <w:pStyle w:val="BodyText"/>
        <w:tabs>
          <w:tab w:val="left" w:pos="0"/>
        </w:tabs>
        <w:spacing w:line="276" w:lineRule="auto"/>
        <w:ind w:right="48"/>
        <w:rPr>
          <w:sz w:val="24"/>
          <w:szCs w:val="24"/>
          <w:lang w:val="en-US"/>
        </w:rPr>
      </w:pPr>
      <w:r w:rsidRPr="00D24F12">
        <w:rPr>
          <w:sz w:val="24"/>
          <w:szCs w:val="24"/>
          <w:lang w:val="en-US"/>
        </w:rPr>
        <w:t>Kapitulli 4 drejtohet nga Banka e Shqipërisë, ndërsa Agjencia e Inteligjencës Financiare është institucion me rol kyç në përmbushjen e piketave përmbyllëse të këtij kapitulli.</w:t>
      </w:r>
    </w:p>
    <w:p w14:paraId="6427DD64" w14:textId="77777777" w:rsidR="00D24F12" w:rsidRPr="00D24F12" w:rsidRDefault="00D24F12" w:rsidP="00E83544">
      <w:pPr>
        <w:pStyle w:val="BodyText"/>
        <w:tabs>
          <w:tab w:val="left" w:pos="0"/>
        </w:tabs>
        <w:spacing w:line="276" w:lineRule="auto"/>
        <w:ind w:right="48"/>
        <w:rPr>
          <w:sz w:val="24"/>
          <w:szCs w:val="24"/>
          <w:lang w:val="en-US"/>
        </w:rPr>
      </w:pPr>
      <w:r w:rsidRPr="00D24F12">
        <w:rPr>
          <w:sz w:val="24"/>
          <w:szCs w:val="24"/>
          <w:lang w:val="en-US"/>
        </w:rPr>
        <w:t>Projektligji kontribuon drejtpërdrejt në:</w:t>
      </w:r>
    </w:p>
    <w:p w14:paraId="68652F46" w14:textId="77777777" w:rsidR="00D24F12" w:rsidRPr="00D24F12" w:rsidRDefault="00D24F12" w:rsidP="004D5FC8">
      <w:pPr>
        <w:pStyle w:val="BodyText"/>
        <w:numPr>
          <w:ilvl w:val="0"/>
          <w:numId w:val="2"/>
        </w:numPr>
        <w:tabs>
          <w:tab w:val="clear" w:pos="720"/>
          <w:tab w:val="left" w:pos="0"/>
          <w:tab w:val="left" w:pos="360"/>
          <w:tab w:val="num" w:pos="540"/>
        </w:tabs>
        <w:spacing w:line="276" w:lineRule="auto"/>
        <w:ind w:left="0" w:right="48" w:firstLine="0"/>
        <w:rPr>
          <w:sz w:val="24"/>
          <w:szCs w:val="24"/>
          <w:lang w:val="en-US"/>
        </w:rPr>
      </w:pPr>
      <w:r w:rsidRPr="00D24F12">
        <w:rPr>
          <w:sz w:val="24"/>
          <w:szCs w:val="24"/>
          <w:lang w:val="en-US"/>
        </w:rPr>
        <w:t>përmbushjen e detyrimeve të negociatave për Kapitullin 4;</w:t>
      </w:r>
    </w:p>
    <w:p w14:paraId="0CD38A7E" w14:textId="77777777" w:rsidR="00D24F12" w:rsidRPr="00D24F12" w:rsidRDefault="00D24F12" w:rsidP="004D5FC8">
      <w:pPr>
        <w:pStyle w:val="BodyText"/>
        <w:numPr>
          <w:ilvl w:val="0"/>
          <w:numId w:val="2"/>
        </w:numPr>
        <w:tabs>
          <w:tab w:val="clear" w:pos="720"/>
          <w:tab w:val="left" w:pos="0"/>
          <w:tab w:val="left" w:pos="360"/>
          <w:tab w:val="num" w:pos="540"/>
        </w:tabs>
        <w:spacing w:line="276" w:lineRule="auto"/>
        <w:ind w:left="0" w:right="48" w:firstLine="0"/>
        <w:rPr>
          <w:sz w:val="24"/>
          <w:szCs w:val="24"/>
          <w:lang w:val="en-US"/>
        </w:rPr>
      </w:pPr>
      <w:r w:rsidRPr="00D24F12">
        <w:rPr>
          <w:sz w:val="24"/>
          <w:szCs w:val="24"/>
          <w:lang w:val="en-US"/>
        </w:rPr>
        <w:t>përmirësimin e treguesve të efektivitetit sipas metodologjisë së FATF;</w:t>
      </w:r>
    </w:p>
    <w:p w14:paraId="2A74B321" w14:textId="77777777" w:rsidR="00D24F12" w:rsidRPr="00D24F12" w:rsidRDefault="00D24F12" w:rsidP="004D5FC8">
      <w:pPr>
        <w:pStyle w:val="BodyText"/>
        <w:numPr>
          <w:ilvl w:val="0"/>
          <w:numId w:val="2"/>
        </w:numPr>
        <w:tabs>
          <w:tab w:val="clear" w:pos="720"/>
          <w:tab w:val="left" w:pos="0"/>
          <w:tab w:val="left" w:pos="360"/>
          <w:tab w:val="num" w:pos="540"/>
        </w:tabs>
        <w:spacing w:line="276" w:lineRule="auto"/>
        <w:ind w:left="0" w:right="48" w:firstLine="0"/>
        <w:rPr>
          <w:sz w:val="24"/>
          <w:szCs w:val="24"/>
          <w:lang w:val="en-US"/>
        </w:rPr>
      </w:pPr>
      <w:r w:rsidRPr="00D24F12">
        <w:rPr>
          <w:sz w:val="24"/>
          <w:szCs w:val="24"/>
          <w:lang w:val="en-US"/>
        </w:rPr>
        <w:t>rritjen e përputhshmërisë teknike me standardet ndërkombëtare;</w:t>
      </w:r>
    </w:p>
    <w:p w14:paraId="5A08CB09" w14:textId="77777777" w:rsidR="00D24F12" w:rsidRPr="00D24F12" w:rsidRDefault="00D24F12" w:rsidP="004D5FC8">
      <w:pPr>
        <w:pStyle w:val="BodyText"/>
        <w:numPr>
          <w:ilvl w:val="0"/>
          <w:numId w:val="2"/>
        </w:numPr>
        <w:tabs>
          <w:tab w:val="clear" w:pos="720"/>
          <w:tab w:val="left" w:pos="0"/>
          <w:tab w:val="left" w:pos="360"/>
          <w:tab w:val="num" w:pos="540"/>
        </w:tabs>
        <w:spacing w:line="276" w:lineRule="auto"/>
        <w:ind w:left="0" w:right="48" w:firstLine="0"/>
        <w:rPr>
          <w:sz w:val="24"/>
          <w:szCs w:val="24"/>
          <w:lang w:val="en-US"/>
        </w:rPr>
      </w:pPr>
      <w:r w:rsidRPr="00D24F12">
        <w:rPr>
          <w:sz w:val="24"/>
          <w:szCs w:val="24"/>
          <w:lang w:val="en-US"/>
        </w:rPr>
        <w:t>shmangien e ekspozimit ndaj masave kufizuese apo vlerësimeve negative ndërkombëtare.</w:t>
      </w:r>
    </w:p>
    <w:p w14:paraId="3A7AF265" w14:textId="77777777" w:rsidR="00500057" w:rsidRPr="001B2FD8" w:rsidRDefault="00500057" w:rsidP="00E83544">
      <w:pPr>
        <w:pStyle w:val="BodyText"/>
        <w:tabs>
          <w:tab w:val="left" w:pos="0"/>
        </w:tabs>
        <w:spacing w:line="276" w:lineRule="auto"/>
        <w:ind w:right="48"/>
        <w:rPr>
          <w:sz w:val="24"/>
          <w:szCs w:val="24"/>
        </w:rPr>
      </w:pPr>
    </w:p>
    <w:p w14:paraId="1BE20431" w14:textId="10201DE4" w:rsidR="00AE4159" w:rsidRDefault="00E94EBD" w:rsidP="004D5FC8">
      <w:pPr>
        <w:pStyle w:val="ListParagraph"/>
        <w:numPr>
          <w:ilvl w:val="0"/>
          <w:numId w:val="1"/>
        </w:numPr>
        <w:tabs>
          <w:tab w:val="left" w:pos="0"/>
        </w:tabs>
        <w:spacing w:line="276" w:lineRule="auto"/>
        <w:ind w:left="0" w:right="48" w:firstLine="0"/>
        <w:jc w:val="both"/>
        <w:rPr>
          <w:b/>
          <w:sz w:val="24"/>
          <w:szCs w:val="24"/>
        </w:rPr>
      </w:pPr>
      <w:r w:rsidRPr="001B2FD8">
        <w:rPr>
          <w:b/>
          <w:sz w:val="24"/>
          <w:szCs w:val="24"/>
        </w:rPr>
        <w:t>ARGUMENTIMI I PROJEKTAKTIT LIDHUR ME PËRPARËSITË, PROBLEMATIKAT, EFEKTET E PRITSHME</w:t>
      </w:r>
    </w:p>
    <w:p w14:paraId="3B275CD1" w14:textId="77777777" w:rsidR="00004E5E" w:rsidRPr="00437A46" w:rsidRDefault="00004E5E" w:rsidP="00004E5E">
      <w:pPr>
        <w:pStyle w:val="ListParagraph"/>
        <w:tabs>
          <w:tab w:val="left" w:pos="0"/>
        </w:tabs>
        <w:spacing w:line="276" w:lineRule="auto"/>
        <w:ind w:left="0" w:right="48" w:firstLine="0"/>
        <w:rPr>
          <w:b/>
          <w:sz w:val="24"/>
          <w:szCs w:val="24"/>
        </w:rPr>
      </w:pPr>
    </w:p>
    <w:p w14:paraId="2041676B" w14:textId="4CB5F8A0" w:rsidR="00004E5E" w:rsidRDefault="00AE4159" w:rsidP="003A31F4">
      <w:pPr>
        <w:pStyle w:val="ListParagraph"/>
        <w:numPr>
          <w:ilvl w:val="0"/>
          <w:numId w:val="40"/>
        </w:numPr>
        <w:tabs>
          <w:tab w:val="left" w:pos="0"/>
        </w:tabs>
        <w:spacing w:line="276" w:lineRule="auto"/>
        <w:ind w:right="48"/>
        <w:rPr>
          <w:b/>
          <w:bCs/>
          <w:sz w:val="24"/>
          <w:szCs w:val="24"/>
          <w:lang w:val="en-US"/>
        </w:rPr>
      </w:pPr>
      <w:r w:rsidRPr="00AE4159">
        <w:rPr>
          <w:b/>
          <w:bCs/>
          <w:sz w:val="24"/>
          <w:szCs w:val="24"/>
          <w:lang w:val="en-US"/>
        </w:rPr>
        <w:t>Problem</w:t>
      </w:r>
      <w:r>
        <w:rPr>
          <w:b/>
          <w:bCs/>
          <w:sz w:val="24"/>
          <w:szCs w:val="24"/>
          <w:lang w:val="en-US"/>
        </w:rPr>
        <w:t>a</w:t>
      </w:r>
      <w:r w:rsidRPr="00AE4159">
        <w:rPr>
          <w:b/>
          <w:bCs/>
          <w:sz w:val="24"/>
          <w:szCs w:val="24"/>
          <w:lang w:val="en-US"/>
        </w:rPr>
        <w:t>ti</w:t>
      </w:r>
      <w:r>
        <w:rPr>
          <w:b/>
          <w:bCs/>
          <w:sz w:val="24"/>
          <w:szCs w:val="24"/>
          <w:lang w:val="en-US"/>
        </w:rPr>
        <w:t>k</w:t>
      </w:r>
      <w:r w:rsidRPr="00AE4159">
        <w:rPr>
          <w:b/>
          <w:bCs/>
          <w:sz w:val="24"/>
          <w:szCs w:val="24"/>
          <w:lang w:val="en-US"/>
        </w:rPr>
        <w:t>a që adreson projektligji</w:t>
      </w:r>
    </w:p>
    <w:p w14:paraId="7145D2A9" w14:textId="77777777" w:rsidR="003A31F4" w:rsidRPr="00AE4159" w:rsidRDefault="003A31F4" w:rsidP="003A31F4">
      <w:pPr>
        <w:pStyle w:val="ListParagraph"/>
        <w:tabs>
          <w:tab w:val="left" w:pos="0"/>
        </w:tabs>
        <w:spacing w:line="276" w:lineRule="auto"/>
        <w:ind w:left="720" w:right="48" w:firstLine="0"/>
        <w:rPr>
          <w:b/>
          <w:bCs/>
          <w:sz w:val="24"/>
          <w:szCs w:val="24"/>
          <w:lang w:val="en-US"/>
        </w:rPr>
      </w:pPr>
    </w:p>
    <w:p w14:paraId="523B138D" w14:textId="77777777" w:rsidR="00AE4159" w:rsidRPr="00AE4159" w:rsidRDefault="00AE4159" w:rsidP="00E83544">
      <w:pPr>
        <w:pStyle w:val="ListParagraph"/>
        <w:tabs>
          <w:tab w:val="left" w:pos="0"/>
        </w:tabs>
        <w:spacing w:line="276" w:lineRule="auto"/>
        <w:ind w:left="0" w:right="48" w:firstLine="0"/>
        <w:rPr>
          <w:sz w:val="24"/>
          <w:szCs w:val="24"/>
          <w:lang w:val="en-US"/>
        </w:rPr>
      </w:pPr>
      <w:r w:rsidRPr="00AE4159">
        <w:rPr>
          <w:sz w:val="24"/>
          <w:szCs w:val="24"/>
          <w:lang w:val="en-US"/>
        </w:rPr>
        <w:t>Kuadri aktual ligjor, i ndërtuar mbi ligjin nr. 9917/2008, i ndryshuar, nuk reflekton plotësisht zhvillimet e fundit në arkitekturën evropiane dhe ndërkombëtare AML/CFT. Në veçanti:</w:t>
      </w:r>
    </w:p>
    <w:p w14:paraId="3F69E5F5" w14:textId="77777777" w:rsidR="00AE4159" w:rsidRPr="00AE4159" w:rsidRDefault="00AE4159" w:rsidP="004D5FC8">
      <w:pPr>
        <w:pStyle w:val="ListParagraph"/>
        <w:numPr>
          <w:ilvl w:val="0"/>
          <w:numId w:val="33"/>
        </w:numPr>
        <w:tabs>
          <w:tab w:val="left" w:pos="0"/>
        </w:tabs>
        <w:spacing w:line="276" w:lineRule="auto"/>
        <w:ind w:left="0" w:right="48" w:firstLine="0"/>
        <w:rPr>
          <w:sz w:val="24"/>
          <w:szCs w:val="24"/>
          <w:lang w:val="en-US"/>
        </w:rPr>
      </w:pPr>
      <w:r w:rsidRPr="00AE4159">
        <w:rPr>
          <w:sz w:val="24"/>
          <w:szCs w:val="24"/>
          <w:lang w:val="en-US"/>
        </w:rPr>
        <w:t>Nuk pasqyron reformën e re të Bashkimit Evropian në fushën AML/CFT (paketa e re legjislative dhe rritja e rolit të mekanizmave të përbashkët evropianë).</w:t>
      </w:r>
    </w:p>
    <w:p w14:paraId="5CA7CAC2" w14:textId="77777777" w:rsidR="00AE4159" w:rsidRPr="00AE4159" w:rsidRDefault="00AE4159" w:rsidP="004D5FC8">
      <w:pPr>
        <w:pStyle w:val="ListParagraph"/>
        <w:numPr>
          <w:ilvl w:val="0"/>
          <w:numId w:val="33"/>
        </w:numPr>
        <w:tabs>
          <w:tab w:val="left" w:pos="0"/>
        </w:tabs>
        <w:spacing w:line="276" w:lineRule="auto"/>
        <w:ind w:left="0" w:right="48" w:firstLine="0"/>
        <w:rPr>
          <w:sz w:val="24"/>
          <w:szCs w:val="24"/>
          <w:lang w:val="en-US"/>
        </w:rPr>
      </w:pPr>
      <w:r w:rsidRPr="00AE4159">
        <w:rPr>
          <w:sz w:val="24"/>
          <w:szCs w:val="24"/>
          <w:lang w:val="en-US"/>
        </w:rPr>
        <w:t>Nuk integron në mënyrë të plotë standardet e përditësuara të FATF, përfshirë theksin e shtuar mbi qasjen e bazuar në rrezik, transparencën e pronësisë përfituese, sanksionet financiare të synuara dhe rreziqet që lidhen me teknologjitë e reja financiare.</w:t>
      </w:r>
    </w:p>
    <w:p w14:paraId="2C1A5DC1" w14:textId="77777777" w:rsidR="00AE4159" w:rsidRPr="00AE4159" w:rsidRDefault="00AE4159" w:rsidP="004D5FC8">
      <w:pPr>
        <w:pStyle w:val="ListParagraph"/>
        <w:numPr>
          <w:ilvl w:val="0"/>
          <w:numId w:val="33"/>
        </w:numPr>
        <w:tabs>
          <w:tab w:val="left" w:pos="0"/>
        </w:tabs>
        <w:spacing w:line="276" w:lineRule="auto"/>
        <w:ind w:left="0" w:right="48" w:firstLine="0"/>
        <w:rPr>
          <w:sz w:val="24"/>
          <w:szCs w:val="24"/>
          <w:lang w:val="en-US"/>
        </w:rPr>
      </w:pPr>
      <w:r w:rsidRPr="00AE4159">
        <w:rPr>
          <w:sz w:val="24"/>
          <w:szCs w:val="24"/>
          <w:lang w:val="en-US"/>
        </w:rPr>
        <w:t>Nuk adreson në mënyrë të mjaftueshme kompleksitetin në rritje të strukturave juridike, përdorimin e kripto-aseteve dhe rreziqet ndërkufitare.</w:t>
      </w:r>
    </w:p>
    <w:p w14:paraId="0A8B7076" w14:textId="77777777" w:rsidR="00AE4159" w:rsidRPr="00AE4159" w:rsidRDefault="00AE4159" w:rsidP="004D5FC8">
      <w:pPr>
        <w:pStyle w:val="ListParagraph"/>
        <w:numPr>
          <w:ilvl w:val="0"/>
          <w:numId w:val="33"/>
        </w:numPr>
        <w:tabs>
          <w:tab w:val="left" w:pos="0"/>
        </w:tabs>
        <w:spacing w:line="276" w:lineRule="auto"/>
        <w:ind w:left="0" w:right="48" w:firstLine="0"/>
        <w:rPr>
          <w:sz w:val="24"/>
          <w:szCs w:val="24"/>
          <w:lang w:val="en-US"/>
        </w:rPr>
      </w:pPr>
      <w:r w:rsidRPr="00AE4159">
        <w:rPr>
          <w:sz w:val="24"/>
          <w:szCs w:val="24"/>
          <w:lang w:val="en-US"/>
        </w:rPr>
        <w:lastRenderedPageBreak/>
        <w:t>Paraqet fragmentim normativ ndërmjet dispozitave të ligjit, akteve nënligjore dhe praktikës mbikëqyrëse, duke krijuar hapësira interpretimi dhe pasiguri juridike.</w:t>
      </w:r>
    </w:p>
    <w:p w14:paraId="22660CF3" w14:textId="77777777" w:rsidR="00AE4159" w:rsidRPr="00AE4159" w:rsidRDefault="00AE4159" w:rsidP="00E83544">
      <w:pPr>
        <w:pStyle w:val="ListParagraph"/>
        <w:tabs>
          <w:tab w:val="left" w:pos="0"/>
        </w:tabs>
        <w:spacing w:line="276" w:lineRule="auto"/>
        <w:ind w:left="0" w:right="48" w:firstLine="0"/>
        <w:rPr>
          <w:sz w:val="24"/>
          <w:szCs w:val="24"/>
          <w:lang w:val="en-US"/>
        </w:rPr>
      </w:pPr>
      <w:r w:rsidRPr="00AE4159">
        <w:rPr>
          <w:sz w:val="24"/>
          <w:szCs w:val="24"/>
          <w:lang w:val="en-US"/>
        </w:rPr>
        <w:t>Në këtë kontekst, ndërhyrja ligjore është e domosdoshme për të garantuar koherencë sistemike, qartësi normative dhe përafrim të plotë me standardet ndërkombëtare.</w:t>
      </w:r>
    </w:p>
    <w:p w14:paraId="400B94F4" w14:textId="70021483" w:rsidR="00AE4159" w:rsidRPr="00AE4159" w:rsidRDefault="00AE4159" w:rsidP="00E83544">
      <w:pPr>
        <w:pStyle w:val="ListParagraph"/>
        <w:tabs>
          <w:tab w:val="left" w:pos="0"/>
        </w:tabs>
        <w:spacing w:line="276" w:lineRule="auto"/>
        <w:ind w:left="0" w:right="48" w:firstLine="0"/>
        <w:rPr>
          <w:sz w:val="24"/>
          <w:szCs w:val="24"/>
          <w:lang w:val="en-US"/>
        </w:rPr>
      </w:pPr>
    </w:p>
    <w:p w14:paraId="175E23D8" w14:textId="77777777" w:rsidR="00AE4159" w:rsidRPr="00AE4159" w:rsidRDefault="00AE4159" w:rsidP="00E83544">
      <w:pPr>
        <w:pStyle w:val="ListParagraph"/>
        <w:tabs>
          <w:tab w:val="left" w:pos="0"/>
        </w:tabs>
        <w:spacing w:line="276" w:lineRule="auto"/>
        <w:ind w:left="0" w:right="48" w:firstLine="0"/>
        <w:rPr>
          <w:b/>
          <w:bCs/>
          <w:sz w:val="24"/>
          <w:szCs w:val="24"/>
          <w:lang w:val="en-US"/>
        </w:rPr>
      </w:pPr>
      <w:r w:rsidRPr="00AE4159">
        <w:rPr>
          <w:b/>
          <w:bCs/>
          <w:sz w:val="24"/>
          <w:szCs w:val="24"/>
          <w:lang w:val="en-US"/>
        </w:rPr>
        <w:t>2. Qëllimi dhe orientimi strategjik i projektligjit</w:t>
      </w:r>
    </w:p>
    <w:p w14:paraId="1191C8B9" w14:textId="77777777" w:rsidR="00AE4159" w:rsidRPr="00AE4159" w:rsidRDefault="00AE4159" w:rsidP="00E83544">
      <w:pPr>
        <w:pStyle w:val="ListParagraph"/>
        <w:tabs>
          <w:tab w:val="left" w:pos="0"/>
        </w:tabs>
        <w:spacing w:line="276" w:lineRule="auto"/>
        <w:ind w:left="0" w:right="48" w:firstLine="0"/>
        <w:rPr>
          <w:sz w:val="24"/>
          <w:szCs w:val="24"/>
          <w:lang w:val="en-US"/>
        </w:rPr>
      </w:pPr>
      <w:r w:rsidRPr="00AE4159">
        <w:rPr>
          <w:sz w:val="24"/>
          <w:szCs w:val="24"/>
          <w:lang w:val="en-US"/>
        </w:rPr>
        <w:t>Projektligji synon ndërtimin e një kuadri të ri, të integruar dhe të harmonizuar me:</w:t>
      </w:r>
    </w:p>
    <w:p w14:paraId="04BDB5DB" w14:textId="77777777" w:rsidR="00025C27" w:rsidRPr="00C84E19" w:rsidRDefault="00025C27" w:rsidP="00025C27">
      <w:pPr>
        <w:pStyle w:val="ListParagraph"/>
        <w:numPr>
          <w:ilvl w:val="1"/>
          <w:numId w:val="34"/>
        </w:numPr>
        <w:tabs>
          <w:tab w:val="clear" w:pos="1440"/>
          <w:tab w:val="left" w:pos="0"/>
          <w:tab w:val="num" w:pos="450"/>
        </w:tabs>
        <w:spacing w:line="276" w:lineRule="auto"/>
        <w:ind w:left="0" w:right="48" w:firstLine="0"/>
        <w:rPr>
          <w:sz w:val="24"/>
          <w:szCs w:val="24"/>
          <w:lang w:val="en-US"/>
        </w:rPr>
      </w:pPr>
      <w:r w:rsidRPr="00C84E19">
        <w:rPr>
          <w:sz w:val="24"/>
          <w:szCs w:val="24"/>
          <w:lang w:val="en-US"/>
        </w:rPr>
        <w:t>Kuadrin rregullator të Bashkimit Evropian në fushën e kontrollit të parasë fizike, gjurmueshmërisë së transfertave dhe m</w:t>
      </w:r>
      <w:bookmarkStart w:id="0" w:name="_GoBack"/>
      <w:bookmarkEnd w:id="0"/>
      <w:r w:rsidRPr="00C84E19">
        <w:rPr>
          <w:sz w:val="24"/>
          <w:szCs w:val="24"/>
          <w:lang w:val="en-US"/>
        </w:rPr>
        <w:t>bikëqyrjes së ofruesve të shërbimeve financiare dhe të kripto-aseteve.</w:t>
      </w:r>
    </w:p>
    <w:p w14:paraId="20CE1DFA" w14:textId="77777777" w:rsidR="00AE4159" w:rsidRPr="00AE4159" w:rsidRDefault="00AE4159" w:rsidP="004D5FC8">
      <w:pPr>
        <w:pStyle w:val="ListParagraph"/>
        <w:numPr>
          <w:ilvl w:val="0"/>
          <w:numId w:val="34"/>
        </w:numPr>
        <w:tabs>
          <w:tab w:val="clear" w:pos="720"/>
          <w:tab w:val="left" w:pos="0"/>
          <w:tab w:val="num" w:pos="450"/>
        </w:tabs>
        <w:spacing w:line="276" w:lineRule="auto"/>
        <w:ind w:left="0" w:right="48" w:firstLine="0"/>
        <w:rPr>
          <w:sz w:val="24"/>
          <w:szCs w:val="24"/>
          <w:lang w:val="en-US"/>
        </w:rPr>
      </w:pPr>
      <w:r w:rsidRPr="00AE4159">
        <w:rPr>
          <w:sz w:val="24"/>
          <w:szCs w:val="24"/>
          <w:lang w:val="en-US"/>
        </w:rPr>
        <w:t>Rekomandimet e FATF, në veçanti:</w:t>
      </w:r>
    </w:p>
    <w:p w14:paraId="1E60BF36" w14:textId="77777777" w:rsidR="00AE4159" w:rsidRPr="00AE4159" w:rsidRDefault="00AE4159" w:rsidP="004D5FC8">
      <w:pPr>
        <w:pStyle w:val="ListParagraph"/>
        <w:numPr>
          <w:ilvl w:val="1"/>
          <w:numId w:val="34"/>
        </w:numPr>
        <w:tabs>
          <w:tab w:val="clear" w:pos="1440"/>
          <w:tab w:val="left" w:pos="0"/>
          <w:tab w:val="num" w:pos="450"/>
        </w:tabs>
        <w:spacing w:line="276" w:lineRule="auto"/>
        <w:ind w:left="0" w:right="48" w:firstLine="0"/>
        <w:rPr>
          <w:sz w:val="24"/>
          <w:szCs w:val="24"/>
          <w:lang w:val="en-US"/>
        </w:rPr>
      </w:pPr>
      <w:r w:rsidRPr="00AE4159">
        <w:rPr>
          <w:sz w:val="24"/>
          <w:szCs w:val="24"/>
          <w:lang w:val="en-US"/>
        </w:rPr>
        <w:t>Rekomandimin 1 (qasja e bazuar në rrezik);</w:t>
      </w:r>
    </w:p>
    <w:p w14:paraId="009447B9" w14:textId="77777777" w:rsidR="00AE4159" w:rsidRPr="00AE4159" w:rsidRDefault="00AE4159" w:rsidP="004D5FC8">
      <w:pPr>
        <w:pStyle w:val="ListParagraph"/>
        <w:numPr>
          <w:ilvl w:val="1"/>
          <w:numId w:val="34"/>
        </w:numPr>
        <w:tabs>
          <w:tab w:val="clear" w:pos="1440"/>
          <w:tab w:val="left" w:pos="0"/>
          <w:tab w:val="num" w:pos="450"/>
        </w:tabs>
        <w:spacing w:line="276" w:lineRule="auto"/>
        <w:ind w:left="0" w:right="48" w:firstLine="0"/>
        <w:rPr>
          <w:sz w:val="24"/>
          <w:szCs w:val="24"/>
          <w:lang w:val="en-US"/>
        </w:rPr>
      </w:pPr>
      <w:r w:rsidRPr="00AE4159">
        <w:rPr>
          <w:sz w:val="24"/>
          <w:szCs w:val="24"/>
          <w:lang w:val="en-US"/>
        </w:rPr>
        <w:t>Rekomandimin 7 (sanksionet financiare të synuara);</w:t>
      </w:r>
    </w:p>
    <w:p w14:paraId="53903429" w14:textId="77777777" w:rsidR="00AE4159" w:rsidRPr="00AE4159" w:rsidRDefault="00AE4159" w:rsidP="004D5FC8">
      <w:pPr>
        <w:pStyle w:val="ListParagraph"/>
        <w:numPr>
          <w:ilvl w:val="1"/>
          <w:numId w:val="34"/>
        </w:numPr>
        <w:tabs>
          <w:tab w:val="clear" w:pos="1440"/>
          <w:tab w:val="left" w:pos="0"/>
          <w:tab w:val="num" w:pos="450"/>
        </w:tabs>
        <w:spacing w:line="276" w:lineRule="auto"/>
        <w:ind w:left="0" w:right="48" w:firstLine="0"/>
        <w:rPr>
          <w:sz w:val="24"/>
          <w:szCs w:val="24"/>
          <w:lang w:val="en-US"/>
        </w:rPr>
      </w:pPr>
      <w:r w:rsidRPr="00AE4159">
        <w:rPr>
          <w:sz w:val="24"/>
          <w:szCs w:val="24"/>
          <w:lang w:val="en-US"/>
        </w:rPr>
        <w:t>Rekomandimin 8 (organizatat jofitimprurëse);</w:t>
      </w:r>
    </w:p>
    <w:p w14:paraId="5E2DEC53" w14:textId="77777777" w:rsidR="00AE4159" w:rsidRPr="00AE4159" w:rsidRDefault="00AE4159" w:rsidP="004D5FC8">
      <w:pPr>
        <w:pStyle w:val="ListParagraph"/>
        <w:numPr>
          <w:ilvl w:val="1"/>
          <w:numId w:val="34"/>
        </w:numPr>
        <w:tabs>
          <w:tab w:val="clear" w:pos="1440"/>
          <w:tab w:val="left" w:pos="0"/>
          <w:tab w:val="num" w:pos="450"/>
        </w:tabs>
        <w:spacing w:line="276" w:lineRule="auto"/>
        <w:ind w:left="0" w:right="48" w:firstLine="0"/>
        <w:rPr>
          <w:sz w:val="24"/>
          <w:szCs w:val="24"/>
          <w:lang w:val="en-US"/>
        </w:rPr>
      </w:pPr>
      <w:r w:rsidRPr="00AE4159">
        <w:rPr>
          <w:sz w:val="24"/>
          <w:szCs w:val="24"/>
          <w:lang w:val="en-US"/>
        </w:rPr>
        <w:t>Rekomandimin 10 (vigjilenca e duhur ndaj klientit);</w:t>
      </w:r>
    </w:p>
    <w:p w14:paraId="22D012E2" w14:textId="77777777" w:rsidR="00AE4159" w:rsidRPr="00AE4159" w:rsidRDefault="00AE4159" w:rsidP="004D5FC8">
      <w:pPr>
        <w:pStyle w:val="ListParagraph"/>
        <w:numPr>
          <w:ilvl w:val="1"/>
          <w:numId w:val="34"/>
        </w:numPr>
        <w:tabs>
          <w:tab w:val="clear" w:pos="1440"/>
          <w:tab w:val="left" w:pos="0"/>
          <w:tab w:val="num" w:pos="450"/>
        </w:tabs>
        <w:spacing w:line="276" w:lineRule="auto"/>
        <w:ind w:left="0" w:right="48" w:firstLine="0"/>
        <w:rPr>
          <w:sz w:val="24"/>
          <w:szCs w:val="24"/>
          <w:lang w:val="en-US"/>
        </w:rPr>
      </w:pPr>
      <w:r w:rsidRPr="00AE4159">
        <w:rPr>
          <w:sz w:val="24"/>
          <w:szCs w:val="24"/>
          <w:lang w:val="en-US"/>
        </w:rPr>
        <w:t>Rekomandimin 16 (transfertat elektronike);</w:t>
      </w:r>
    </w:p>
    <w:p w14:paraId="23711CB4" w14:textId="77777777" w:rsidR="00AE4159" w:rsidRPr="00AE4159" w:rsidRDefault="00AE4159" w:rsidP="004D5FC8">
      <w:pPr>
        <w:pStyle w:val="ListParagraph"/>
        <w:numPr>
          <w:ilvl w:val="1"/>
          <w:numId w:val="34"/>
        </w:numPr>
        <w:tabs>
          <w:tab w:val="clear" w:pos="1440"/>
          <w:tab w:val="left" w:pos="0"/>
          <w:tab w:val="num" w:pos="450"/>
        </w:tabs>
        <w:spacing w:line="276" w:lineRule="auto"/>
        <w:ind w:left="0" w:right="48" w:firstLine="0"/>
        <w:rPr>
          <w:sz w:val="24"/>
          <w:szCs w:val="24"/>
          <w:lang w:val="en-US"/>
        </w:rPr>
      </w:pPr>
      <w:r w:rsidRPr="00AE4159">
        <w:rPr>
          <w:sz w:val="24"/>
          <w:szCs w:val="24"/>
          <w:lang w:val="en-US"/>
        </w:rPr>
        <w:t>Rekomandimet 24 dhe 25 (transparenca e pronësisë përfituese);</w:t>
      </w:r>
    </w:p>
    <w:p w14:paraId="49EB885A" w14:textId="77777777" w:rsidR="00C84E19" w:rsidRDefault="00AE4159" w:rsidP="00C84E19">
      <w:pPr>
        <w:pStyle w:val="ListParagraph"/>
        <w:numPr>
          <w:ilvl w:val="1"/>
          <w:numId w:val="34"/>
        </w:numPr>
        <w:tabs>
          <w:tab w:val="clear" w:pos="1440"/>
          <w:tab w:val="left" w:pos="0"/>
          <w:tab w:val="num" w:pos="450"/>
        </w:tabs>
        <w:spacing w:line="276" w:lineRule="auto"/>
        <w:ind w:left="0" w:right="48" w:firstLine="0"/>
        <w:rPr>
          <w:sz w:val="24"/>
          <w:szCs w:val="24"/>
          <w:lang w:val="en-US"/>
        </w:rPr>
      </w:pPr>
      <w:r w:rsidRPr="00AE4159">
        <w:rPr>
          <w:sz w:val="24"/>
          <w:szCs w:val="24"/>
          <w:lang w:val="en-US"/>
        </w:rPr>
        <w:t>Rekomandimin 40 (bashkëpunimi ndërkombëtar).</w:t>
      </w:r>
    </w:p>
    <w:p w14:paraId="41631888" w14:textId="77777777" w:rsidR="00AE4159" w:rsidRPr="00AE4159" w:rsidRDefault="00AE4159" w:rsidP="00E83544">
      <w:pPr>
        <w:pStyle w:val="ListParagraph"/>
        <w:tabs>
          <w:tab w:val="left" w:pos="0"/>
        </w:tabs>
        <w:spacing w:line="276" w:lineRule="auto"/>
        <w:ind w:left="0" w:right="48" w:firstLine="0"/>
        <w:rPr>
          <w:sz w:val="24"/>
          <w:szCs w:val="24"/>
          <w:lang w:val="en-US"/>
        </w:rPr>
      </w:pPr>
      <w:r w:rsidRPr="00AE4159">
        <w:rPr>
          <w:sz w:val="24"/>
          <w:szCs w:val="24"/>
          <w:lang w:val="en-US"/>
        </w:rPr>
        <w:t>Projektligji vendos një qasje më të strukturuar ndaj vlerësimit të rrezikut në nivel kombëtar, sektorial dhe institucional, duke forcuar përgjegjësitë e subjekteve të detyruara dhe autoriteteve mbikëqyrëse.</w:t>
      </w:r>
    </w:p>
    <w:p w14:paraId="11B0FD10" w14:textId="408CAE28" w:rsidR="00AE4159" w:rsidRPr="00AE4159" w:rsidRDefault="00AE4159" w:rsidP="00E83544">
      <w:pPr>
        <w:pStyle w:val="ListParagraph"/>
        <w:tabs>
          <w:tab w:val="left" w:pos="0"/>
        </w:tabs>
        <w:spacing w:line="276" w:lineRule="auto"/>
        <w:ind w:left="0" w:right="48" w:firstLine="0"/>
        <w:rPr>
          <w:sz w:val="24"/>
          <w:szCs w:val="24"/>
          <w:lang w:val="en-US"/>
        </w:rPr>
      </w:pPr>
    </w:p>
    <w:p w14:paraId="4DE9189E" w14:textId="77777777" w:rsidR="00AE4159" w:rsidRPr="00AE4159" w:rsidRDefault="00AE4159" w:rsidP="00E83544">
      <w:pPr>
        <w:pStyle w:val="ListParagraph"/>
        <w:tabs>
          <w:tab w:val="left" w:pos="0"/>
        </w:tabs>
        <w:spacing w:line="276" w:lineRule="auto"/>
        <w:ind w:left="0" w:right="48" w:firstLine="0"/>
        <w:rPr>
          <w:b/>
          <w:bCs/>
          <w:sz w:val="24"/>
          <w:szCs w:val="24"/>
          <w:lang w:val="en-US"/>
        </w:rPr>
      </w:pPr>
      <w:r w:rsidRPr="00AE4159">
        <w:rPr>
          <w:b/>
          <w:bCs/>
          <w:sz w:val="24"/>
          <w:szCs w:val="24"/>
          <w:lang w:val="en-US"/>
        </w:rPr>
        <w:t>3. Përparësitë kryesore të projektligjit</w:t>
      </w:r>
    </w:p>
    <w:p w14:paraId="02623C05" w14:textId="77777777" w:rsidR="00AE4159" w:rsidRPr="00AE4159" w:rsidRDefault="00AE4159" w:rsidP="00E83544">
      <w:pPr>
        <w:pStyle w:val="ListParagraph"/>
        <w:tabs>
          <w:tab w:val="left" w:pos="0"/>
        </w:tabs>
        <w:spacing w:line="276" w:lineRule="auto"/>
        <w:ind w:left="0" w:right="48" w:firstLine="0"/>
        <w:rPr>
          <w:sz w:val="24"/>
          <w:szCs w:val="24"/>
          <w:lang w:val="en-US"/>
        </w:rPr>
      </w:pPr>
      <w:r w:rsidRPr="00AE4159">
        <w:rPr>
          <w:sz w:val="24"/>
          <w:szCs w:val="24"/>
          <w:lang w:val="en-US"/>
        </w:rPr>
        <w:t>Projektligji paraqet disa përparësi thelbësore:</w:t>
      </w:r>
    </w:p>
    <w:p w14:paraId="0DA53E65" w14:textId="77777777" w:rsidR="00AE4159" w:rsidRPr="00AE4159" w:rsidRDefault="00AE4159" w:rsidP="004D5FC8">
      <w:pPr>
        <w:pStyle w:val="ListParagraph"/>
        <w:numPr>
          <w:ilvl w:val="0"/>
          <w:numId w:val="35"/>
        </w:numPr>
        <w:tabs>
          <w:tab w:val="clear" w:pos="720"/>
          <w:tab w:val="left" w:pos="0"/>
          <w:tab w:val="num" w:pos="360"/>
        </w:tabs>
        <w:spacing w:line="276" w:lineRule="auto"/>
        <w:ind w:left="0" w:right="48" w:firstLine="0"/>
        <w:rPr>
          <w:sz w:val="24"/>
          <w:szCs w:val="24"/>
          <w:lang w:val="en-US"/>
        </w:rPr>
      </w:pPr>
      <w:r w:rsidRPr="00AE4159">
        <w:rPr>
          <w:sz w:val="24"/>
          <w:szCs w:val="24"/>
          <w:lang w:val="en-US"/>
        </w:rPr>
        <w:t>Konsolidon dhe unifikon kuadrin ligjor AML/CFT në një strukturë të qartë dhe sistematike.</w:t>
      </w:r>
    </w:p>
    <w:p w14:paraId="1757737A" w14:textId="77777777" w:rsidR="00AE4159" w:rsidRPr="00AE4159" w:rsidRDefault="00AE4159" w:rsidP="004D5FC8">
      <w:pPr>
        <w:pStyle w:val="ListParagraph"/>
        <w:numPr>
          <w:ilvl w:val="0"/>
          <w:numId w:val="35"/>
        </w:numPr>
        <w:tabs>
          <w:tab w:val="clear" w:pos="720"/>
          <w:tab w:val="left" w:pos="0"/>
          <w:tab w:val="num" w:pos="360"/>
        </w:tabs>
        <w:spacing w:line="276" w:lineRule="auto"/>
        <w:ind w:left="0" w:right="48" w:firstLine="0"/>
        <w:rPr>
          <w:sz w:val="24"/>
          <w:szCs w:val="24"/>
          <w:lang w:val="en-US"/>
        </w:rPr>
      </w:pPr>
      <w:r w:rsidRPr="00AE4159">
        <w:rPr>
          <w:sz w:val="24"/>
          <w:szCs w:val="24"/>
          <w:lang w:val="en-US"/>
        </w:rPr>
        <w:t>Forcon mekanizmat e identifikimit, verifikimit dhe monitorimit të klientëve dhe pronarëve përfitues.</w:t>
      </w:r>
    </w:p>
    <w:p w14:paraId="10F5BE14" w14:textId="77777777" w:rsidR="00AE4159" w:rsidRPr="00AE4159" w:rsidRDefault="00AE4159" w:rsidP="004D5FC8">
      <w:pPr>
        <w:pStyle w:val="ListParagraph"/>
        <w:numPr>
          <w:ilvl w:val="0"/>
          <w:numId w:val="35"/>
        </w:numPr>
        <w:tabs>
          <w:tab w:val="clear" w:pos="720"/>
          <w:tab w:val="left" w:pos="0"/>
          <w:tab w:val="num" w:pos="360"/>
        </w:tabs>
        <w:spacing w:line="276" w:lineRule="auto"/>
        <w:ind w:left="0" w:right="48" w:firstLine="0"/>
        <w:rPr>
          <w:sz w:val="24"/>
          <w:szCs w:val="24"/>
          <w:lang w:val="en-US"/>
        </w:rPr>
      </w:pPr>
      <w:r w:rsidRPr="00AE4159">
        <w:rPr>
          <w:sz w:val="24"/>
          <w:szCs w:val="24"/>
          <w:lang w:val="en-US"/>
        </w:rPr>
        <w:t>Rrit transparencën e strukturave të pronësisë dhe kufizon përdorimin e entiteteve pa substancë ekonomike reale.</w:t>
      </w:r>
    </w:p>
    <w:p w14:paraId="3E89C5EE" w14:textId="77777777" w:rsidR="00AE4159" w:rsidRPr="00AE4159" w:rsidRDefault="00AE4159" w:rsidP="004D5FC8">
      <w:pPr>
        <w:pStyle w:val="ListParagraph"/>
        <w:numPr>
          <w:ilvl w:val="0"/>
          <w:numId w:val="35"/>
        </w:numPr>
        <w:tabs>
          <w:tab w:val="clear" w:pos="720"/>
          <w:tab w:val="left" w:pos="0"/>
          <w:tab w:val="num" w:pos="360"/>
        </w:tabs>
        <w:spacing w:line="276" w:lineRule="auto"/>
        <w:ind w:left="0" w:right="48" w:firstLine="0"/>
        <w:rPr>
          <w:sz w:val="24"/>
          <w:szCs w:val="24"/>
          <w:lang w:val="en-US"/>
        </w:rPr>
      </w:pPr>
      <w:r w:rsidRPr="00AE4159">
        <w:rPr>
          <w:sz w:val="24"/>
          <w:szCs w:val="24"/>
          <w:lang w:val="en-US"/>
        </w:rPr>
        <w:t>Integron rregullimin e kripto-aseteve dhe mekanizmave të rinj të transfertave në përputhje me standardet evropiane.</w:t>
      </w:r>
    </w:p>
    <w:p w14:paraId="467B0BEF" w14:textId="77777777" w:rsidR="00AE4159" w:rsidRPr="00AE4159" w:rsidRDefault="00AE4159" w:rsidP="004D5FC8">
      <w:pPr>
        <w:pStyle w:val="ListParagraph"/>
        <w:numPr>
          <w:ilvl w:val="0"/>
          <w:numId w:val="35"/>
        </w:numPr>
        <w:tabs>
          <w:tab w:val="clear" w:pos="720"/>
          <w:tab w:val="left" w:pos="0"/>
          <w:tab w:val="num" w:pos="360"/>
        </w:tabs>
        <w:spacing w:line="276" w:lineRule="auto"/>
        <w:ind w:left="0" w:right="48" w:firstLine="0"/>
        <w:rPr>
          <w:sz w:val="24"/>
          <w:szCs w:val="24"/>
          <w:lang w:val="en-US"/>
        </w:rPr>
      </w:pPr>
      <w:r w:rsidRPr="00AE4159">
        <w:rPr>
          <w:sz w:val="24"/>
          <w:szCs w:val="24"/>
          <w:lang w:val="en-US"/>
        </w:rPr>
        <w:t>Forcon kompetencat analitike dhe bashkëpunimin ndërinstitucional të Agjencisë së Inteligjencës Financiare.</w:t>
      </w:r>
    </w:p>
    <w:p w14:paraId="7985ACCF" w14:textId="77777777" w:rsidR="00AE4159" w:rsidRPr="00AE4159" w:rsidRDefault="00AE4159" w:rsidP="004D5FC8">
      <w:pPr>
        <w:pStyle w:val="ListParagraph"/>
        <w:numPr>
          <w:ilvl w:val="0"/>
          <w:numId w:val="35"/>
        </w:numPr>
        <w:tabs>
          <w:tab w:val="clear" w:pos="720"/>
          <w:tab w:val="left" w:pos="0"/>
          <w:tab w:val="num" w:pos="360"/>
        </w:tabs>
        <w:spacing w:line="276" w:lineRule="auto"/>
        <w:ind w:left="0" w:right="48" w:firstLine="0"/>
        <w:rPr>
          <w:sz w:val="24"/>
          <w:szCs w:val="24"/>
          <w:lang w:val="en-US"/>
        </w:rPr>
      </w:pPr>
      <w:r w:rsidRPr="00AE4159">
        <w:rPr>
          <w:sz w:val="24"/>
          <w:szCs w:val="24"/>
          <w:lang w:val="en-US"/>
        </w:rPr>
        <w:t>Përcakton më qartë raportin ndërmjet masave administrative dhe ndjekjes penale, duke rritur efektivitetin e sistemit.</w:t>
      </w:r>
    </w:p>
    <w:p w14:paraId="18436B00" w14:textId="581BE0D2" w:rsidR="00AE4159" w:rsidRPr="00AE4159" w:rsidRDefault="00AE4159" w:rsidP="00E83544">
      <w:pPr>
        <w:pStyle w:val="ListParagraph"/>
        <w:tabs>
          <w:tab w:val="left" w:pos="0"/>
        </w:tabs>
        <w:spacing w:line="276" w:lineRule="auto"/>
        <w:ind w:left="0" w:right="48" w:firstLine="0"/>
        <w:rPr>
          <w:sz w:val="24"/>
          <w:szCs w:val="24"/>
          <w:lang w:val="en-US"/>
        </w:rPr>
      </w:pPr>
    </w:p>
    <w:p w14:paraId="6D6CA4C1" w14:textId="77777777" w:rsidR="00AE4159" w:rsidRPr="00AE4159" w:rsidRDefault="00AE4159" w:rsidP="00E83544">
      <w:pPr>
        <w:pStyle w:val="ListParagraph"/>
        <w:tabs>
          <w:tab w:val="left" w:pos="0"/>
        </w:tabs>
        <w:spacing w:line="276" w:lineRule="auto"/>
        <w:ind w:left="0" w:right="48" w:firstLine="0"/>
        <w:rPr>
          <w:b/>
          <w:bCs/>
          <w:sz w:val="24"/>
          <w:szCs w:val="24"/>
          <w:lang w:val="en-US"/>
        </w:rPr>
      </w:pPr>
      <w:r w:rsidRPr="00AE4159">
        <w:rPr>
          <w:b/>
          <w:bCs/>
          <w:sz w:val="24"/>
          <w:szCs w:val="24"/>
          <w:lang w:val="en-US"/>
        </w:rPr>
        <w:t>4. Efektet e pritshme</w:t>
      </w:r>
    </w:p>
    <w:p w14:paraId="7BF9846F" w14:textId="77777777" w:rsidR="00AE4159" w:rsidRPr="00AE4159" w:rsidRDefault="00AE4159" w:rsidP="00E83544">
      <w:pPr>
        <w:pStyle w:val="ListParagraph"/>
        <w:tabs>
          <w:tab w:val="left" w:pos="0"/>
        </w:tabs>
        <w:spacing w:line="276" w:lineRule="auto"/>
        <w:ind w:left="0" w:right="48" w:firstLine="0"/>
        <w:rPr>
          <w:sz w:val="24"/>
          <w:szCs w:val="24"/>
          <w:lang w:val="en-US"/>
        </w:rPr>
      </w:pPr>
      <w:r w:rsidRPr="00AE4159">
        <w:rPr>
          <w:sz w:val="24"/>
          <w:szCs w:val="24"/>
          <w:lang w:val="en-US"/>
        </w:rPr>
        <w:t>Zbatimi i projektligjit pritet të prodhojë këto efekte:</w:t>
      </w:r>
    </w:p>
    <w:p w14:paraId="2E5A8E23" w14:textId="77777777" w:rsidR="00AE4159" w:rsidRPr="00AE4159" w:rsidRDefault="00AE4159" w:rsidP="004D5FC8">
      <w:pPr>
        <w:pStyle w:val="ListParagraph"/>
        <w:numPr>
          <w:ilvl w:val="0"/>
          <w:numId w:val="36"/>
        </w:numPr>
        <w:tabs>
          <w:tab w:val="clear" w:pos="720"/>
          <w:tab w:val="left" w:pos="0"/>
          <w:tab w:val="num" w:pos="450"/>
        </w:tabs>
        <w:spacing w:line="276" w:lineRule="auto"/>
        <w:ind w:left="0" w:right="48" w:firstLine="0"/>
        <w:rPr>
          <w:sz w:val="24"/>
          <w:szCs w:val="24"/>
          <w:lang w:val="en-US"/>
        </w:rPr>
      </w:pPr>
      <w:r w:rsidRPr="00AE4159">
        <w:rPr>
          <w:sz w:val="24"/>
          <w:szCs w:val="24"/>
          <w:lang w:val="en-US"/>
        </w:rPr>
        <w:t>Rritje të cilësisë, saktësisë dhe relevancës së raportimeve të dyshimta.</w:t>
      </w:r>
    </w:p>
    <w:p w14:paraId="630B9946" w14:textId="77777777" w:rsidR="00AE4159" w:rsidRPr="00AE4159" w:rsidRDefault="00AE4159" w:rsidP="004D5FC8">
      <w:pPr>
        <w:pStyle w:val="ListParagraph"/>
        <w:numPr>
          <w:ilvl w:val="0"/>
          <w:numId w:val="36"/>
        </w:numPr>
        <w:tabs>
          <w:tab w:val="clear" w:pos="720"/>
          <w:tab w:val="left" w:pos="0"/>
          <w:tab w:val="num" w:pos="450"/>
        </w:tabs>
        <w:spacing w:line="276" w:lineRule="auto"/>
        <w:ind w:left="0" w:right="48" w:firstLine="0"/>
        <w:rPr>
          <w:sz w:val="24"/>
          <w:szCs w:val="24"/>
          <w:lang w:val="en-US"/>
        </w:rPr>
      </w:pPr>
      <w:r w:rsidRPr="00AE4159">
        <w:rPr>
          <w:sz w:val="24"/>
          <w:szCs w:val="24"/>
          <w:lang w:val="en-US"/>
        </w:rPr>
        <w:t>Përmirësim të analizës financiare dhe rritje të rasteve të referuara për hetim penal.</w:t>
      </w:r>
    </w:p>
    <w:p w14:paraId="4F03F3FC" w14:textId="77777777" w:rsidR="00AE4159" w:rsidRPr="00AE4159" w:rsidRDefault="00AE4159" w:rsidP="004D5FC8">
      <w:pPr>
        <w:pStyle w:val="ListParagraph"/>
        <w:numPr>
          <w:ilvl w:val="0"/>
          <w:numId w:val="36"/>
        </w:numPr>
        <w:tabs>
          <w:tab w:val="clear" w:pos="720"/>
          <w:tab w:val="left" w:pos="0"/>
          <w:tab w:val="num" w:pos="450"/>
        </w:tabs>
        <w:spacing w:line="276" w:lineRule="auto"/>
        <w:ind w:left="0" w:right="48" w:firstLine="0"/>
        <w:rPr>
          <w:sz w:val="24"/>
          <w:szCs w:val="24"/>
          <w:lang w:val="en-US"/>
        </w:rPr>
      </w:pPr>
      <w:r w:rsidRPr="00AE4159">
        <w:rPr>
          <w:sz w:val="24"/>
          <w:szCs w:val="24"/>
          <w:lang w:val="en-US"/>
        </w:rPr>
        <w:t>Ulje të rrezikut të përdorimit të sistemit financiar dhe sektorëve të ndjeshëm për qëllime kriminale.</w:t>
      </w:r>
    </w:p>
    <w:p w14:paraId="65B3F76A" w14:textId="77777777" w:rsidR="00AE4159" w:rsidRPr="00AE4159" w:rsidRDefault="00AE4159" w:rsidP="004D5FC8">
      <w:pPr>
        <w:pStyle w:val="ListParagraph"/>
        <w:numPr>
          <w:ilvl w:val="0"/>
          <w:numId w:val="36"/>
        </w:numPr>
        <w:tabs>
          <w:tab w:val="clear" w:pos="720"/>
          <w:tab w:val="left" w:pos="0"/>
          <w:tab w:val="num" w:pos="450"/>
        </w:tabs>
        <w:spacing w:line="276" w:lineRule="auto"/>
        <w:ind w:left="0" w:right="48" w:firstLine="0"/>
        <w:rPr>
          <w:sz w:val="24"/>
          <w:szCs w:val="24"/>
          <w:lang w:val="en-US"/>
        </w:rPr>
      </w:pPr>
      <w:r w:rsidRPr="00AE4159">
        <w:rPr>
          <w:sz w:val="24"/>
          <w:szCs w:val="24"/>
          <w:lang w:val="en-US"/>
        </w:rPr>
        <w:t>Forcim të bashkëpunimit ndërkombëtar dhe shkëmbimit të informacionit.</w:t>
      </w:r>
    </w:p>
    <w:p w14:paraId="44279ACA" w14:textId="77777777" w:rsidR="00AE4159" w:rsidRPr="00AE4159" w:rsidRDefault="00AE4159" w:rsidP="004D5FC8">
      <w:pPr>
        <w:pStyle w:val="ListParagraph"/>
        <w:numPr>
          <w:ilvl w:val="0"/>
          <w:numId w:val="36"/>
        </w:numPr>
        <w:tabs>
          <w:tab w:val="clear" w:pos="720"/>
          <w:tab w:val="left" w:pos="0"/>
          <w:tab w:val="num" w:pos="450"/>
        </w:tabs>
        <w:spacing w:line="276" w:lineRule="auto"/>
        <w:ind w:left="0" w:right="48" w:firstLine="0"/>
        <w:rPr>
          <w:sz w:val="24"/>
          <w:szCs w:val="24"/>
          <w:lang w:val="en-US"/>
        </w:rPr>
      </w:pPr>
      <w:r w:rsidRPr="00AE4159">
        <w:rPr>
          <w:sz w:val="24"/>
          <w:szCs w:val="24"/>
          <w:lang w:val="en-US"/>
        </w:rPr>
        <w:lastRenderedPageBreak/>
        <w:t>Përmirësim të profilit të përputhshmërisë së Republikës së Shqipërisë në vlerësimet ndërkombëtare dhe në procesin e integrimit evropian.</w:t>
      </w:r>
    </w:p>
    <w:p w14:paraId="3E6A05D5" w14:textId="77777777" w:rsidR="00AE4159" w:rsidRPr="00AE4159" w:rsidRDefault="00AE4159" w:rsidP="00E83544">
      <w:pPr>
        <w:pStyle w:val="ListParagraph"/>
        <w:tabs>
          <w:tab w:val="left" w:pos="0"/>
        </w:tabs>
        <w:spacing w:line="276" w:lineRule="auto"/>
        <w:ind w:left="0" w:right="48" w:firstLine="0"/>
        <w:rPr>
          <w:sz w:val="24"/>
          <w:szCs w:val="24"/>
          <w:lang w:val="en-US"/>
        </w:rPr>
      </w:pPr>
      <w:r w:rsidRPr="00AE4159">
        <w:rPr>
          <w:sz w:val="24"/>
          <w:szCs w:val="24"/>
          <w:lang w:val="en-US"/>
        </w:rPr>
        <w:t>Në tërësi, projektligji përfaqëson një ndërhyrje strukturore që synon rritjen e qëndrueshmërisë, integritetit dhe besueshmërisë së sistemit financiar dhe institucional të vendit, në përputhje me standardet më të fundit ndërkombëtare.</w:t>
      </w:r>
    </w:p>
    <w:p w14:paraId="0AA0D21E" w14:textId="77777777" w:rsidR="007457FC" w:rsidRDefault="007457FC" w:rsidP="00E83544">
      <w:pPr>
        <w:pStyle w:val="ListParagraph"/>
        <w:tabs>
          <w:tab w:val="left" w:pos="0"/>
        </w:tabs>
        <w:spacing w:line="276" w:lineRule="auto"/>
        <w:ind w:left="0" w:right="48" w:firstLine="0"/>
        <w:rPr>
          <w:b/>
          <w:sz w:val="24"/>
          <w:szCs w:val="24"/>
        </w:rPr>
      </w:pPr>
    </w:p>
    <w:p w14:paraId="5E86C3B0" w14:textId="70207F1C" w:rsidR="009D1EF0" w:rsidRPr="00004E5E" w:rsidRDefault="00E94EBD" w:rsidP="004D5FC8">
      <w:pPr>
        <w:pStyle w:val="ListParagraph"/>
        <w:numPr>
          <w:ilvl w:val="0"/>
          <w:numId w:val="1"/>
        </w:numPr>
        <w:tabs>
          <w:tab w:val="left" w:pos="0"/>
        </w:tabs>
        <w:spacing w:line="276" w:lineRule="auto"/>
        <w:ind w:left="0" w:right="48" w:firstLine="0"/>
        <w:jc w:val="both"/>
        <w:rPr>
          <w:b/>
          <w:sz w:val="24"/>
          <w:szCs w:val="24"/>
        </w:rPr>
      </w:pPr>
      <w:r w:rsidRPr="001B2FD8">
        <w:rPr>
          <w:b/>
          <w:sz w:val="24"/>
          <w:szCs w:val="24"/>
        </w:rPr>
        <w:t>VLERËSIMI I LIGJSHMËRISË, KUSHTETUTSHMËRISË DHE HARMONIZIMI ME LEGJISLACIONIN</w:t>
      </w:r>
      <w:r w:rsidRPr="001B2FD8">
        <w:rPr>
          <w:b/>
          <w:spacing w:val="40"/>
          <w:sz w:val="24"/>
          <w:szCs w:val="24"/>
        </w:rPr>
        <w:t xml:space="preserve"> </w:t>
      </w:r>
      <w:r w:rsidRPr="001B2FD8">
        <w:rPr>
          <w:b/>
          <w:sz w:val="24"/>
          <w:szCs w:val="24"/>
        </w:rPr>
        <w:t xml:space="preserve">NË FUQI, VENDAS E </w:t>
      </w:r>
      <w:r w:rsidRPr="001B2FD8">
        <w:rPr>
          <w:b/>
          <w:spacing w:val="-2"/>
          <w:sz w:val="24"/>
          <w:szCs w:val="24"/>
        </w:rPr>
        <w:t>NDËRKOMBËTAR</w:t>
      </w:r>
    </w:p>
    <w:p w14:paraId="29B9566D" w14:textId="77777777" w:rsidR="00004E5E" w:rsidRPr="00464EE7" w:rsidRDefault="00004E5E" w:rsidP="00004E5E">
      <w:pPr>
        <w:pStyle w:val="ListParagraph"/>
        <w:tabs>
          <w:tab w:val="left" w:pos="0"/>
        </w:tabs>
        <w:spacing w:line="276" w:lineRule="auto"/>
        <w:ind w:left="0" w:right="48" w:firstLine="0"/>
        <w:rPr>
          <w:b/>
          <w:sz w:val="24"/>
          <w:szCs w:val="24"/>
        </w:rPr>
      </w:pPr>
    </w:p>
    <w:p w14:paraId="1398D852" w14:textId="570AC068" w:rsidR="00966B06" w:rsidRPr="00966B06" w:rsidRDefault="00966B06" w:rsidP="00E83544">
      <w:pPr>
        <w:pStyle w:val="ListParagraph"/>
        <w:tabs>
          <w:tab w:val="left" w:pos="808"/>
          <w:tab w:val="left" w:pos="811"/>
        </w:tabs>
        <w:spacing w:line="276" w:lineRule="auto"/>
        <w:ind w:left="0" w:right="48" w:firstLine="0"/>
        <w:rPr>
          <w:bCs/>
          <w:sz w:val="24"/>
          <w:szCs w:val="24"/>
        </w:rPr>
      </w:pPr>
      <w:r w:rsidRPr="00966B06">
        <w:rPr>
          <w:bCs/>
          <w:sz w:val="24"/>
          <w:szCs w:val="24"/>
        </w:rPr>
        <w:t>Projektligji mbështetet në nenet 78 dhe 83, pika 1, të Kushtetutës së Republikës së Shqipërisë, si dhe në kompetencën e Kuvendit për miratimin e ligjeve që rregullojnë çështje të rendit juridik, financiar dhe penal. Dispozitat e tij janë konceptuar në përputhje me parimet kushtetuese të shtetit të së drejtës, sigurisë juridike, proporcionalitetit dhe mbrojtjes së të drejtave dhe lirive themelore.</w:t>
      </w:r>
    </w:p>
    <w:p w14:paraId="0DE46457" w14:textId="52843756" w:rsidR="00966B06" w:rsidRPr="00966B06" w:rsidRDefault="00966B06" w:rsidP="00E83544">
      <w:pPr>
        <w:pStyle w:val="ListParagraph"/>
        <w:tabs>
          <w:tab w:val="left" w:pos="808"/>
          <w:tab w:val="left" w:pos="811"/>
        </w:tabs>
        <w:spacing w:line="276" w:lineRule="auto"/>
        <w:ind w:left="0" w:right="48" w:firstLine="0"/>
        <w:rPr>
          <w:bCs/>
          <w:sz w:val="24"/>
          <w:szCs w:val="24"/>
        </w:rPr>
      </w:pPr>
      <w:r w:rsidRPr="00966B06">
        <w:rPr>
          <w:bCs/>
          <w:sz w:val="24"/>
          <w:szCs w:val="24"/>
        </w:rPr>
        <w:t>Në planin e legjislacionit vendas, projektligji është ndërtuar në koherencë me kuadrin ekzistues në fushën penale, procedurale penale, doganore, financiare dhe të mbrojtjes së të dhënave personale, duke shmangur mbivendosje normative dhe duke përcaktuar qartë kompetencat e autoriteteve përkatëse. Dispozitat e tij ndërveprojnë funksionalisht me legjislacionin për parandalimin e pastrimit të parave dhe financimit të terrorizmit, si dhe me legjislacionin sektorial financiar dhe rregullator.</w:t>
      </w:r>
    </w:p>
    <w:p w14:paraId="0DEA1907" w14:textId="77777777" w:rsidR="00966B06" w:rsidRPr="00966B06" w:rsidRDefault="00966B06" w:rsidP="00E83544">
      <w:pPr>
        <w:pStyle w:val="ListParagraph"/>
        <w:tabs>
          <w:tab w:val="left" w:pos="808"/>
          <w:tab w:val="left" w:pos="811"/>
        </w:tabs>
        <w:spacing w:line="276" w:lineRule="auto"/>
        <w:ind w:left="0" w:right="48" w:firstLine="0"/>
        <w:rPr>
          <w:bCs/>
          <w:sz w:val="24"/>
          <w:szCs w:val="24"/>
        </w:rPr>
      </w:pPr>
      <w:r w:rsidRPr="00966B06">
        <w:rPr>
          <w:bCs/>
          <w:sz w:val="24"/>
          <w:szCs w:val="24"/>
        </w:rPr>
        <w:t>Në aspektin ndërkombëtar, projektligji synon harmonizimin e plotë me acquis të Bashkimit Evropian në fushën AML/CFT, përfshirë rregulloret për kontrollin e parasë fizike dhe gjurmueshmërinë e transfertave të fondeve dhe kriptoaseteve, si dhe me standardet e rishikuara të FATF. Dispozitat e tij forcojnë përputhshmërinë e kuadrit kombëtar me detyrimet që rrjedhin nga procesi i integrimit evropian dhe nga angazhimet ndërkombëtare të Republikës së Shqipërisë në luftën kundër pastrimit të parave dhe financimit të terrorizmit.</w:t>
      </w:r>
    </w:p>
    <w:p w14:paraId="68CED697" w14:textId="77777777" w:rsidR="00966B06" w:rsidRPr="00966B06" w:rsidRDefault="00966B06" w:rsidP="00E83544">
      <w:pPr>
        <w:pStyle w:val="ListParagraph"/>
        <w:tabs>
          <w:tab w:val="left" w:pos="808"/>
          <w:tab w:val="left" w:pos="811"/>
        </w:tabs>
        <w:spacing w:line="276" w:lineRule="auto"/>
        <w:ind w:right="48"/>
        <w:rPr>
          <w:bCs/>
          <w:sz w:val="24"/>
          <w:szCs w:val="24"/>
        </w:rPr>
      </w:pPr>
    </w:p>
    <w:p w14:paraId="0EA48876" w14:textId="1289DB37" w:rsidR="006F0635" w:rsidRDefault="00966B06" w:rsidP="00E83544">
      <w:pPr>
        <w:pStyle w:val="ListParagraph"/>
        <w:tabs>
          <w:tab w:val="left" w:pos="808"/>
          <w:tab w:val="left" w:pos="811"/>
        </w:tabs>
        <w:spacing w:line="276" w:lineRule="auto"/>
        <w:ind w:left="0" w:right="48" w:firstLine="0"/>
        <w:rPr>
          <w:bCs/>
          <w:sz w:val="24"/>
          <w:szCs w:val="24"/>
        </w:rPr>
      </w:pPr>
      <w:r w:rsidRPr="00966B06">
        <w:rPr>
          <w:bCs/>
          <w:sz w:val="24"/>
          <w:szCs w:val="24"/>
        </w:rPr>
        <w:t>Në përfundim, projektligji paraqet një ndërhyrje normative të justifikuar, të domosdoshme dhe proporcionale, e cila forcon sistemin parandalues dhe mbikëqyrës, duke ruajtur balancën midis interesit publik për siguri financiare dhe mbrojtjes së të drejtave themelore.</w:t>
      </w:r>
    </w:p>
    <w:p w14:paraId="4DAB8939" w14:textId="77777777" w:rsidR="00966B06" w:rsidRDefault="00966B06" w:rsidP="00E83544">
      <w:pPr>
        <w:pStyle w:val="ListParagraph"/>
        <w:tabs>
          <w:tab w:val="left" w:pos="808"/>
          <w:tab w:val="left" w:pos="811"/>
        </w:tabs>
        <w:spacing w:line="276" w:lineRule="auto"/>
        <w:ind w:left="0" w:right="48" w:firstLine="0"/>
        <w:rPr>
          <w:b/>
          <w:sz w:val="24"/>
          <w:szCs w:val="24"/>
        </w:rPr>
      </w:pPr>
    </w:p>
    <w:p w14:paraId="54DEB432" w14:textId="72DB5659" w:rsidR="00A60C56" w:rsidRDefault="00E94EBD" w:rsidP="004D5FC8">
      <w:pPr>
        <w:pStyle w:val="ListParagraph"/>
        <w:numPr>
          <w:ilvl w:val="0"/>
          <w:numId w:val="1"/>
        </w:numPr>
        <w:tabs>
          <w:tab w:val="left" w:pos="808"/>
          <w:tab w:val="left" w:pos="811"/>
        </w:tabs>
        <w:spacing w:line="276" w:lineRule="auto"/>
        <w:ind w:left="0" w:right="48" w:firstLine="0"/>
        <w:jc w:val="left"/>
        <w:rPr>
          <w:b/>
          <w:sz w:val="24"/>
          <w:szCs w:val="24"/>
        </w:rPr>
      </w:pPr>
      <w:r w:rsidRPr="001B2FD8">
        <w:rPr>
          <w:b/>
          <w:sz w:val="24"/>
          <w:szCs w:val="24"/>
        </w:rPr>
        <w:t>VLERËSIMI</w:t>
      </w:r>
      <w:r w:rsidRPr="001B2FD8">
        <w:rPr>
          <w:b/>
          <w:spacing w:val="80"/>
          <w:sz w:val="24"/>
          <w:szCs w:val="24"/>
        </w:rPr>
        <w:t xml:space="preserve"> </w:t>
      </w:r>
      <w:r w:rsidRPr="001B2FD8">
        <w:rPr>
          <w:b/>
          <w:sz w:val="24"/>
          <w:szCs w:val="24"/>
        </w:rPr>
        <w:t>I</w:t>
      </w:r>
      <w:r w:rsidRPr="001B2FD8">
        <w:rPr>
          <w:b/>
          <w:spacing w:val="80"/>
          <w:sz w:val="24"/>
          <w:szCs w:val="24"/>
        </w:rPr>
        <w:t xml:space="preserve"> </w:t>
      </w:r>
      <w:r w:rsidRPr="001B2FD8">
        <w:rPr>
          <w:b/>
          <w:sz w:val="24"/>
          <w:szCs w:val="24"/>
        </w:rPr>
        <w:t>SHKALLËS</w:t>
      </w:r>
      <w:r w:rsidRPr="001B2FD8">
        <w:rPr>
          <w:b/>
          <w:spacing w:val="80"/>
          <w:sz w:val="24"/>
          <w:szCs w:val="24"/>
        </w:rPr>
        <w:t xml:space="preserve"> </w:t>
      </w:r>
      <w:r w:rsidRPr="001B2FD8">
        <w:rPr>
          <w:b/>
          <w:sz w:val="24"/>
          <w:szCs w:val="24"/>
        </w:rPr>
        <w:t>SË</w:t>
      </w:r>
      <w:r w:rsidRPr="001B2FD8">
        <w:rPr>
          <w:b/>
          <w:spacing w:val="80"/>
          <w:sz w:val="24"/>
          <w:szCs w:val="24"/>
        </w:rPr>
        <w:t xml:space="preserve"> </w:t>
      </w:r>
      <w:r w:rsidRPr="001B2FD8">
        <w:rPr>
          <w:b/>
          <w:sz w:val="24"/>
          <w:szCs w:val="24"/>
        </w:rPr>
        <w:t>PËRAFRIMIT</w:t>
      </w:r>
      <w:r w:rsidRPr="001B2FD8">
        <w:rPr>
          <w:b/>
          <w:spacing w:val="80"/>
          <w:sz w:val="24"/>
          <w:szCs w:val="24"/>
        </w:rPr>
        <w:t xml:space="preserve"> </w:t>
      </w:r>
      <w:r w:rsidRPr="001B2FD8">
        <w:rPr>
          <w:b/>
          <w:sz w:val="24"/>
          <w:szCs w:val="24"/>
        </w:rPr>
        <w:t>ME</w:t>
      </w:r>
      <w:r w:rsidR="00A60C56" w:rsidRPr="001B2FD8">
        <w:rPr>
          <w:b/>
          <w:spacing w:val="80"/>
          <w:sz w:val="24"/>
          <w:szCs w:val="24"/>
        </w:rPr>
        <w:t xml:space="preserve"> </w:t>
      </w:r>
      <w:r w:rsidRPr="001B2FD8">
        <w:rPr>
          <w:b/>
          <w:sz w:val="24"/>
          <w:szCs w:val="24"/>
        </w:rPr>
        <w:t>ACQUIS</w:t>
      </w:r>
      <w:r w:rsidRPr="001B2FD8">
        <w:rPr>
          <w:b/>
          <w:spacing w:val="80"/>
          <w:sz w:val="24"/>
          <w:szCs w:val="24"/>
        </w:rPr>
        <w:t xml:space="preserve"> </w:t>
      </w:r>
      <w:r w:rsidRPr="001B2FD8">
        <w:rPr>
          <w:b/>
          <w:sz w:val="24"/>
          <w:szCs w:val="24"/>
        </w:rPr>
        <w:t>TË</w:t>
      </w:r>
      <w:r w:rsidRPr="001B2FD8">
        <w:rPr>
          <w:b/>
          <w:spacing w:val="80"/>
          <w:sz w:val="24"/>
          <w:szCs w:val="24"/>
        </w:rPr>
        <w:t xml:space="preserve"> </w:t>
      </w:r>
      <w:r w:rsidRPr="001B2FD8">
        <w:rPr>
          <w:b/>
          <w:sz w:val="24"/>
          <w:szCs w:val="24"/>
        </w:rPr>
        <w:t>BE (PËR PROJEKTAKTET NORMATIVE)</w:t>
      </w:r>
    </w:p>
    <w:p w14:paraId="638C7FDA" w14:textId="77777777" w:rsidR="006E1886" w:rsidRPr="00B64014" w:rsidRDefault="006E1886" w:rsidP="00E83544">
      <w:pPr>
        <w:pStyle w:val="ListParagraph"/>
        <w:tabs>
          <w:tab w:val="left" w:pos="808"/>
          <w:tab w:val="left" w:pos="811"/>
        </w:tabs>
        <w:spacing w:line="276" w:lineRule="auto"/>
        <w:ind w:left="0" w:right="48" w:firstLine="0"/>
        <w:jc w:val="left"/>
        <w:rPr>
          <w:b/>
          <w:sz w:val="24"/>
          <w:szCs w:val="24"/>
        </w:rPr>
      </w:pPr>
    </w:p>
    <w:p w14:paraId="789E6FDA" w14:textId="09CDA6F8" w:rsidR="006E1886" w:rsidRPr="006E1886" w:rsidRDefault="006E1886" w:rsidP="00E83544">
      <w:pPr>
        <w:pStyle w:val="BodyText"/>
        <w:spacing w:line="276" w:lineRule="auto"/>
        <w:ind w:right="48"/>
        <w:rPr>
          <w:sz w:val="24"/>
          <w:szCs w:val="24"/>
          <w:lang w:val="en-US"/>
        </w:rPr>
      </w:pPr>
      <w:r w:rsidRPr="006E1886">
        <w:rPr>
          <w:sz w:val="24"/>
          <w:szCs w:val="24"/>
          <w:lang w:val="en-US"/>
        </w:rPr>
        <w:t>Projektligji realizon përafrim substancial me acquis të Bashkimit Evropian në fushën e parandalimit të pastrimit të parave, financimit të terrorizmit dhe kontrollit të lëvizjeve ndërkufitare të fondeve, kriptoaseteve dhe parasë fizike.</w:t>
      </w:r>
    </w:p>
    <w:p w14:paraId="642E077C" w14:textId="77777777" w:rsidR="006E1886" w:rsidRDefault="006E1886" w:rsidP="00E83544">
      <w:pPr>
        <w:pStyle w:val="BodyText"/>
        <w:spacing w:line="276" w:lineRule="auto"/>
        <w:ind w:right="48"/>
        <w:rPr>
          <w:b/>
          <w:sz w:val="24"/>
          <w:szCs w:val="24"/>
          <w:lang w:val="en-US"/>
        </w:rPr>
      </w:pPr>
    </w:p>
    <w:p w14:paraId="3BE109AB" w14:textId="2011C136" w:rsidR="006E1886" w:rsidRPr="006E1886" w:rsidRDefault="006E1886" w:rsidP="00E83544">
      <w:pPr>
        <w:pStyle w:val="BodyText"/>
        <w:spacing w:line="276" w:lineRule="auto"/>
        <w:ind w:right="48"/>
        <w:rPr>
          <w:b/>
          <w:sz w:val="24"/>
          <w:szCs w:val="24"/>
          <w:lang w:val="en-US"/>
        </w:rPr>
      </w:pPr>
      <w:r w:rsidRPr="006E1886">
        <w:rPr>
          <w:b/>
          <w:sz w:val="24"/>
          <w:szCs w:val="24"/>
          <w:lang w:val="en-US"/>
        </w:rPr>
        <w:t>Në veçanti:</w:t>
      </w:r>
    </w:p>
    <w:p w14:paraId="0D232D48" w14:textId="13E6BB20" w:rsidR="006E1886" w:rsidRPr="006E1886" w:rsidRDefault="006E1886" w:rsidP="00E83544">
      <w:pPr>
        <w:pStyle w:val="BodyText"/>
        <w:spacing w:line="276" w:lineRule="auto"/>
        <w:ind w:right="48"/>
        <w:rPr>
          <w:sz w:val="24"/>
          <w:szCs w:val="24"/>
          <w:lang w:val="en-US"/>
        </w:rPr>
      </w:pPr>
      <w:r w:rsidRPr="006E1886">
        <w:rPr>
          <w:sz w:val="24"/>
          <w:szCs w:val="24"/>
          <w:lang w:val="en-US"/>
        </w:rPr>
        <w:t>Direktiva (BE) 2024/1640 transpozohet në legjislacionin kombëtar në masën që kërkon ndërhyrje normative në të drejtën e brendshme, përmes përshtatjes së dispozitave mbi detyrimet e subjekteve raportuese, masat parandaluese, bashkëpunimin institucional dhe transparencën.</w:t>
      </w:r>
    </w:p>
    <w:p w14:paraId="4E31F292" w14:textId="318B3709" w:rsidR="006E1886" w:rsidRPr="006E1886" w:rsidRDefault="006E1886" w:rsidP="00E83544">
      <w:pPr>
        <w:pStyle w:val="BodyText"/>
        <w:spacing w:line="276" w:lineRule="auto"/>
        <w:ind w:right="48"/>
        <w:rPr>
          <w:sz w:val="24"/>
          <w:szCs w:val="24"/>
          <w:lang w:val="en-US"/>
        </w:rPr>
      </w:pPr>
      <w:r w:rsidRPr="006E1886">
        <w:rPr>
          <w:sz w:val="24"/>
          <w:szCs w:val="24"/>
          <w:lang w:val="en-US"/>
        </w:rPr>
        <w:t xml:space="preserve">Rregullorja (BE) 2024/1624 (kuadri i ri institucional AMLA dhe rregullat e përbashkëta) </w:t>
      </w:r>
      <w:r w:rsidRPr="006E1886">
        <w:rPr>
          <w:sz w:val="24"/>
          <w:szCs w:val="24"/>
          <w:lang w:val="en-US"/>
        </w:rPr>
        <w:lastRenderedPageBreak/>
        <w:t>reflektohet në dispozitat që lidhen me standardizimin e mbikëqyrjes, bashkëpunimin ndërinstitucional dhe mekanizmat e koordinimit, në masën e aplikueshme për një shtet në fazë para-anëtarësimi.</w:t>
      </w:r>
    </w:p>
    <w:p w14:paraId="72011521" w14:textId="44CB1DED" w:rsidR="006E1886" w:rsidRPr="006E1886" w:rsidRDefault="006E1886" w:rsidP="00E83544">
      <w:pPr>
        <w:pStyle w:val="BodyText"/>
        <w:spacing w:line="276" w:lineRule="auto"/>
        <w:ind w:right="48"/>
        <w:rPr>
          <w:sz w:val="24"/>
          <w:szCs w:val="24"/>
          <w:lang w:val="en-US"/>
        </w:rPr>
      </w:pPr>
      <w:r w:rsidRPr="006E1886">
        <w:rPr>
          <w:sz w:val="24"/>
          <w:szCs w:val="24"/>
          <w:lang w:val="en-US"/>
        </w:rPr>
        <w:t>Rregullorja (BE) 2023/1113 (Transfer of Funds Regulation – TFR) përafrohet në mënyrë të plotë përmes vendosjes së detyrimit të shoqërimit të transfertave të fondeve dhe kriptoaseteve me informacion të verifikuar për paguesin dhe përfituesin (“travel rule”), si dhe përmes detyrimeve të ofruesve ndërmjetës.</w:t>
      </w:r>
    </w:p>
    <w:p w14:paraId="158C08CA" w14:textId="3F47D5C7" w:rsidR="006E1886" w:rsidRPr="006E1886" w:rsidRDefault="006E1886" w:rsidP="00E83544">
      <w:pPr>
        <w:pStyle w:val="BodyText"/>
        <w:spacing w:line="276" w:lineRule="auto"/>
        <w:ind w:right="48"/>
        <w:rPr>
          <w:sz w:val="24"/>
          <w:szCs w:val="24"/>
          <w:lang w:val="en-US"/>
        </w:rPr>
      </w:pPr>
      <w:r w:rsidRPr="006E1886">
        <w:rPr>
          <w:sz w:val="24"/>
          <w:szCs w:val="24"/>
          <w:lang w:val="en-US"/>
        </w:rPr>
        <w:t>Rregullorja (BE) 2018/1672, mbi kontrollin e parasë fizike që hyn ose del nga Bashkimi, reflektohet përmes dispozitave që rregullojnë deklarimin, kontrollin, bllokimin e përkohshëm dhe shkëmbimin e informacionit për lëvizjet ndërkufitare të parasë fizike.</w:t>
      </w:r>
    </w:p>
    <w:p w14:paraId="239E999E" w14:textId="41E1147A" w:rsidR="006E1886" w:rsidRPr="006E1886" w:rsidRDefault="006E1886" w:rsidP="00E83544">
      <w:pPr>
        <w:pStyle w:val="BodyText"/>
        <w:spacing w:line="276" w:lineRule="auto"/>
        <w:ind w:right="48"/>
        <w:rPr>
          <w:sz w:val="24"/>
          <w:szCs w:val="24"/>
          <w:lang w:val="en-US"/>
        </w:rPr>
      </w:pPr>
      <w:r w:rsidRPr="006E1886">
        <w:rPr>
          <w:sz w:val="24"/>
          <w:szCs w:val="24"/>
          <w:lang w:val="en-US"/>
        </w:rPr>
        <w:t>Për shkak të natyrës së rregulloreve të BE-së, të cilat zbatohen drejtpërdrejt në shtetet anëtare, projektligji parashikon dispozita të brendshme të përafruara që sigurojnë përputhshmëri të plotë gjatë periudhës para-anëtarësimit. Në momentin e anëtarësimit të Republikës së Shqipërisë në Bashkimin Evropian, rregulloret e sipërcituara do të kenë efekt të drejtpërdrejtë dhe çdo dispozitë kombëtare e papajtueshme do të shfuqizohet ose do të përshtatet në përputhje me rendin juridik të BE-së.</w:t>
      </w:r>
    </w:p>
    <w:p w14:paraId="0160CFE9" w14:textId="77777777" w:rsidR="006E1886" w:rsidRDefault="006E1886" w:rsidP="00E83544">
      <w:pPr>
        <w:pStyle w:val="BodyText"/>
        <w:spacing w:line="276" w:lineRule="auto"/>
        <w:ind w:right="48"/>
        <w:jc w:val="left"/>
        <w:rPr>
          <w:sz w:val="24"/>
          <w:szCs w:val="24"/>
          <w:lang w:val="en-US"/>
        </w:rPr>
      </w:pPr>
    </w:p>
    <w:p w14:paraId="26E577AB" w14:textId="463553D0" w:rsidR="009505BC" w:rsidRDefault="006E1886" w:rsidP="00E83544">
      <w:pPr>
        <w:pStyle w:val="BodyText"/>
        <w:spacing w:line="276" w:lineRule="auto"/>
        <w:ind w:right="48"/>
        <w:jc w:val="left"/>
        <w:rPr>
          <w:sz w:val="24"/>
          <w:szCs w:val="24"/>
          <w:lang w:val="en-US"/>
        </w:rPr>
      </w:pPr>
      <w:r w:rsidRPr="006E1886">
        <w:rPr>
          <w:sz w:val="24"/>
          <w:szCs w:val="24"/>
          <w:lang w:val="en-US"/>
        </w:rPr>
        <w:t>Në tërësi, shkalla e përafrimit vlerësohet si e plotë në nivel material (substantive alignment) dhe e strukturuar në mënyrë që të mundësojë tranzicion të menjëhershëm drejt zbatimit të drejtpërdrejtë të acquis në momentin e anëtarësimit.</w:t>
      </w:r>
    </w:p>
    <w:p w14:paraId="06DD1F98" w14:textId="77777777" w:rsidR="00004E5E" w:rsidRPr="001B2FD8" w:rsidRDefault="00004E5E" w:rsidP="00E83544">
      <w:pPr>
        <w:pStyle w:val="BodyText"/>
        <w:spacing w:line="276" w:lineRule="auto"/>
        <w:ind w:right="48"/>
        <w:jc w:val="left"/>
        <w:rPr>
          <w:sz w:val="24"/>
          <w:szCs w:val="24"/>
        </w:rPr>
      </w:pPr>
    </w:p>
    <w:p w14:paraId="4864B4EA" w14:textId="6C11B334" w:rsidR="00A60C56" w:rsidRPr="00004E5E" w:rsidRDefault="00E94EBD" w:rsidP="004D5FC8">
      <w:pPr>
        <w:pStyle w:val="ListParagraph"/>
        <w:numPr>
          <w:ilvl w:val="0"/>
          <w:numId w:val="1"/>
        </w:numPr>
        <w:tabs>
          <w:tab w:val="left" w:pos="630"/>
          <w:tab w:val="left" w:pos="3609"/>
          <w:tab w:val="left" w:pos="6008"/>
          <w:tab w:val="left" w:pos="6773"/>
          <w:tab w:val="left" w:pos="9376"/>
        </w:tabs>
        <w:spacing w:line="276" w:lineRule="auto"/>
        <w:ind w:left="0" w:right="48" w:firstLine="0"/>
        <w:jc w:val="both"/>
        <w:rPr>
          <w:b/>
          <w:sz w:val="24"/>
          <w:szCs w:val="24"/>
        </w:rPr>
      </w:pPr>
      <w:r w:rsidRPr="001B2FD8">
        <w:rPr>
          <w:b/>
          <w:spacing w:val="-2"/>
          <w:sz w:val="24"/>
          <w:szCs w:val="24"/>
        </w:rPr>
        <w:t>PËRMBLEDHJE</w:t>
      </w:r>
      <w:r w:rsidR="000A224C" w:rsidRPr="001B2FD8">
        <w:rPr>
          <w:b/>
          <w:spacing w:val="-2"/>
          <w:sz w:val="24"/>
          <w:szCs w:val="24"/>
        </w:rPr>
        <w:t xml:space="preserve"> </w:t>
      </w:r>
      <w:r w:rsidRPr="001B2FD8">
        <w:rPr>
          <w:b/>
          <w:spacing w:val="-2"/>
          <w:sz w:val="24"/>
          <w:szCs w:val="24"/>
        </w:rPr>
        <w:t>SHPJEGUESE</w:t>
      </w:r>
      <w:r w:rsidR="000A224C" w:rsidRPr="001B2FD8">
        <w:rPr>
          <w:b/>
          <w:spacing w:val="-2"/>
          <w:sz w:val="24"/>
          <w:szCs w:val="24"/>
        </w:rPr>
        <w:t xml:space="preserve"> </w:t>
      </w:r>
      <w:r w:rsidRPr="001B2FD8">
        <w:rPr>
          <w:b/>
          <w:spacing w:val="-10"/>
          <w:sz w:val="24"/>
          <w:szCs w:val="24"/>
        </w:rPr>
        <w:t>E</w:t>
      </w:r>
      <w:r w:rsidR="00492C0E" w:rsidRPr="001B2FD8">
        <w:rPr>
          <w:b/>
          <w:spacing w:val="-10"/>
          <w:sz w:val="24"/>
          <w:szCs w:val="24"/>
        </w:rPr>
        <w:t xml:space="preserve"> </w:t>
      </w:r>
      <w:r w:rsidRPr="001B2FD8">
        <w:rPr>
          <w:b/>
          <w:spacing w:val="-2"/>
          <w:sz w:val="24"/>
          <w:szCs w:val="24"/>
        </w:rPr>
        <w:t>PËRMBAJTJES</w:t>
      </w:r>
      <w:r w:rsidR="000A224C" w:rsidRPr="001B2FD8">
        <w:rPr>
          <w:b/>
          <w:spacing w:val="-2"/>
          <w:sz w:val="24"/>
          <w:szCs w:val="24"/>
        </w:rPr>
        <w:t xml:space="preserve"> </w:t>
      </w:r>
      <w:r w:rsidRPr="001B2FD8">
        <w:rPr>
          <w:b/>
          <w:spacing w:val="-6"/>
          <w:sz w:val="24"/>
          <w:szCs w:val="24"/>
        </w:rPr>
        <w:t xml:space="preserve">SË </w:t>
      </w:r>
      <w:r w:rsidRPr="001B2FD8">
        <w:rPr>
          <w:b/>
          <w:spacing w:val="-2"/>
          <w:sz w:val="24"/>
          <w:szCs w:val="24"/>
        </w:rPr>
        <w:t>PROJEKTAKTIT</w:t>
      </w:r>
    </w:p>
    <w:p w14:paraId="7E14B970" w14:textId="77777777" w:rsidR="00004E5E" w:rsidRPr="00B64014" w:rsidRDefault="00004E5E" w:rsidP="00004E5E">
      <w:pPr>
        <w:pStyle w:val="ListParagraph"/>
        <w:tabs>
          <w:tab w:val="left" w:pos="630"/>
          <w:tab w:val="left" w:pos="3609"/>
          <w:tab w:val="left" w:pos="6008"/>
          <w:tab w:val="left" w:pos="6773"/>
          <w:tab w:val="left" w:pos="9376"/>
        </w:tabs>
        <w:spacing w:line="276" w:lineRule="auto"/>
        <w:ind w:left="0" w:right="48" w:firstLine="0"/>
        <w:rPr>
          <w:b/>
          <w:sz w:val="24"/>
          <w:szCs w:val="24"/>
        </w:rPr>
      </w:pPr>
    </w:p>
    <w:p w14:paraId="1D663EDA" w14:textId="77777777" w:rsidR="007227BB" w:rsidRPr="007227BB" w:rsidRDefault="007227BB" w:rsidP="00E83544">
      <w:pPr>
        <w:pStyle w:val="BodyText"/>
        <w:tabs>
          <w:tab w:val="left" w:pos="4783"/>
        </w:tabs>
        <w:spacing w:line="276" w:lineRule="auto"/>
        <w:ind w:right="48"/>
        <w:rPr>
          <w:b/>
          <w:bCs/>
          <w:sz w:val="24"/>
          <w:szCs w:val="24"/>
          <w:lang w:val="en-US"/>
        </w:rPr>
      </w:pPr>
      <w:r w:rsidRPr="007227BB">
        <w:rPr>
          <w:b/>
          <w:bCs/>
          <w:sz w:val="24"/>
          <w:szCs w:val="24"/>
          <w:lang w:val="en-US"/>
        </w:rPr>
        <w:t>PJESA I</w:t>
      </w:r>
    </w:p>
    <w:p w14:paraId="7685E651" w14:textId="77777777" w:rsidR="007227BB" w:rsidRPr="007227BB" w:rsidRDefault="007227BB" w:rsidP="00E83544">
      <w:pPr>
        <w:pStyle w:val="BodyText"/>
        <w:tabs>
          <w:tab w:val="left" w:pos="4783"/>
        </w:tabs>
        <w:spacing w:line="276" w:lineRule="auto"/>
        <w:ind w:right="48"/>
        <w:rPr>
          <w:b/>
          <w:bCs/>
          <w:sz w:val="24"/>
          <w:szCs w:val="24"/>
          <w:lang w:val="en-US"/>
        </w:rPr>
      </w:pPr>
      <w:r w:rsidRPr="007227BB">
        <w:rPr>
          <w:b/>
          <w:bCs/>
          <w:sz w:val="24"/>
          <w:szCs w:val="24"/>
          <w:lang w:val="en-US"/>
        </w:rPr>
        <w:t>KREU I – PARIME TË PËRGJITHSHME</w:t>
      </w:r>
    </w:p>
    <w:p w14:paraId="09E1A951" w14:textId="77777777" w:rsidR="007227BB" w:rsidRPr="007227BB" w:rsidRDefault="007227BB" w:rsidP="00E83544">
      <w:pPr>
        <w:pStyle w:val="BodyText"/>
        <w:tabs>
          <w:tab w:val="left" w:pos="4783"/>
        </w:tabs>
        <w:spacing w:line="276" w:lineRule="auto"/>
        <w:ind w:right="48"/>
        <w:rPr>
          <w:b/>
          <w:bCs/>
          <w:sz w:val="24"/>
          <w:szCs w:val="24"/>
          <w:lang w:val="en-US"/>
        </w:rPr>
      </w:pPr>
      <w:r w:rsidRPr="007227BB">
        <w:rPr>
          <w:b/>
          <w:bCs/>
          <w:sz w:val="24"/>
          <w:szCs w:val="24"/>
          <w:lang w:val="en-US"/>
        </w:rPr>
        <w:t>Neni 1 – Qëllimi</w:t>
      </w:r>
    </w:p>
    <w:p w14:paraId="31292D84" w14:textId="77777777" w:rsidR="007227BB" w:rsidRPr="007227BB" w:rsidRDefault="007227BB" w:rsidP="00E83544">
      <w:pPr>
        <w:pStyle w:val="BodyText"/>
        <w:tabs>
          <w:tab w:val="left" w:pos="4783"/>
        </w:tabs>
        <w:spacing w:line="276" w:lineRule="auto"/>
        <w:ind w:right="48"/>
        <w:rPr>
          <w:sz w:val="24"/>
          <w:szCs w:val="24"/>
          <w:lang w:val="en-US"/>
        </w:rPr>
      </w:pPr>
      <w:r w:rsidRPr="007227BB">
        <w:rPr>
          <w:sz w:val="24"/>
          <w:szCs w:val="24"/>
          <w:lang w:val="en-US"/>
        </w:rPr>
        <w:t xml:space="preserve">Përcakton qëllimin e ligjit: parandalimin e pastrimit të parave, produkteve të veprave penale dhe financimit të terrorizmit </w:t>
      </w:r>
    </w:p>
    <w:p w14:paraId="3CF0B82E" w14:textId="77777777" w:rsidR="007227BB" w:rsidRPr="007227BB" w:rsidRDefault="007227BB" w:rsidP="00E83544">
      <w:pPr>
        <w:pStyle w:val="BodyText"/>
        <w:tabs>
          <w:tab w:val="left" w:pos="4783"/>
        </w:tabs>
        <w:spacing w:line="276" w:lineRule="auto"/>
        <w:ind w:right="48"/>
        <w:rPr>
          <w:b/>
          <w:bCs/>
          <w:sz w:val="24"/>
          <w:szCs w:val="24"/>
          <w:lang w:val="en-US"/>
        </w:rPr>
      </w:pPr>
      <w:r w:rsidRPr="007227BB">
        <w:rPr>
          <w:b/>
          <w:bCs/>
          <w:sz w:val="24"/>
          <w:szCs w:val="24"/>
          <w:lang w:val="en-US"/>
        </w:rPr>
        <w:t>Neni 2 – Objekti</w:t>
      </w:r>
    </w:p>
    <w:p w14:paraId="5CF8744C" w14:textId="11116449" w:rsidR="007227BB" w:rsidRPr="007227BB" w:rsidRDefault="007227BB" w:rsidP="00E83544">
      <w:pPr>
        <w:pStyle w:val="BodyText"/>
        <w:tabs>
          <w:tab w:val="left" w:pos="4783"/>
        </w:tabs>
        <w:spacing w:line="276" w:lineRule="auto"/>
        <w:ind w:right="48"/>
        <w:rPr>
          <w:sz w:val="24"/>
          <w:szCs w:val="24"/>
          <w:lang w:val="en-US"/>
        </w:rPr>
      </w:pPr>
      <w:r w:rsidRPr="007227BB">
        <w:rPr>
          <w:sz w:val="24"/>
          <w:szCs w:val="24"/>
          <w:lang w:val="en-US"/>
        </w:rPr>
        <w:t>Përcakton fushën rregulluese të ligjit: masat kombëtare, regjistrimin dhe verifikimin e drejtuesve, vlerësimin e rrezikut, aksesin në regjistra, rolin e AIF dhe bashkëpunimin institucional/kombëtar e ndërkombëtar</w:t>
      </w:r>
      <w:r>
        <w:rPr>
          <w:sz w:val="24"/>
          <w:szCs w:val="24"/>
          <w:lang w:val="en-US"/>
        </w:rPr>
        <w:t>.</w:t>
      </w:r>
    </w:p>
    <w:p w14:paraId="42926EDC" w14:textId="77777777" w:rsidR="007227BB" w:rsidRPr="007227BB" w:rsidRDefault="007227BB" w:rsidP="00E83544">
      <w:pPr>
        <w:pStyle w:val="BodyText"/>
        <w:tabs>
          <w:tab w:val="left" w:pos="4783"/>
        </w:tabs>
        <w:spacing w:line="276" w:lineRule="auto"/>
        <w:ind w:right="48"/>
        <w:rPr>
          <w:b/>
          <w:bCs/>
          <w:sz w:val="24"/>
          <w:szCs w:val="24"/>
          <w:lang w:val="en-US"/>
        </w:rPr>
      </w:pPr>
      <w:r w:rsidRPr="007227BB">
        <w:rPr>
          <w:b/>
          <w:bCs/>
          <w:sz w:val="24"/>
          <w:szCs w:val="24"/>
          <w:lang w:val="en-US"/>
        </w:rPr>
        <w:t>Neni 3 – Përkufizime</w:t>
      </w:r>
    </w:p>
    <w:p w14:paraId="425A1E4E" w14:textId="2604B1FC" w:rsidR="007227BB" w:rsidRPr="00B64014" w:rsidRDefault="007227BB" w:rsidP="00E83544">
      <w:pPr>
        <w:pStyle w:val="BodyText"/>
        <w:tabs>
          <w:tab w:val="left" w:pos="4783"/>
        </w:tabs>
        <w:spacing w:line="276" w:lineRule="auto"/>
        <w:ind w:right="48"/>
        <w:rPr>
          <w:sz w:val="24"/>
          <w:szCs w:val="24"/>
          <w:lang w:val="en-US"/>
        </w:rPr>
      </w:pPr>
      <w:r w:rsidRPr="007227BB">
        <w:rPr>
          <w:sz w:val="24"/>
          <w:szCs w:val="24"/>
          <w:lang w:val="en-US"/>
        </w:rPr>
        <w:t xml:space="preserve">Përcakton terminologjinë bazë të ligjit, në përputhje me rregulloret e BE-së, përfshirë: autoritetin përgjegjës (AIF), autoritetet kompetente, subjektet e detyruara, shtetin e origjinës/pritur, financimin e armëve të dëmtimit në masë, etj. </w:t>
      </w:r>
    </w:p>
    <w:p w14:paraId="0BF0A6A4" w14:textId="04A17D8C" w:rsidR="007227BB" w:rsidRPr="007227BB" w:rsidRDefault="007227BB" w:rsidP="00E83544">
      <w:pPr>
        <w:pStyle w:val="BodyText"/>
        <w:tabs>
          <w:tab w:val="left" w:pos="4783"/>
        </w:tabs>
        <w:spacing w:line="276" w:lineRule="auto"/>
        <w:ind w:right="48"/>
        <w:rPr>
          <w:b/>
          <w:bCs/>
          <w:sz w:val="24"/>
          <w:szCs w:val="24"/>
          <w:lang w:val="en-US"/>
        </w:rPr>
      </w:pPr>
      <w:r w:rsidRPr="007227BB">
        <w:rPr>
          <w:b/>
          <w:bCs/>
          <w:sz w:val="24"/>
          <w:szCs w:val="24"/>
          <w:lang w:val="en-US"/>
        </w:rPr>
        <w:t>SEKSIONI 2 – Masat kombëtare</w:t>
      </w:r>
    </w:p>
    <w:p w14:paraId="2A35A1B8" w14:textId="77777777" w:rsidR="007227BB" w:rsidRPr="007227BB" w:rsidRDefault="007227BB" w:rsidP="00E83544">
      <w:pPr>
        <w:pStyle w:val="BodyText"/>
        <w:tabs>
          <w:tab w:val="left" w:pos="4783"/>
        </w:tabs>
        <w:spacing w:line="276" w:lineRule="auto"/>
        <w:ind w:right="48"/>
        <w:rPr>
          <w:b/>
          <w:bCs/>
          <w:sz w:val="24"/>
          <w:szCs w:val="24"/>
          <w:lang w:val="en-US"/>
        </w:rPr>
      </w:pPr>
      <w:r w:rsidRPr="007227BB">
        <w:rPr>
          <w:b/>
          <w:bCs/>
          <w:sz w:val="24"/>
          <w:szCs w:val="24"/>
          <w:lang w:val="en-US"/>
        </w:rPr>
        <w:t>Neni 4 – Zgjerimi i fushës së zbatimit</w:t>
      </w:r>
    </w:p>
    <w:p w14:paraId="35970724" w14:textId="1889D53B" w:rsidR="007227BB" w:rsidRPr="007227BB" w:rsidRDefault="007227BB" w:rsidP="00E83544">
      <w:pPr>
        <w:pStyle w:val="BodyText"/>
        <w:tabs>
          <w:tab w:val="left" w:pos="4783"/>
        </w:tabs>
        <w:spacing w:line="276" w:lineRule="auto"/>
        <w:ind w:right="48"/>
        <w:rPr>
          <w:sz w:val="24"/>
          <w:szCs w:val="24"/>
          <w:lang w:val="en-US"/>
        </w:rPr>
      </w:pPr>
      <w:r w:rsidRPr="007227BB">
        <w:rPr>
          <w:sz w:val="24"/>
          <w:szCs w:val="24"/>
          <w:lang w:val="en-US"/>
        </w:rPr>
        <w:t>Lejon Këshillin e Ministrave të zgjerojë masat AML/CFT ndaj sektorëve/subjekteve të tjera, bazuar në vlerësim rreziku.</w:t>
      </w:r>
    </w:p>
    <w:p w14:paraId="7DF9CE7C" w14:textId="77777777" w:rsidR="007227BB" w:rsidRPr="007227BB" w:rsidRDefault="007227BB" w:rsidP="00E83544">
      <w:pPr>
        <w:pStyle w:val="BodyText"/>
        <w:tabs>
          <w:tab w:val="left" w:pos="4783"/>
        </w:tabs>
        <w:spacing w:line="276" w:lineRule="auto"/>
        <w:ind w:right="48"/>
        <w:rPr>
          <w:b/>
          <w:bCs/>
          <w:sz w:val="24"/>
          <w:szCs w:val="24"/>
          <w:lang w:val="en-US"/>
        </w:rPr>
      </w:pPr>
      <w:r w:rsidRPr="007227BB">
        <w:rPr>
          <w:b/>
          <w:bCs/>
          <w:sz w:val="24"/>
          <w:szCs w:val="24"/>
          <w:lang w:val="en-US"/>
        </w:rPr>
        <w:t>Neni 5 – Procedura për zgjerimin</w:t>
      </w:r>
    </w:p>
    <w:p w14:paraId="2BB0C182" w14:textId="7AC60322" w:rsidR="007227BB" w:rsidRPr="007227BB" w:rsidRDefault="007227BB" w:rsidP="00E83544">
      <w:pPr>
        <w:pStyle w:val="BodyText"/>
        <w:tabs>
          <w:tab w:val="left" w:pos="4783"/>
        </w:tabs>
        <w:spacing w:line="276" w:lineRule="auto"/>
        <w:ind w:right="48"/>
        <w:rPr>
          <w:sz w:val="24"/>
          <w:szCs w:val="24"/>
          <w:lang w:val="en-US"/>
        </w:rPr>
      </w:pPr>
      <w:r w:rsidRPr="007227BB">
        <w:rPr>
          <w:sz w:val="24"/>
          <w:szCs w:val="24"/>
          <w:lang w:val="en-US"/>
        </w:rPr>
        <w:t>Përcakton analizën paraprake, kriteret e proporcionalitetit, shqyrtimin institucional dhe shtyrjen 6-mujore (me përjashtim për rrezik serioz/imediat</w:t>
      </w:r>
      <w:proofErr w:type="gramStart"/>
      <w:r w:rsidRPr="007227BB">
        <w:rPr>
          <w:sz w:val="24"/>
          <w:szCs w:val="24"/>
          <w:lang w:val="en-US"/>
        </w:rPr>
        <w:t>) .</w:t>
      </w:r>
      <w:proofErr w:type="gramEnd"/>
    </w:p>
    <w:p w14:paraId="36FC4FD3" w14:textId="77777777" w:rsidR="007227BB" w:rsidRPr="007227BB" w:rsidRDefault="007227BB" w:rsidP="00E83544">
      <w:pPr>
        <w:pStyle w:val="BodyText"/>
        <w:tabs>
          <w:tab w:val="left" w:pos="4783"/>
        </w:tabs>
        <w:spacing w:line="276" w:lineRule="auto"/>
        <w:ind w:right="48"/>
        <w:rPr>
          <w:b/>
          <w:bCs/>
          <w:sz w:val="24"/>
          <w:szCs w:val="24"/>
          <w:lang w:val="en-US"/>
        </w:rPr>
      </w:pPr>
      <w:r w:rsidRPr="007227BB">
        <w:rPr>
          <w:b/>
          <w:bCs/>
          <w:sz w:val="24"/>
          <w:szCs w:val="24"/>
          <w:lang w:val="en-US"/>
        </w:rPr>
        <w:t>Neni 6 – Kërkesa për ofrues shërbimesh</w:t>
      </w:r>
    </w:p>
    <w:p w14:paraId="088F22F4" w14:textId="77777777" w:rsidR="007227BB" w:rsidRPr="007227BB" w:rsidRDefault="007227BB" w:rsidP="00E83544">
      <w:pPr>
        <w:pStyle w:val="BodyText"/>
        <w:tabs>
          <w:tab w:val="left" w:pos="4783"/>
        </w:tabs>
        <w:spacing w:line="276" w:lineRule="auto"/>
        <w:ind w:right="48"/>
        <w:rPr>
          <w:sz w:val="24"/>
          <w:szCs w:val="24"/>
          <w:lang w:val="en-US"/>
        </w:rPr>
      </w:pPr>
      <w:r w:rsidRPr="007227BB">
        <w:rPr>
          <w:sz w:val="24"/>
          <w:szCs w:val="24"/>
          <w:lang w:val="en-US"/>
        </w:rPr>
        <w:lastRenderedPageBreak/>
        <w:t xml:space="preserve">Parashikon licencim/mbikëqyrje për zyrat e këmbimit valutor, shërbime themelimi shoqërish dhe lojërat e fatit </w:t>
      </w:r>
    </w:p>
    <w:p w14:paraId="23D1CE06" w14:textId="77777777" w:rsidR="007227BB" w:rsidRPr="007227BB" w:rsidRDefault="007227BB" w:rsidP="00E83544">
      <w:pPr>
        <w:pStyle w:val="BodyText"/>
        <w:tabs>
          <w:tab w:val="left" w:pos="4783"/>
        </w:tabs>
        <w:spacing w:line="276" w:lineRule="auto"/>
        <w:ind w:right="48"/>
        <w:rPr>
          <w:b/>
          <w:bCs/>
          <w:sz w:val="24"/>
          <w:szCs w:val="24"/>
          <w:lang w:val="en-US"/>
        </w:rPr>
      </w:pPr>
      <w:r w:rsidRPr="007227BB">
        <w:rPr>
          <w:b/>
          <w:bCs/>
          <w:sz w:val="24"/>
          <w:szCs w:val="24"/>
          <w:lang w:val="en-US"/>
        </w:rPr>
        <w:t>Neni 7 – Regjistrimi minimal</w:t>
      </w:r>
    </w:p>
    <w:p w14:paraId="09A96626" w14:textId="738105EB" w:rsidR="007227BB" w:rsidRPr="007227BB" w:rsidRDefault="007227BB" w:rsidP="00E83544">
      <w:pPr>
        <w:pStyle w:val="BodyText"/>
        <w:tabs>
          <w:tab w:val="left" w:pos="4783"/>
        </w:tabs>
        <w:spacing w:line="276" w:lineRule="auto"/>
        <w:ind w:right="48"/>
        <w:rPr>
          <w:sz w:val="24"/>
          <w:szCs w:val="24"/>
          <w:lang w:val="en-US"/>
        </w:rPr>
      </w:pPr>
      <w:r w:rsidRPr="007227BB">
        <w:rPr>
          <w:sz w:val="24"/>
          <w:szCs w:val="24"/>
          <w:lang w:val="en-US"/>
        </w:rPr>
        <w:t>Vendos detyrimin për regjistrim minimal për subjektet e detyruara që nuk janë të licencuara sipas legjislacionit tjetër.</w:t>
      </w:r>
    </w:p>
    <w:p w14:paraId="42C076E1" w14:textId="77777777" w:rsidR="007227BB" w:rsidRPr="007227BB" w:rsidRDefault="007227BB" w:rsidP="00E83544">
      <w:pPr>
        <w:pStyle w:val="BodyText"/>
        <w:tabs>
          <w:tab w:val="left" w:pos="4783"/>
        </w:tabs>
        <w:spacing w:line="276" w:lineRule="auto"/>
        <w:ind w:right="48"/>
        <w:rPr>
          <w:b/>
          <w:bCs/>
          <w:sz w:val="24"/>
          <w:szCs w:val="24"/>
          <w:lang w:val="en-US"/>
        </w:rPr>
      </w:pPr>
      <w:r w:rsidRPr="007227BB">
        <w:rPr>
          <w:b/>
          <w:bCs/>
          <w:sz w:val="24"/>
          <w:szCs w:val="24"/>
          <w:lang w:val="en-US"/>
        </w:rPr>
        <w:t>Neni 8 – Lejet e qëndrimit për investim</w:t>
      </w:r>
    </w:p>
    <w:p w14:paraId="00A6C5D1" w14:textId="4E397375" w:rsidR="007227BB" w:rsidRPr="007227BB" w:rsidRDefault="007227BB" w:rsidP="00E83544">
      <w:pPr>
        <w:pStyle w:val="BodyText"/>
        <w:tabs>
          <w:tab w:val="left" w:pos="4783"/>
        </w:tabs>
        <w:spacing w:line="276" w:lineRule="auto"/>
        <w:ind w:right="48"/>
        <w:rPr>
          <w:sz w:val="24"/>
          <w:szCs w:val="24"/>
          <w:lang w:val="en-US"/>
        </w:rPr>
      </w:pPr>
      <w:r w:rsidRPr="007227BB">
        <w:rPr>
          <w:sz w:val="24"/>
          <w:szCs w:val="24"/>
          <w:lang w:val="en-US"/>
        </w:rPr>
        <w:t>Vendos masa të posaçme AML për skemat e “residencës për investim”, përfshirë verifikim burimi fondesh, krahasim me lista sanksionesh, raportim vjetor dhe bashkëpunim ndërinstitucional.</w:t>
      </w:r>
    </w:p>
    <w:p w14:paraId="18FFA624" w14:textId="77777777" w:rsidR="007227BB" w:rsidRPr="007227BB" w:rsidRDefault="007227BB" w:rsidP="00E83544">
      <w:pPr>
        <w:pStyle w:val="BodyText"/>
        <w:tabs>
          <w:tab w:val="left" w:pos="4783"/>
        </w:tabs>
        <w:spacing w:line="276" w:lineRule="auto"/>
        <w:ind w:right="48"/>
        <w:rPr>
          <w:b/>
          <w:bCs/>
          <w:sz w:val="24"/>
          <w:szCs w:val="24"/>
          <w:lang w:val="en-US"/>
        </w:rPr>
      </w:pPr>
      <w:r w:rsidRPr="007227BB">
        <w:rPr>
          <w:b/>
          <w:bCs/>
          <w:sz w:val="24"/>
          <w:szCs w:val="24"/>
          <w:lang w:val="en-US"/>
        </w:rPr>
        <w:t>Neni 9 – Integriteti i drejtuesve dhe pronarëve përfitues</w:t>
      </w:r>
    </w:p>
    <w:p w14:paraId="58DF2BD5" w14:textId="310D7517" w:rsidR="007227BB" w:rsidRPr="007227BB" w:rsidRDefault="007227BB" w:rsidP="00E83544">
      <w:pPr>
        <w:pStyle w:val="BodyText"/>
        <w:tabs>
          <w:tab w:val="left" w:pos="4783"/>
        </w:tabs>
        <w:spacing w:line="276" w:lineRule="auto"/>
        <w:ind w:right="48"/>
        <w:rPr>
          <w:sz w:val="24"/>
          <w:szCs w:val="24"/>
          <w:lang w:val="en-US"/>
        </w:rPr>
      </w:pPr>
      <w:r w:rsidRPr="007227BB">
        <w:rPr>
          <w:sz w:val="24"/>
          <w:szCs w:val="24"/>
          <w:lang w:val="en-US"/>
        </w:rPr>
        <w:t>Vendos verifikim reputacioni, ndalim për persona të dënuar për PP/FT, kompetencë largimi nga funksioni dhe masa administrative ndaj pronarëve përfitues të dënuar</w:t>
      </w:r>
      <w:r>
        <w:rPr>
          <w:sz w:val="24"/>
          <w:szCs w:val="24"/>
          <w:lang w:val="en-US"/>
        </w:rPr>
        <w:t>.</w:t>
      </w:r>
    </w:p>
    <w:p w14:paraId="33935FE8" w14:textId="77777777" w:rsidR="007227BB" w:rsidRPr="007227BB" w:rsidRDefault="007227BB" w:rsidP="00E83544">
      <w:pPr>
        <w:pStyle w:val="BodyText"/>
        <w:tabs>
          <w:tab w:val="left" w:pos="4783"/>
        </w:tabs>
        <w:spacing w:line="276" w:lineRule="auto"/>
        <w:ind w:right="48"/>
        <w:rPr>
          <w:b/>
          <w:bCs/>
          <w:sz w:val="24"/>
          <w:szCs w:val="24"/>
          <w:lang w:val="en-US"/>
        </w:rPr>
      </w:pPr>
      <w:r w:rsidRPr="007227BB">
        <w:rPr>
          <w:b/>
          <w:bCs/>
          <w:sz w:val="24"/>
          <w:szCs w:val="24"/>
          <w:lang w:val="en-US"/>
        </w:rPr>
        <w:t>SEKSIONI 3 – VLERËSIMET E RREZIKUT</w:t>
      </w:r>
    </w:p>
    <w:p w14:paraId="37D30DF1" w14:textId="77777777" w:rsidR="007227BB" w:rsidRPr="007227BB" w:rsidRDefault="007227BB" w:rsidP="00E83544">
      <w:pPr>
        <w:pStyle w:val="BodyText"/>
        <w:tabs>
          <w:tab w:val="left" w:pos="4783"/>
        </w:tabs>
        <w:spacing w:line="276" w:lineRule="auto"/>
        <w:ind w:right="48"/>
        <w:rPr>
          <w:b/>
          <w:bCs/>
          <w:sz w:val="24"/>
          <w:szCs w:val="24"/>
          <w:lang w:val="en-US"/>
        </w:rPr>
      </w:pPr>
      <w:r w:rsidRPr="007227BB">
        <w:rPr>
          <w:b/>
          <w:bCs/>
          <w:sz w:val="24"/>
          <w:szCs w:val="24"/>
          <w:lang w:val="en-US"/>
        </w:rPr>
        <w:t>Neni 10 – Vlerësimi Kombëtar i Rrezikut (VKR)</w:t>
      </w:r>
    </w:p>
    <w:p w14:paraId="266E80C4" w14:textId="28CBF58F" w:rsidR="007227BB" w:rsidRDefault="007227BB" w:rsidP="00E83544">
      <w:pPr>
        <w:pStyle w:val="BodyText"/>
        <w:tabs>
          <w:tab w:val="left" w:pos="4783"/>
        </w:tabs>
        <w:spacing w:line="276" w:lineRule="auto"/>
        <w:ind w:right="48"/>
        <w:rPr>
          <w:sz w:val="24"/>
          <w:szCs w:val="24"/>
          <w:lang w:val="en-US"/>
        </w:rPr>
      </w:pPr>
      <w:r w:rsidRPr="007227BB">
        <w:rPr>
          <w:sz w:val="24"/>
          <w:szCs w:val="24"/>
          <w:lang w:val="en-US"/>
        </w:rPr>
        <w:t>Përcakton hartimin periodik të VKR (minimumi çdo 4 vjet), koordinimin nga AIF, përdorimin e raporteve të BE-së, publikimin e përmbledhjes dhe përdorimin e VKR për politika, prioritete dhe masa sektoriale</w:t>
      </w:r>
      <w:r>
        <w:rPr>
          <w:sz w:val="24"/>
          <w:szCs w:val="24"/>
          <w:lang w:val="en-US"/>
        </w:rPr>
        <w:t>.</w:t>
      </w:r>
    </w:p>
    <w:p w14:paraId="208E738C" w14:textId="148DFEA3" w:rsidR="007227BB" w:rsidRPr="007227BB" w:rsidRDefault="007227BB" w:rsidP="00E83544">
      <w:pPr>
        <w:pStyle w:val="BodyText"/>
        <w:tabs>
          <w:tab w:val="left" w:pos="4783"/>
        </w:tabs>
        <w:spacing w:line="276" w:lineRule="auto"/>
        <w:ind w:right="48"/>
        <w:rPr>
          <w:sz w:val="24"/>
          <w:szCs w:val="24"/>
          <w:lang w:val="en-US"/>
        </w:rPr>
      </w:pPr>
      <w:r w:rsidRPr="007227BB">
        <w:rPr>
          <w:b/>
          <w:bCs/>
          <w:sz w:val="24"/>
          <w:szCs w:val="24"/>
          <w:lang w:val="en-US"/>
        </w:rPr>
        <w:t>Neni 11 – Statistikat</w:t>
      </w:r>
    </w:p>
    <w:p w14:paraId="13F37AA8" w14:textId="77777777" w:rsidR="007227BB" w:rsidRPr="007227BB" w:rsidRDefault="007227BB" w:rsidP="00E83544">
      <w:pPr>
        <w:pStyle w:val="BodyText"/>
        <w:tabs>
          <w:tab w:val="left" w:pos="4783"/>
        </w:tabs>
        <w:spacing w:line="276" w:lineRule="auto"/>
        <w:ind w:right="48"/>
        <w:rPr>
          <w:sz w:val="24"/>
          <w:szCs w:val="24"/>
          <w:lang w:val="en-US"/>
        </w:rPr>
      </w:pPr>
      <w:r w:rsidRPr="007227BB">
        <w:rPr>
          <w:sz w:val="24"/>
          <w:szCs w:val="24"/>
          <w:lang w:val="en-US"/>
        </w:rPr>
        <w:t xml:space="preserve">Vendos detyrimin për mbledhje dhe raportim statistikor mbi SAR, hetime, konfiskime, bashkëpunim ndërkombëtar, masa administrative dhe pronësi përfituese </w:t>
      </w:r>
    </w:p>
    <w:p w14:paraId="1AA86F1C" w14:textId="77777777" w:rsidR="007227BB" w:rsidRPr="007227BB" w:rsidRDefault="007227BB" w:rsidP="00E83544">
      <w:pPr>
        <w:pStyle w:val="BodyText"/>
        <w:tabs>
          <w:tab w:val="left" w:pos="4783"/>
        </w:tabs>
        <w:spacing w:line="276" w:lineRule="auto"/>
        <w:ind w:right="48"/>
        <w:rPr>
          <w:b/>
          <w:bCs/>
          <w:sz w:val="24"/>
          <w:szCs w:val="24"/>
          <w:lang w:val="en-US"/>
        </w:rPr>
      </w:pPr>
      <w:r w:rsidRPr="007227BB">
        <w:rPr>
          <w:b/>
          <w:bCs/>
          <w:sz w:val="24"/>
          <w:szCs w:val="24"/>
          <w:lang w:val="en-US"/>
        </w:rPr>
        <w:t>SEKSIONI 4 – Pika e vetme e aksesit (pasuri të paluajtshme)</w:t>
      </w:r>
    </w:p>
    <w:p w14:paraId="4ABB4BFB" w14:textId="77777777" w:rsidR="007227BB" w:rsidRPr="007227BB" w:rsidRDefault="007227BB" w:rsidP="00E83544">
      <w:pPr>
        <w:pStyle w:val="BodyText"/>
        <w:tabs>
          <w:tab w:val="left" w:pos="4783"/>
        </w:tabs>
        <w:spacing w:line="276" w:lineRule="auto"/>
        <w:ind w:right="48"/>
        <w:rPr>
          <w:b/>
          <w:bCs/>
          <w:sz w:val="24"/>
          <w:szCs w:val="24"/>
          <w:lang w:val="en-US"/>
        </w:rPr>
      </w:pPr>
      <w:r w:rsidRPr="007227BB">
        <w:rPr>
          <w:b/>
          <w:bCs/>
          <w:sz w:val="24"/>
          <w:szCs w:val="24"/>
          <w:lang w:val="en-US"/>
        </w:rPr>
        <w:t>Neni 12 – Krijimi i pikës së vetme të aksesit</w:t>
      </w:r>
    </w:p>
    <w:p w14:paraId="5BD1DB28" w14:textId="422F8BB2" w:rsidR="007227BB" w:rsidRPr="007227BB" w:rsidRDefault="007227BB" w:rsidP="00E83544">
      <w:pPr>
        <w:pStyle w:val="BodyText"/>
        <w:tabs>
          <w:tab w:val="left" w:pos="4783"/>
        </w:tabs>
        <w:spacing w:line="276" w:lineRule="auto"/>
        <w:ind w:right="48"/>
        <w:rPr>
          <w:sz w:val="24"/>
          <w:szCs w:val="24"/>
          <w:lang w:val="en-US"/>
        </w:rPr>
      </w:pPr>
      <w:r w:rsidRPr="007227BB">
        <w:rPr>
          <w:sz w:val="24"/>
          <w:szCs w:val="24"/>
          <w:lang w:val="en-US"/>
        </w:rPr>
        <w:t>Parashikon akses të menjëhershëm elektronik për autoritetet kompetente në të dhënat mbi pasuritë e paluajtshme.</w:t>
      </w:r>
    </w:p>
    <w:p w14:paraId="1CD1656D" w14:textId="77777777" w:rsidR="007227BB" w:rsidRPr="007227BB" w:rsidRDefault="007227BB" w:rsidP="00E83544">
      <w:pPr>
        <w:pStyle w:val="BodyText"/>
        <w:tabs>
          <w:tab w:val="left" w:pos="4783"/>
        </w:tabs>
        <w:spacing w:line="276" w:lineRule="auto"/>
        <w:ind w:right="48"/>
        <w:rPr>
          <w:b/>
          <w:bCs/>
          <w:sz w:val="24"/>
          <w:szCs w:val="24"/>
          <w:lang w:val="en-US"/>
        </w:rPr>
      </w:pPr>
      <w:r w:rsidRPr="007227BB">
        <w:rPr>
          <w:b/>
          <w:bCs/>
          <w:sz w:val="24"/>
          <w:szCs w:val="24"/>
          <w:lang w:val="en-US"/>
        </w:rPr>
        <w:t>Neni 13 – Përmbajtja e informacionit</w:t>
      </w:r>
    </w:p>
    <w:p w14:paraId="282CBC8C" w14:textId="33983E7D" w:rsidR="007227BB" w:rsidRPr="007227BB" w:rsidRDefault="007227BB" w:rsidP="00E83544">
      <w:pPr>
        <w:pStyle w:val="BodyText"/>
        <w:tabs>
          <w:tab w:val="left" w:pos="4783"/>
        </w:tabs>
        <w:spacing w:line="276" w:lineRule="auto"/>
        <w:ind w:right="48"/>
        <w:rPr>
          <w:sz w:val="24"/>
          <w:szCs w:val="24"/>
          <w:lang w:val="en-US"/>
        </w:rPr>
      </w:pPr>
      <w:r w:rsidRPr="007227BB">
        <w:rPr>
          <w:sz w:val="24"/>
          <w:szCs w:val="24"/>
          <w:lang w:val="en-US"/>
        </w:rPr>
        <w:t>Specifikon të dhënat që përfshihen: identifikim pasurie, pronësi, barrë, historik pronësie (nga 8 korrik 2019), rregulla teknike dhe akses për AMLA</w:t>
      </w:r>
      <w:r w:rsidR="005427B9">
        <w:rPr>
          <w:sz w:val="24"/>
          <w:szCs w:val="24"/>
          <w:lang w:val="en-US"/>
        </w:rPr>
        <w:t>.</w:t>
      </w:r>
    </w:p>
    <w:p w14:paraId="683D6783" w14:textId="77777777" w:rsidR="002C3AF6" w:rsidRDefault="002C3AF6" w:rsidP="00E83544">
      <w:pPr>
        <w:pStyle w:val="BodyText"/>
        <w:tabs>
          <w:tab w:val="left" w:pos="4783"/>
        </w:tabs>
        <w:spacing w:line="276" w:lineRule="auto"/>
        <w:ind w:right="48"/>
        <w:rPr>
          <w:b/>
          <w:bCs/>
          <w:sz w:val="24"/>
          <w:szCs w:val="24"/>
          <w:lang w:val="en-US"/>
        </w:rPr>
      </w:pPr>
    </w:p>
    <w:p w14:paraId="40E2D842" w14:textId="482C581F" w:rsidR="009D3D16" w:rsidRPr="009D3D16" w:rsidRDefault="009D3D16" w:rsidP="00E83544">
      <w:pPr>
        <w:pStyle w:val="BodyText"/>
        <w:tabs>
          <w:tab w:val="left" w:pos="4783"/>
        </w:tabs>
        <w:spacing w:line="276" w:lineRule="auto"/>
        <w:ind w:right="48"/>
        <w:rPr>
          <w:b/>
          <w:bCs/>
          <w:sz w:val="24"/>
          <w:szCs w:val="24"/>
          <w:lang w:val="en-US"/>
        </w:rPr>
      </w:pPr>
      <w:r w:rsidRPr="009D3D16">
        <w:rPr>
          <w:b/>
          <w:bCs/>
          <w:sz w:val="24"/>
          <w:szCs w:val="24"/>
          <w:lang w:val="en-US"/>
        </w:rPr>
        <w:t>KREU II – AIF</w:t>
      </w:r>
    </w:p>
    <w:p w14:paraId="598F2375" w14:textId="77777777" w:rsidR="009D3D16" w:rsidRPr="009D3D16" w:rsidRDefault="009D3D16" w:rsidP="00E83544">
      <w:pPr>
        <w:pStyle w:val="BodyText"/>
        <w:tabs>
          <w:tab w:val="left" w:pos="4783"/>
        </w:tabs>
        <w:spacing w:line="276" w:lineRule="auto"/>
        <w:ind w:right="48"/>
        <w:rPr>
          <w:b/>
          <w:bCs/>
          <w:sz w:val="24"/>
          <w:szCs w:val="24"/>
          <w:lang w:val="en-US"/>
        </w:rPr>
      </w:pPr>
      <w:r w:rsidRPr="009D3D16">
        <w:rPr>
          <w:b/>
          <w:bCs/>
          <w:sz w:val="24"/>
          <w:szCs w:val="24"/>
          <w:lang w:val="en-US"/>
        </w:rPr>
        <w:t>Neni 14 – Organizimi dhe funksionimi i AIF</w:t>
      </w:r>
    </w:p>
    <w:p w14:paraId="63502448" w14:textId="77777777" w:rsidR="009D3D16" w:rsidRPr="009D3D16" w:rsidRDefault="009D3D16" w:rsidP="00E83544">
      <w:pPr>
        <w:pStyle w:val="BodyText"/>
        <w:tabs>
          <w:tab w:val="left" w:pos="4783"/>
        </w:tabs>
        <w:spacing w:line="276" w:lineRule="auto"/>
        <w:ind w:right="48"/>
        <w:rPr>
          <w:sz w:val="24"/>
          <w:szCs w:val="24"/>
          <w:lang w:val="en-US"/>
        </w:rPr>
      </w:pPr>
      <w:r w:rsidRPr="009D3D16">
        <w:rPr>
          <w:sz w:val="24"/>
          <w:szCs w:val="24"/>
          <w:lang w:val="en-US"/>
        </w:rPr>
        <w:t xml:space="preserve">Përcakton statusin institucional të AIF si njësi qendrore FIU, kompetencat analitike (operacionale/strategjike), pavarësinë funksionale, burimet, sekretin profesional dhe bashkëpunimin me organet ligjzbatuese </w:t>
      </w:r>
    </w:p>
    <w:p w14:paraId="3F9837EC" w14:textId="77777777" w:rsidR="009D3D16" w:rsidRPr="009D3D16" w:rsidRDefault="009D3D16" w:rsidP="00E83544">
      <w:pPr>
        <w:pStyle w:val="BodyText"/>
        <w:tabs>
          <w:tab w:val="left" w:pos="4783"/>
        </w:tabs>
        <w:spacing w:line="276" w:lineRule="auto"/>
        <w:ind w:right="48"/>
        <w:rPr>
          <w:b/>
          <w:bCs/>
          <w:sz w:val="24"/>
          <w:szCs w:val="24"/>
          <w:lang w:val="en-US"/>
        </w:rPr>
      </w:pPr>
      <w:r w:rsidRPr="009D3D16">
        <w:rPr>
          <w:b/>
          <w:bCs/>
          <w:sz w:val="24"/>
          <w:szCs w:val="24"/>
          <w:lang w:val="en-US"/>
        </w:rPr>
        <w:t>Neni 15 – Strukturat TIK</w:t>
      </w:r>
    </w:p>
    <w:p w14:paraId="4C576C2C" w14:textId="54353907" w:rsidR="009D3D16" w:rsidRPr="009D3D16" w:rsidRDefault="009D3D16" w:rsidP="00E83544">
      <w:pPr>
        <w:pStyle w:val="BodyText"/>
        <w:tabs>
          <w:tab w:val="left" w:pos="4783"/>
        </w:tabs>
        <w:spacing w:line="276" w:lineRule="auto"/>
        <w:ind w:right="48"/>
        <w:rPr>
          <w:sz w:val="24"/>
          <w:szCs w:val="24"/>
          <w:lang w:val="en-US"/>
        </w:rPr>
      </w:pPr>
      <w:r w:rsidRPr="009D3D16">
        <w:rPr>
          <w:sz w:val="24"/>
          <w:szCs w:val="24"/>
          <w:lang w:val="en-US"/>
        </w:rPr>
        <w:t>Përcakton kompetencat e AIF për sistemet TIK, sigurinë kibernetike dhe bashkëpunimin me AKSHI</w:t>
      </w:r>
      <w:r w:rsidR="002C3AF6">
        <w:rPr>
          <w:sz w:val="24"/>
          <w:szCs w:val="24"/>
          <w:lang w:val="en-US"/>
        </w:rPr>
        <w:t>.</w:t>
      </w:r>
    </w:p>
    <w:p w14:paraId="50DDA8E1" w14:textId="77777777" w:rsidR="009D3D16" w:rsidRPr="009D3D16" w:rsidRDefault="009D3D16" w:rsidP="00E83544">
      <w:pPr>
        <w:pStyle w:val="BodyText"/>
        <w:tabs>
          <w:tab w:val="left" w:pos="4783"/>
        </w:tabs>
        <w:spacing w:line="276" w:lineRule="auto"/>
        <w:ind w:right="48"/>
        <w:rPr>
          <w:b/>
          <w:bCs/>
          <w:sz w:val="24"/>
          <w:szCs w:val="24"/>
          <w:lang w:val="en-US"/>
        </w:rPr>
      </w:pPr>
      <w:r w:rsidRPr="009D3D16">
        <w:rPr>
          <w:b/>
          <w:bCs/>
          <w:sz w:val="24"/>
          <w:szCs w:val="24"/>
          <w:lang w:val="en-US"/>
        </w:rPr>
        <w:t>Neni 16 – Përdorimi i të dhënave</w:t>
      </w:r>
    </w:p>
    <w:p w14:paraId="698ACB56" w14:textId="39320FB6" w:rsidR="009D3D16" w:rsidRPr="009D3D16" w:rsidRDefault="009D3D16" w:rsidP="00E83544">
      <w:pPr>
        <w:pStyle w:val="BodyText"/>
        <w:tabs>
          <w:tab w:val="left" w:pos="4783"/>
        </w:tabs>
        <w:spacing w:line="276" w:lineRule="auto"/>
        <w:ind w:right="48"/>
        <w:rPr>
          <w:sz w:val="24"/>
          <w:szCs w:val="24"/>
          <w:lang w:val="en-US"/>
        </w:rPr>
      </w:pPr>
      <w:r w:rsidRPr="009D3D16">
        <w:rPr>
          <w:sz w:val="24"/>
          <w:szCs w:val="24"/>
          <w:lang w:val="en-US"/>
        </w:rPr>
        <w:t>Përcakton se informacioni i AIF nuk përbën provë penale; organet ligjzbatuese raportojnë çdo 6 muaj mbi përdorimin e tij.</w:t>
      </w:r>
    </w:p>
    <w:p w14:paraId="0CA7969C" w14:textId="77777777" w:rsidR="009D3D16" w:rsidRPr="009D3D16" w:rsidRDefault="009D3D16" w:rsidP="00E83544">
      <w:pPr>
        <w:pStyle w:val="BodyText"/>
        <w:tabs>
          <w:tab w:val="left" w:pos="4783"/>
        </w:tabs>
        <w:spacing w:line="276" w:lineRule="auto"/>
        <w:ind w:right="48"/>
        <w:rPr>
          <w:b/>
          <w:bCs/>
          <w:sz w:val="24"/>
          <w:szCs w:val="24"/>
          <w:lang w:val="en-US"/>
        </w:rPr>
      </w:pPr>
      <w:r w:rsidRPr="009D3D16">
        <w:rPr>
          <w:b/>
          <w:bCs/>
          <w:sz w:val="24"/>
          <w:szCs w:val="24"/>
          <w:lang w:val="en-US"/>
        </w:rPr>
        <w:t>Neni 17 – Oficeri për Garantimin e të Drejtave Themelore</w:t>
      </w:r>
    </w:p>
    <w:p w14:paraId="14499586" w14:textId="77777777" w:rsidR="009D3D16" w:rsidRPr="009D3D16" w:rsidRDefault="009D3D16" w:rsidP="00E83544">
      <w:pPr>
        <w:pStyle w:val="BodyText"/>
        <w:tabs>
          <w:tab w:val="left" w:pos="4783"/>
        </w:tabs>
        <w:spacing w:line="276" w:lineRule="auto"/>
        <w:ind w:right="48"/>
        <w:rPr>
          <w:sz w:val="24"/>
          <w:szCs w:val="24"/>
          <w:lang w:val="en-US"/>
        </w:rPr>
      </w:pPr>
      <w:r w:rsidRPr="009D3D16">
        <w:rPr>
          <w:sz w:val="24"/>
          <w:szCs w:val="24"/>
          <w:lang w:val="en-US"/>
        </w:rPr>
        <w:t xml:space="preserve">Vendos funksion të brendshëm monitorues për respektimin e të drejtave themelore në veprimtarinë e AIF, me rol këshillimor dhe të pavarur </w:t>
      </w:r>
    </w:p>
    <w:p w14:paraId="49AC80AE" w14:textId="77777777" w:rsidR="00AD7853" w:rsidRPr="00AD7853" w:rsidRDefault="00AD7853" w:rsidP="00E83544">
      <w:pPr>
        <w:pStyle w:val="BodyText"/>
        <w:tabs>
          <w:tab w:val="left" w:pos="4783"/>
        </w:tabs>
        <w:spacing w:line="276" w:lineRule="auto"/>
        <w:ind w:right="48"/>
        <w:rPr>
          <w:b/>
          <w:bCs/>
          <w:sz w:val="24"/>
          <w:szCs w:val="24"/>
          <w:lang w:val="en-US"/>
        </w:rPr>
      </w:pPr>
      <w:r w:rsidRPr="00AD7853">
        <w:rPr>
          <w:b/>
          <w:bCs/>
          <w:sz w:val="24"/>
          <w:szCs w:val="24"/>
          <w:lang w:val="en-US"/>
        </w:rPr>
        <w:t>PJESA II – DETYRIMET DHE KOMPETENCAT</w:t>
      </w:r>
    </w:p>
    <w:p w14:paraId="79D16CBF" w14:textId="77777777" w:rsidR="00AD7853" w:rsidRPr="00AD7853" w:rsidRDefault="00AD7853" w:rsidP="00E83544">
      <w:pPr>
        <w:pStyle w:val="BodyText"/>
        <w:tabs>
          <w:tab w:val="left" w:pos="4783"/>
        </w:tabs>
        <w:spacing w:line="276" w:lineRule="auto"/>
        <w:ind w:right="48"/>
        <w:rPr>
          <w:b/>
          <w:bCs/>
          <w:sz w:val="24"/>
          <w:szCs w:val="24"/>
          <w:lang w:val="en-US"/>
        </w:rPr>
      </w:pPr>
      <w:r w:rsidRPr="00AD7853">
        <w:rPr>
          <w:b/>
          <w:bCs/>
          <w:sz w:val="24"/>
          <w:szCs w:val="24"/>
          <w:lang w:val="en-US"/>
        </w:rPr>
        <w:t>Neni 18 – Masa monitorimi</w:t>
      </w:r>
    </w:p>
    <w:p w14:paraId="450203DC" w14:textId="54C55C8B" w:rsidR="00AD7853" w:rsidRPr="00AD7853" w:rsidRDefault="00AD7853" w:rsidP="00E83544">
      <w:pPr>
        <w:pStyle w:val="BodyText"/>
        <w:tabs>
          <w:tab w:val="left" w:pos="4783"/>
        </w:tabs>
        <w:spacing w:line="276" w:lineRule="auto"/>
        <w:ind w:right="48"/>
        <w:rPr>
          <w:sz w:val="24"/>
          <w:szCs w:val="24"/>
          <w:lang w:val="en-US"/>
        </w:rPr>
      </w:pPr>
      <w:r w:rsidRPr="00AD7853">
        <w:rPr>
          <w:sz w:val="24"/>
          <w:szCs w:val="24"/>
          <w:lang w:val="en-US"/>
        </w:rPr>
        <w:lastRenderedPageBreak/>
        <w:t>Parashikon kompetencën e AIF për të urdhëruar masa monitorimi ndaj subjekteve të detyruara, përfshirë me kërkesë të një FIU homologe.</w:t>
      </w:r>
    </w:p>
    <w:p w14:paraId="795AE78F" w14:textId="72FF042C" w:rsidR="00AD7853" w:rsidRPr="00AD7853" w:rsidRDefault="00AD7853" w:rsidP="00E83544">
      <w:pPr>
        <w:pStyle w:val="BodyText"/>
        <w:tabs>
          <w:tab w:val="left" w:pos="4783"/>
        </w:tabs>
        <w:spacing w:line="276" w:lineRule="auto"/>
        <w:ind w:right="48"/>
        <w:rPr>
          <w:b/>
          <w:bCs/>
          <w:sz w:val="24"/>
          <w:szCs w:val="24"/>
          <w:lang w:val="en-US"/>
        </w:rPr>
      </w:pPr>
      <w:r w:rsidRPr="00AD7853">
        <w:rPr>
          <w:b/>
          <w:bCs/>
          <w:sz w:val="24"/>
          <w:szCs w:val="24"/>
          <w:lang w:val="en-US"/>
        </w:rPr>
        <w:t>Neni 19 – Masa të përkohshme / ndërhyrje parandaluese</w:t>
      </w:r>
    </w:p>
    <w:p w14:paraId="2F725495" w14:textId="77777777" w:rsidR="00AD7853" w:rsidRPr="00AD7853" w:rsidRDefault="00AD7853" w:rsidP="00E83544">
      <w:pPr>
        <w:pStyle w:val="BodyText"/>
        <w:tabs>
          <w:tab w:val="left" w:pos="4783"/>
        </w:tabs>
        <w:spacing w:line="276" w:lineRule="auto"/>
        <w:ind w:right="48"/>
        <w:rPr>
          <w:sz w:val="24"/>
          <w:szCs w:val="24"/>
          <w:lang w:val="en-US"/>
        </w:rPr>
      </w:pPr>
      <w:r w:rsidRPr="00AD7853">
        <w:rPr>
          <w:sz w:val="24"/>
          <w:szCs w:val="24"/>
          <w:lang w:val="en-US"/>
        </w:rPr>
        <w:t>Rregullon kompetencën e AIF për masa të përkohshme në funksion të analizës dhe parandalimit të PP/FT.</w:t>
      </w:r>
    </w:p>
    <w:p w14:paraId="5023A6E1" w14:textId="623EA9CE" w:rsidR="00AD7853" w:rsidRPr="00AD7853" w:rsidRDefault="00AD7853" w:rsidP="00E83544">
      <w:pPr>
        <w:pStyle w:val="BodyText"/>
        <w:tabs>
          <w:tab w:val="left" w:pos="4783"/>
        </w:tabs>
        <w:spacing w:line="276" w:lineRule="auto"/>
        <w:ind w:right="48"/>
        <w:rPr>
          <w:b/>
          <w:bCs/>
          <w:sz w:val="24"/>
          <w:szCs w:val="24"/>
          <w:lang w:val="en-US"/>
        </w:rPr>
      </w:pPr>
      <w:r w:rsidRPr="00AD7853">
        <w:rPr>
          <w:b/>
          <w:bCs/>
          <w:sz w:val="24"/>
          <w:szCs w:val="24"/>
          <w:lang w:val="en-US"/>
        </w:rPr>
        <w:t>Neni 20 – Bllokimi / ngrirja e përkohshme</w:t>
      </w:r>
    </w:p>
    <w:p w14:paraId="02C5DBE9" w14:textId="77777777" w:rsidR="00AD7853" w:rsidRPr="00AD7853" w:rsidRDefault="00AD7853" w:rsidP="00E83544">
      <w:pPr>
        <w:pStyle w:val="BodyText"/>
        <w:tabs>
          <w:tab w:val="left" w:pos="4783"/>
        </w:tabs>
        <w:spacing w:line="276" w:lineRule="auto"/>
        <w:ind w:right="48"/>
        <w:rPr>
          <w:sz w:val="24"/>
          <w:szCs w:val="24"/>
          <w:lang w:val="en-US"/>
        </w:rPr>
      </w:pPr>
      <w:r w:rsidRPr="00AD7853">
        <w:rPr>
          <w:sz w:val="24"/>
          <w:szCs w:val="24"/>
          <w:lang w:val="en-US"/>
        </w:rPr>
        <w:t>Parashikon të drejtën e AIF për të pezulluar përkohësisht transaksione, kur ekziston dyshim i arsyeshëm për PP/FT.</w:t>
      </w:r>
    </w:p>
    <w:p w14:paraId="7B9228C5" w14:textId="784CB99B" w:rsidR="00AD7853" w:rsidRPr="00AD7853" w:rsidRDefault="00AD7853" w:rsidP="00E83544">
      <w:pPr>
        <w:pStyle w:val="BodyText"/>
        <w:tabs>
          <w:tab w:val="left" w:pos="4783"/>
        </w:tabs>
        <w:spacing w:line="276" w:lineRule="auto"/>
        <w:ind w:right="48"/>
        <w:rPr>
          <w:b/>
          <w:bCs/>
          <w:sz w:val="24"/>
          <w:szCs w:val="24"/>
          <w:lang w:val="en-US"/>
        </w:rPr>
      </w:pPr>
      <w:r w:rsidRPr="00AD7853">
        <w:rPr>
          <w:b/>
          <w:bCs/>
          <w:sz w:val="24"/>
          <w:szCs w:val="24"/>
          <w:lang w:val="en-US"/>
        </w:rPr>
        <w:t>Neni 21 – Komunikimi me organet ligjzbatuese</w:t>
      </w:r>
    </w:p>
    <w:p w14:paraId="31331770" w14:textId="77777777" w:rsidR="00AD7853" w:rsidRPr="00AD7853" w:rsidRDefault="00AD7853" w:rsidP="00E83544">
      <w:pPr>
        <w:pStyle w:val="BodyText"/>
        <w:tabs>
          <w:tab w:val="left" w:pos="4783"/>
        </w:tabs>
        <w:spacing w:line="276" w:lineRule="auto"/>
        <w:ind w:right="48"/>
        <w:rPr>
          <w:sz w:val="24"/>
          <w:szCs w:val="24"/>
          <w:lang w:val="en-US"/>
        </w:rPr>
      </w:pPr>
      <w:r w:rsidRPr="00AD7853">
        <w:rPr>
          <w:sz w:val="24"/>
          <w:szCs w:val="24"/>
          <w:lang w:val="en-US"/>
        </w:rPr>
        <w:t>Rregullon përcjelljen e rasteve për hetim penal dhe bashkëpunimin procedural me prokurorinë.</w:t>
      </w:r>
    </w:p>
    <w:p w14:paraId="1016F6A3" w14:textId="77777777" w:rsidR="00AD7853" w:rsidRPr="00AD7853" w:rsidRDefault="00AD7853" w:rsidP="00E83544">
      <w:pPr>
        <w:pStyle w:val="BodyText"/>
        <w:tabs>
          <w:tab w:val="left" w:pos="4783"/>
        </w:tabs>
        <w:spacing w:line="276" w:lineRule="auto"/>
        <w:ind w:right="48"/>
        <w:rPr>
          <w:b/>
          <w:bCs/>
          <w:sz w:val="24"/>
          <w:szCs w:val="24"/>
          <w:lang w:val="en-US"/>
        </w:rPr>
      </w:pPr>
      <w:r w:rsidRPr="00AD7853">
        <w:rPr>
          <w:b/>
          <w:bCs/>
          <w:sz w:val="24"/>
          <w:szCs w:val="24"/>
          <w:lang w:val="en-US"/>
        </w:rPr>
        <w:t>Neni 22 – Njoftime paralajmëruese</w:t>
      </w:r>
    </w:p>
    <w:p w14:paraId="5C00819D" w14:textId="77777777" w:rsidR="00AD7853" w:rsidRPr="00AD7853" w:rsidRDefault="00AD7853" w:rsidP="00E83544">
      <w:pPr>
        <w:pStyle w:val="BodyText"/>
        <w:tabs>
          <w:tab w:val="left" w:pos="4783"/>
        </w:tabs>
        <w:spacing w:line="276" w:lineRule="auto"/>
        <w:ind w:right="48"/>
        <w:rPr>
          <w:sz w:val="24"/>
          <w:szCs w:val="24"/>
          <w:lang w:val="en-US"/>
        </w:rPr>
      </w:pPr>
      <w:r w:rsidRPr="00AD7853">
        <w:rPr>
          <w:sz w:val="24"/>
          <w:szCs w:val="24"/>
          <w:lang w:val="en-US"/>
        </w:rPr>
        <w:t xml:space="preserve">I jep AIF kompetencë të lëshojë njoftime paralajmëruese për subjekte të detyruara mbi tipologji, persona ose zona me rrezik të lartë; vlefshmëria maksimale 6 muaj </w:t>
      </w:r>
    </w:p>
    <w:p w14:paraId="3DAD34F7" w14:textId="77777777" w:rsidR="00AD7853" w:rsidRPr="00AD7853" w:rsidRDefault="00AD7853" w:rsidP="00E83544">
      <w:pPr>
        <w:pStyle w:val="BodyText"/>
        <w:tabs>
          <w:tab w:val="left" w:pos="4783"/>
        </w:tabs>
        <w:spacing w:line="276" w:lineRule="auto"/>
        <w:ind w:right="48"/>
        <w:rPr>
          <w:b/>
          <w:bCs/>
          <w:sz w:val="24"/>
          <w:szCs w:val="24"/>
          <w:lang w:val="en-US"/>
        </w:rPr>
      </w:pPr>
      <w:r w:rsidRPr="00AD7853">
        <w:rPr>
          <w:b/>
          <w:bCs/>
          <w:sz w:val="24"/>
          <w:szCs w:val="24"/>
          <w:lang w:val="en-US"/>
        </w:rPr>
        <w:t>Neni 23 – Raporti vjetor i AIF</w:t>
      </w:r>
    </w:p>
    <w:p w14:paraId="38D5C398" w14:textId="77777777" w:rsidR="00AD7853" w:rsidRPr="00AD7853" w:rsidRDefault="00AD7853" w:rsidP="00E83544">
      <w:pPr>
        <w:pStyle w:val="BodyText"/>
        <w:tabs>
          <w:tab w:val="left" w:pos="4783"/>
        </w:tabs>
        <w:spacing w:line="276" w:lineRule="auto"/>
        <w:ind w:right="48"/>
        <w:rPr>
          <w:sz w:val="24"/>
          <w:szCs w:val="24"/>
          <w:lang w:val="en-US"/>
        </w:rPr>
      </w:pPr>
      <w:r w:rsidRPr="00AD7853">
        <w:rPr>
          <w:sz w:val="24"/>
          <w:szCs w:val="24"/>
          <w:lang w:val="en-US"/>
        </w:rPr>
        <w:t xml:space="preserve">Detyron publikimin brenda tremujorit të parë të çdo viti të raportit publik vjetor me të dhëna statistikore mbi veprimtarinë </w:t>
      </w:r>
    </w:p>
    <w:p w14:paraId="76E02FF5" w14:textId="77777777" w:rsidR="002C3AF6" w:rsidRDefault="002C3AF6" w:rsidP="00E83544">
      <w:pPr>
        <w:pStyle w:val="BodyText"/>
        <w:tabs>
          <w:tab w:val="left" w:pos="4783"/>
        </w:tabs>
        <w:spacing w:line="276" w:lineRule="auto"/>
        <w:ind w:right="48"/>
        <w:rPr>
          <w:b/>
          <w:bCs/>
          <w:sz w:val="24"/>
          <w:szCs w:val="24"/>
          <w:lang w:val="en-US"/>
        </w:rPr>
      </w:pPr>
    </w:p>
    <w:p w14:paraId="6275531A" w14:textId="327969E4"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SEKSIONI – SANKSIONET FINANCIARE DHE POLITIKAT NDAJ VENDEVE TË TRETA</w:t>
      </w:r>
    </w:p>
    <w:p w14:paraId="4A0207C7" w14:textId="77777777"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Neni 24 – (Zbatimi i masave shtrënguese financiare)</w:t>
      </w:r>
    </w:p>
    <w:p w14:paraId="4AF13662" w14:textId="77777777" w:rsidR="00C04806" w:rsidRPr="00C04806" w:rsidRDefault="00C04806" w:rsidP="00E83544">
      <w:pPr>
        <w:pStyle w:val="BodyText"/>
        <w:tabs>
          <w:tab w:val="left" w:pos="4783"/>
        </w:tabs>
        <w:spacing w:line="276" w:lineRule="auto"/>
        <w:ind w:right="48"/>
        <w:rPr>
          <w:sz w:val="24"/>
          <w:szCs w:val="24"/>
          <w:lang w:val="en-US"/>
        </w:rPr>
      </w:pPr>
      <w:r w:rsidRPr="00C04806">
        <w:rPr>
          <w:sz w:val="24"/>
          <w:szCs w:val="24"/>
          <w:lang w:val="en-US"/>
        </w:rPr>
        <w:t>Rregullon detyrimet e subjekteve për zbatimin e sanksioneve ndërkombëtare.</w:t>
      </w:r>
    </w:p>
    <w:p w14:paraId="22C02652" w14:textId="77777777"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Neni 25 – (Procedura e zbatimit të sanksioneve)</w:t>
      </w:r>
    </w:p>
    <w:p w14:paraId="408ACDAA" w14:textId="77777777" w:rsidR="00C04806" w:rsidRPr="00C04806" w:rsidRDefault="00C04806" w:rsidP="00E83544">
      <w:pPr>
        <w:pStyle w:val="BodyText"/>
        <w:tabs>
          <w:tab w:val="left" w:pos="4783"/>
        </w:tabs>
        <w:spacing w:line="276" w:lineRule="auto"/>
        <w:ind w:right="48"/>
        <w:rPr>
          <w:sz w:val="24"/>
          <w:szCs w:val="24"/>
          <w:lang w:val="en-US"/>
        </w:rPr>
      </w:pPr>
      <w:r w:rsidRPr="00C04806">
        <w:rPr>
          <w:sz w:val="24"/>
          <w:szCs w:val="24"/>
          <w:lang w:val="en-US"/>
        </w:rPr>
        <w:t>Specifikon mekanizmin e ngrirjes dhe raportimit të fondeve.</w:t>
      </w:r>
    </w:p>
    <w:p w14:paraId="2800BD3D" w14:textId="77777777"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Neni 26 – Masa të përkohshme për klientët subjekt sanksionesh OKB</w:t>
      </w:r>
    </w:p>
    <w:p w14:paraId="68078905" w14:textId="1603D2DD" w:rsidR="00C04806" w:rsidRPr="00C04806" w:rsidRDefault="00C04806" w:rsidP="00E83544">
      <w:pPr>
        <w:pStyle w:val="BodyText"/>
        <w:tabs>
          <w:tab w:val="left" w:pos="4783"/>
        </w:tabs>
        <w:spacing w:line="276" w:lineRule="auto"/>
        <w:ind w:right="48"/>
        <w:rPr>
          <w:sz w:val="24"/>
          <w:szCs w:val="24"/>
          <w:lang w:val="en-US"/>
        </w:rPr>
      </w:pPr>
      <w:r w:rsidRPr="00C04806">
        <w:rPr>
          <w:sz w:val="24"/>
          <w:szCs w:val="24"/>
          <w:lang w:val="en-US"/>
        </w:rPr>
        <w:t xml:space="preserve">Detyron subjektet të ruajnë të dhëna për fondet dhe transaksionet e klientëve të listuar deri në zbatimin e plotë të </w:t>
      </w:r>
      <w:proofErr w:type="gramStart"/>
      <w:r w:rsidRPr="00C04806">
        <w:rPr>
          <w:sz w:val="24"/>
          <w:szCs w:val="24"/>
          <w:lang w:val="en-US"/>
        </w:rPr>
        <w:t>sanksioneve .</w:t>
      </w:r>
      <w:proofErr w:type="gramEnd"/>
    </w:p>
    <w:p w14:paraId="04206FF8" w14:textId="77777777"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Neni 27 – Vendet e treta me rrezik të lartë</w:t>
      </w:r>
    </w:p>
    <w:p w14:paraId="24FE594B" w14:textId="77777777" w:rsidR="00C04806" w:rsidRDefault="00C04806" w:rsidP="00E83544">
      <w:pPr>
        <w:pStyle w:val="BodyText"/>
        <w:tabs>
          <w:tab w:val="left" w:pos="4783"/>
        </w:tabs>
        <w:spacing w:line="276" w:lineRule="auto"/>
        <w:ind w:right="48"/>
        <w:rPr>
          <w:sz w:val="24"/>
          <w:szCs w:val="24"/>
          <w:lang w:val="en-US"/>
        </w:rPr>
      </w:pPr>
      <w:r w:rsidRPr="00C04806">
        <w:rPr>
          <w:sz w:val="24"/>
          <w:szCs w:val="24"/>
          <w:lang w:val="en-US"/>
        </w:rPr>
        <w:t xml:space="preserve">Përcakton detyrimin për vigjilencë të zgjeruar ndaj vendeve të identifikuara nga BE si me mangësi strategjike </w:t>
      </w:r>
    </w:p>
    <w:p w14:paraId="68F98417" w14:textId="10BC5B11" w:rsidR="00C04806" w:rsidRPr="00C04806" w:rsidRDefault="00C04806" w:rsidP="00E83544">
      <w:pPr>
        <w:pStyle w:val="BodyText"/>
        <w:tabs>
          <w:tab w:val="left" w:pos="4783"/>
        </w:tabs>
        <w:spacing w:line="276" w:lineRule="auto"/>
        <w:ind w:right="48"/>
        <w:rPr>
          <w:sz w:val="24"/>
          <w:szCs w:val="24"/>
          <w:lang w:val="en-US"/>
        </w:rPr>
      </w:pPr>
      <w:r w:rsidRPr="00C04806">
        <w:rPr>
          <w:b/>
          <w:bCs/>
          <w:sz w:val="24"/>
          <w:szCs w:val="24"/>
          <w:lang w:val="en-US"/>
        </w:rPr>
        <w:t>Neni 28 – Pika qendrore e kontaktit</w:t>
      </w:r>
    </w:p>
    <w:p w14:paraId="127F6775" w14:textId="12441530" w:rsidR="00C04806" w:rsidRDefault="00C04806" w:rsidP="00E83544">
      <w:pPr>
        <w:pStyle w:val="BodyText"/>
        <w:tabs>
          <w:tab w:val="left" w:pos="4783"/>
        </w:tabs>
        <w:spacing w:line="276" w:lineRule="auto"/>
        <w:ind w:right="48"/>
        <w:rPr>
          <w:sz w:val="24"/>
          <w:szCs w:val="24"/>
          <w:lang w:val="en-US"/>
        </w:rPr>
      </w:pPr>
      <w:r w:rsidRPr="00C04806">
        <w:rPr>
          <w:sz w:val="24"/>
          <w:szCs w:val="24"/>
          <w:lang w:val="en-US"/>
        </w:rPr>
        <w:t>Parashikon detyrimin për caktimin e pikës qendrore të kontaktit për subjektet që operojnë ndërkufitarisht.</w:t>
      </w:r>
    </w:p>
    <w:p w14:paraId="58ED9ABE" w14:textId="77777777" w:rsidR="00C04806" w:rsidRPr="00C04806" w:rsidRDefault="00C04806" w:rsidP="00E83544">
      <w:pPr>
        <w:pStyle w:val="BodyText"/>
        <w:tabs>
          <w:tab w:val="left" w:pos="4783"/>
        </w:tabs>
        <w:spacing w:line="276" w:lineRule="auto"/>
        <w:ind w:right="48"/>
        <w:rPr>
          <w:sz w:val="24"/>
          <w:szCs w:val="24"/>
          <w:lang w:val="en-US"/>
        </w:rPr>
      </w:pPr>
    </w:p>
    <w:p w14:paraId="3CB0AE66" w14:textId="77777777"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KREU VI – SANKSIONET DHE MONITORIMI</w:t>
      </w:r>
    </w:p>
    <w:p w14:paraId="611F500D" w14:textId="77777777"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Neni 29 – Dispozita specifike</w:t>
      </w:r>
    </w:p>
    <w:p w14:paraId="34CEE826" w14:textId="403D7134" w:rsidR="00C04806" w:rsidRPr="00C04806" w:rsidRDefault="00C04806" w:rsidP="00E83544">
      <w:pPr>
        <w:pStyle w:val="BodyText"/>
        <w:tabs>
          <w:tab w:val="left" w:pos="4783"/>
        </w:tabs>
        <w:spacing w:line="276" w:lineRule="auto"/>
        <w:ind w:right="48"/>
        <w:rPr>
          <w:sz w:val="24"/>
          <w:szCs w:val="24"/>
          <w:lang w:val="en-US"/>
        </w:rPr>
      </w:pPr>
      <w:r w:rsidRPr="00C04806">
        <w:rPr>
          <w:sz w:val="24"/>
          <w:szCs w:val="24"/>
          <w:lang w:val="en-US"/>
        </w:rPr>
        <w:t>Parashikon vendosjen e sanksioneve administrative efektive, proporcionale dhe parandaluese për shkeljet.</w:t>
      </w:r>
    </w:p>
    <w:p w14:paraId="00ACBF1E" w14:textId="77777777"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Neni 30 – Pëlqimi për shpërndarje të mëtejshme</w:t>
      </w:r>
    </w:p>
    <w:p w14:paraId="043779E2" w14:textId="2009A952" w:rsidR="00C04806" w:rsidRPr="00C04806" w:rsidRDefault="00C04806" w:rsidP="00E83544">
      <w:pPr>
        <w:pStyle w:val="BodyText"/>
        <w:tabs>
          <w:tab w:val="left" w:pos="4783"/>
        </w:tabs>
        <w:spacing w:line="276" w:lineRule="auto"/>
        <w:ind w:right="48"/>
        <w:rPr>
          <w:sz w:val="24"/>
          <w:szCs w:val="24"/>
          <w:lang w:val="en-US"/>
        </w:rPr>
      </w:pPr>
      <w:r w:rsidRPr="00C04806">
        <w:rPr>
          <w:sz w:val="24"/>
          <w:szCs w:val="24"/>
          <w:lang w:val="en-US"/>
        </w:rPr>
        <w:t>Vendos rregulla për përdorimin dhe shpërndarjen e informacionit të shkëmbyer ndërmjet FIU-ve; kërkon pëlqim paraprak, me përjashtime të përcaktuara.</w:t>
      </w:r>
    </w:p>
    <w:p w14:paraId="5F4B8441" w14:textId="77777777"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Neni 31 – Efekti i dispozitave të së drejtës penale</w:t>
      </w:r>
    </w:p>
    <w:p w14:paraId="63C52839" w14:textId="1DA4F863" w:rsidR="00C04806" w:rsidRDefault="00C04806" w:rsidP="00E83544">
      <w:pPr>
        <w:pStyle w:val="BodyText"/>
        <w:tabs>
          <w:tab w:val="left" w:pos="4783"/>
        </w:tabs>
        <w:spacing w:line="276" w:lineRule="auto"/>
        <w:ind w:right="48"/>
        <w:rPr>
          <w:sz w:val="24"/>
          <w:szCs w:val="24"/>
          <w:lang w:val="en-US"/>
        </w:rPr>
      </w:pPr>
      <w:r w:rsidRPr="00C04806">
        <w:rPr>
          <w:sz w:val="24"/>
          <w:szCs w:val="24"/>
          <w:lang w:val="en-US"/>
        </w:rPr>
        <w:t>Përcakton që dallimet në përkufizimet e veprave penale bazë nuk kufizojnë bashkëpunimin ndërmjet FIU-</w:t>
      </w:r>
      <w:proofErr w:type="gramStart"/>
      <w:r w:rsidRPr="00C04806">
        <w:rPr>
          <w:sz w:val="24"/>
          <w:szCs w:val="24"/>
          <w:lang w:val="en-US"/>
        </w:rPr>
        <w:t xml:space="preserve">ve </w:t>
      </w:r>
      <w:r>
        <w:rPr>
          <w:sz w:val="24"/>
          <w:szCs w:val="24"/>
          <w:lang w:val="en-US"/>
        </w:rPr>
        <w:t>.</w:t>
      </w:r>
      <w:proofErr w:type="gramEnd"/>
    </w:p>
    <w:p w14:paraId="7F2E64D3" w14:textId="0AEDE70A" w:rsidR="00C04806" w:rsidRPr="00C04806" w:rsidRDefault="00C04806" w:rsidP="00E83544">
      <w:pPr>
        <w:pStyle w:val="BodyText"/>
        <w:tabs>
          <w:tab w:val="left" w:pos="4783"/>
        </w:tabs>
        <w:spacing w:line="276" w:lineRule="auto"/>
        <w:ind w:right="48"/>
        <w:rPr>
          <w:sz w:val="24"/>
          <w:szCs w:val="24"/>
          <w:lang w:val="en-US"/>
        </w:rPr>
      </w:pPr>
      <w:r w:rsidRPr="00C04806">
        <w:rPr>
          <w:b/>
          <w:bCs/>
          <w:sz w:val="24"/>
          <w:szCs w:val="24"/>
          <w:lang w:val="en-US"/>
        </w:rPr>
        <w:t>Neni 32 – Konfidencialiteti i raportimit</w:t>
      </w:r>
    </w:p>
    <w:p w14:paraId="6E088189" w14:textId="45FED54D" w:rsidR="00C04806" w:rsidRPr="00C04806" w:rsidRDefault="00C04806" w:rsidP="00E83544">
      <w:pPr>
        <w:pStyle w:val="BodyText"/>
        <w:tabs>
          <w:tab w:val="left" w:pos="4783"/>
        </w:tabs>
        <w:spacing w:line="276" w:lineRule="auto"/>
        <w:ind w:right="48"/>
        <w:rPr>
          <w:sz w:val="24"/>
          <w:szCs w:val="24"/>
          <w:lang w:val="en-US"/>
        </w:rPr>
      </w:pPr>
      <w:r w:rsidRPr="00C04806">
        <w:rPr>
          <w:sz w:val="24"/>
          <w:szCs w:val="24"/>
          <w:lang w:val="en-US"/>
        </w:rPr>
        <w:lastRenderedPageBreak/>
        <w:t>Garantohet mbrojtja e identitetit të raportuesve dhe ndalohet zbulimi i burimit të raportimit.</w:t>
      </w:r>
    </w:p>
    <w:p w14:paraId="575E6379" w14:textId="3818F258"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Neni 33 – Ruajtja e informacionit</w:t>
      </w:r>
    </w:p>
    <w:p w14:paraId="5B72E24C" w14:textId="53B0BA5F" w:rsidR="00C04806" w:rsidRPr="00C04806" w:rsidRDefault="00C04806" w:rsidP="00E83544">
      <w:pPr>
        <w:pStyle w:val="BodyText"/>
        <w:tabs>
          <w:tab w:val="left" w:pos="4783"/>
        </w:tabs>
        <w:spacing w:line="276" w:lineRule="auto"/>
        <w:ind w:right="48"/>
        <w:rPr>
          <w:sz w:val="24"/>
          <w:szCs w:val="24"/>
          <w:lang w:val="en-US"/>
        </w:rPr>
      </w:pPr>
      <w:r w:rsidRPr="00C04806">
        <w:rPr>
          <w:sz w:val="24"/>
          <w:szCs w:val="24"/>
          <w:lang w:val="en-US"/>
        </w:rPr>
        <w:t>Vendos afatin maksimal të ruajtjes së të dhënave (deri 5 vjet shtesë pas periudhës fillestare), në përputhje me proporcionalitetin.</w:t>
      </w:r>
    </w:p>
    <w:p w14:paraId="616069CE" w14:textId="7E56B35E"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Neni 34 – Bashkëpunimi ndërmjet autoriteteve</w:t>
      </w:r>
    </w:p>
    <w:p w14:paraId="21328A87" w14:textId="6F070DD4" w:rsidR="00C04806" w:rsidRPr="00C04806" w:rsidRDefault="00C04806" w:rsidP="00E83544">
      <w:pPr>
        <w:pStyle w:val="BodyText"/>
        <w:tabs>
          <w:tab w:val="left" w:pos="4783"/>
        </w:tabs>
        <w:spacing w:line="276" w:lineRule="auto"/>
        <w:ind w:right="48"/>
        <w:rPr>
          <w:sz w:val="24"/>
          <w:szCs w:val="24"/>
          <w:lang w:val="en-US"/>
        </w:rPr>
      </w:pPr>
      <w:r w:rsidRPr="00C04806">
        <w:rPr>
          <w:sz w:val="24"/>
          <w:szCs w:val="24"/>
          <w:lang w:val="en-US"/>
        </w:rPr>
        <w:t>Rregullon shkëmbimin e informacionit në përputhje me legjislacionin për PP/FT dhe mbrojtjen e të dhënave.</w:t>
      </w:r>
    </w:p>
    <w:p w14:paraId="2AF91611" w14:textId="77777777"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Neni 35 – (Mekanizmi i bashkërendimit)</w:t>
      </w:r>
    </w:p>
    <w:p w14:paraId="0FA0A535" w14:textId="332382D1" w:rsidR="00C04806" w:rsidRPr="00C04806" w:rsidRDefault="00C04806" w:rsidP="00E83544">
      <w:pPr>
        <w:pStyle w:val="BodyText"/>
        <w:tabs>
          <w:tab w:val="left" w:pos="4783"/>
        </w:tabs>
        <w:spacing w:line="276" w:lineRule="auto"/>
        <w:ind w:right="48"/>
        <w:rPr>
          <w:sz w:val="24"/>
          <w:szCs w:val="24"/>
          <w:lang w:val="en-US"/>
        </w:rPr>
      </w:pPr>
      <w:r w:rsidRPr="00C04806">
        <w:rPr>
          <w:sz w:val="24"/>
          <w:szCs w:val="24"/>
          <w:lang w:val="en-US"/>
        </w:rPr>
        <w:t>Parashikon mekanizmin koordinues ndërmjet autoriteteve mbikëqyrëse.</w:t>
      </w:r>
    </w:p>
    <w:p w14:paraId="20EE8F96" w14:textId="77777777"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Neni 36 – (Kompetencat mbikëqyrëse)</w:t>
      </w:r>
    </w:p>
    <w:p w14:paraId="7E7F8FB2" w14:textId="630E71E9" w:rsidR="00C04806" w:rsidRPr="00C04806" w:rsidRDefault="00C04806" w:rsidP="00E83544">
      <w:pPr>
        <w:pStyle w:val="BodyText"/>
        <w:tabs>
          <w:tab w:val="left" w:pos="4783"/>
        </w:tabs>
        <w:spacing w:line="276" w:lineRule="auto"/>
        <w:ind w:right="48"/>
        <w:rPr>
          <w:sz w:val="24"/>
          <w:szCs w:val="24"/>
          <w:lang w:val="en-US"/>
        </w:rPr>
      </w:pPr>
      <w:r w:rsidRPr="00C04806">
        <w:rPr>
          <w:sz w:val="24"/>
          <w:szCs w:val="24"/>
          <w:lang w:val="en-US"/>
        </w:rPr>
        <w:t>Specifikon rolin e autoriteteve mbikëqyrëse dhe, pas aderimit në BE, rolin e AMLA.</w:t>
      </w:r>
    </w:p>
    <w:p w14:paraId="7EB8ACFA" w14:textId="77777777"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Neni 37 – Përputhshmëria me legjislacionin AML</w:t>
      </w:r>
    </w:p>
    <w:p w14:paraId="56625212" w14:textId="53213F07" w:rsidR="00C04806" w:rsidRPr="00C04806" w:rsidRDefault="00C04806" w:rsidP="00E83544">
      <w:pPr>
        <w:pStyle w:val="BodyText"/>
        <w:tabs>
          <w:tab w:val="left" w:pos="4783"/>
        </w:tabs>
        <w:spacing w:line="276" w:lineRule="auto"/>
        <w:ind w:right="48"/>
        <w:rPr>
          <w:sz w:val="24"/>
          <w:szCs w:val="24"/>
          <w:lang w:val="en-US"/>
        </w:rPr>
      </w:pPr>
      <w:r w:rsidRPr="00C04806">
        <w:rPr>
          <w:sz w:val="24"/>
          <w:szCs w:val="24"/>
          <w:lang w:val="en-US"/>
        </w:rPr>
        <w:t>Siguron zbatim harmonik me legjislacionin ekzistues dhe nxjerrjen e akteve nënligjore.</w:t>
      </w:r>
    </w:p>
    <w:p w14:paraId="14F368D0" w14:textId="77777777"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Neni 38 – Dispozita kalimtare</w:t>
      </w:r>
    </w:p>
    <w:p w14:paraId="5908B918" w14:textId="4FC45377" w:rsidR="00C04806" w:rsidRPr="00C04806" w:rsidRDefault="00C04806" w:rsidP="00E83544">
      <w:pPr>
        <w:pStyle w:val="BodyText"/>
        <w:tabs>
          <w:tab w:val="left" w:pos="4783"/>
        </w:tabs>
        <w:spacing w:line="276" w:lineRule="auto"/>
        <w:ind w:right="48"/>
        <w:rPr>
          <w:sz w:val="24"/>
          <w:szCs w:val="24"/>
          <w:lang w:val="en-US"/>
        </w:rPr>
      </w:pPr>
      <w:r w:rsidRPr="00C04806">
        <w:rPr>
          <w:sz w:val="24"/>
          <w:szCs w:val="24"/>
          <w:lang w:val="en-US"/>
        </w:rPr>
        <w:t>Parashikon afatin 6-mujor për aktet nënligjore dhe shfuqizimin e pjesës përkatëse me anëtarësimin në BE</w:t>
      </w:r>
      <w:r>
        <w:rPr>
          <w:sz w:val="24"/>
          <w:szCs w:val="24"/>
          <w:lang w:val="en-US"/>
        </w:rPr>
        <w:t>.</w:t>
      </w:r>
    </w:p>
    <w:p w14:paraId="15EDCFAA" w14:textId="77777777"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Neni 39 – Dispozita për PEP</w:t>
      </w:r>
    </w:p>
    <w:p w14:paraId="041E5D73" w14:textId="3015E127" w:rsidR="00C04806" w:rsidRPr="00C04806" w:rsidRDefault="00C04806" w:rsidP="00E83544">
      <w:pPr>
        <w:pStyle w:val="BodyText"/>
        <w:tabs>
          <w:tab w:val="left" w:pos="4783"/>
        </w:tabs>
        <w:spacing w:line="276" w:lineRule="auto"/>
        <w:ind w:right="48"/>
        <w:rPr>
          <w:sz w:val="24"/>
          <w:szCs w:val="24"/>
          <w:lang w:val="en-US"/>
        </w:rPr>
      </w:pPr>
      <w:r w:rsidRPr="00C04806">
        <w:rPr>
          <w:sz w:val="24"/>
          <w:szCs w:val="24"/>
          <w:lang w:val="en-US"/>
        </w:rPr>
        <w:t>Vendos masa të shtuara për persona të ekspozuar politikisht dhe nxjerrjen e udhëzimeve nga ministri i financave.</w:t>
      </w:r>
    </w:p>
    <w:p w14:paraId="1BF3C1B2" w14:textId="77777777"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Neni 40 – Lista e funksioneve publike</w:t>
      </w:r>
    </w:p>
    <w:p w14:paraId="5305167E" w14:textId="09945612" w:rsidR="00C04806" w:rsidRPr="00C04806" w:rsidRDefault="00C04806" w:rsidP="00E83544">
      <w:pPr>
        <w:pStyle w:val="BodyText"/>
        <w:tabs>
          <w:tab w:val="left" w:pos="4783"/>
        </w:tabs>
        <w:spacing w:line="276" w:lineRule="auto"/>
        <w:ind w:right="48"/>
        <w:rPr>
          <w:sz w:val="24"/>
          <w:szCs w:val="24"/>
          <w:lang w:val="en-US"/>
        </w:rPr>
      </w:pPr>
      <w:r w:rsidRPr="00C04806">
        <w:rPr>
          <w:sz w:val="24"/>
          <w:szCs w:val="24"/>
          <w:lang w:val="en-US"/>
        </w:rPr>
        <w:t>Detyron ILDKPKI dhe organizatat ndërkombëtare të përditësojnë listat e funksioneve të rëndësishme publike.</w:t>
      </w:r>
    </w:p>
    <w:p w14:paraId="053CC322" w14:textId="77777777"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Neni 41 – PEP përfitues të policave</w:t>
      </w:r>
    </w:p>
    <w:p w14:paraId="5CA24D6B" w14:textId="6E2EDA0D" w:rsidR="00C04806" w:rsidRPr="00C04806" w:rsidRDefault="00C04806" w:rsidP="00E83544">
      <w:pPr>
        <w:pStyle w:val="BodyText"/>
        <w:tabs>
          <w:tab w:val="left" w:pos="4783"/>
        </w:tabs>
        <w:spacing w:line="276" w:lineRule="auto"/>
        <w:ind w:right="48"/>
        <w:rPr>
          <w:sz w:val="24"/>
          <w:szCs w:val="24"/>
          <w:lang w:val="en-US"/>
        </w:rPr>
      </w:pPr>
      <w:r w:rsidRPr="00C04806">
        <w:rPr>
          <w:sz w:val="24"/>
          <w:szCs w:val="24"/>
          <w:lang w:val="en-US"/>
        </w:rPr>
        <w:t>Parashikon masa për identifikimin e përfituesve PEP në sigurimet e jetës.</w:t>
      </w:r>
    </w:p>
    <w:p w14:paraId="5980DABC" w14:textId="77777777"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Nenet 42–44 – (Detyrime shtesë CDD dhe raportimi)</w:t>
      </w:r>
    </w:p>
    <w:p w14:paraId="3F544878" w14:textId="77777777" w:rsidR="00C04806" w:rsidRPr="00C04806" w:rsidRDefault="00C04806" w:rsidP="00E83544">
      <w:pPr>
        <w:pStyle w:val="BodyText"/>
        <w:tabs>
          <w:tab w:val="left" w:pos="4783"/>
        </w:tabs>
        <w:spacing w:line="276" w:lineRule="auto"/>
        <w:ind w:right="48"/>
        <w:rPr>
          <w:sz w:val="24"/>
          <w:szCs w:val="24"/>
          <w:lang w:val="en-US"/>
        </w:rPr>
      </w:pPr>
      <w:r w:rsidRPr="00C04806">
        <w:rPr>
          <w:sz w:val="24"/>
          <w:szCs w:val="24"/>
          <w:lang w:val="en-US"/>
        </w:rPr>
        <w:t>Rregullojnë masat e zgjeruara të vigjilencës dhe detyrimet e raportimit.</w:t>
      </w:r>
    </w:p>
    <w:p w14:paraId="1F6D0C32" w14:textId="77777777"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Neni 45 – Detyrimi për raportim nga autoritetet</w:t>
      </w:r>
    </w:p>
    <w:p w14:paraId="39839EB7" w14:textId="678616E5" w:rsidR="00C04806" w:rsidRPr="00C04806" w:rsidRDefault="00C04806" w:rsidP="00E83544">
      <w:pPr>
        <w:pStyle w:val="BodyText"/>
        <w:tabs>
          <w:tab w:val="left" w:pos="4783"/>
        </w:tabs>
        <w:spacing w:line="276" w:lineRule="auto"/>
        <w:ind w:right="48"/>
        <w:rPr>
          <w:sz w:val="24"/>
          <w:szCs w:val="24"/>
          <w:lang w:val="en-US"/>
        </w:rPr>
      </w:pPr>
      <w:r w:rsidRPr="00C04806">
        <w:rPr>
          <w:sz w:val="24"/>
          <w:szCs w:val="24"/>
          <w:lang w:val="en-US"/>
        </w:rPr>
        <w:t>Autoritetet mbikëqyrëse informojnë pa vonesë AIF për çdo dyshim për PP/FT.</w:t>
      </w:r>
    </w:p>
    <w:p w14:paraId="096C9B04" w14:textId="77777777" w:rsidR="00C04806" w:rsidRPr="00C04806" w:rsidRDefault="00C04806" w:rsidP="00E83544">
      <w:pPr>
        <w:pStyle w:val="BodyText"/>
        <w:tabs>
          <w:tab w:val="left" w:pos="4783"/>
        </w:tabs>
        <w:spacing w:line="276" w:lineRule="auto"/>
        <w:ind w:right="48"/>
        <w:rPr>
          <w:b/>
          <w:bCs/>
          <w:sz w:val="24"/>
          <w:szCs w:val="24"/>
          <w:lang w:val="en-US"/>
        </w:rPr>
      </w:pPr>
      <w:r w:rsidRPr="00C04806">
        <w:rPr>
          <w:b/>
          <w:bCs/>
          <w:sz w:val="24"/>
          <w:szCs w:val="24"/>
          <w:lang w:val="en-US"/>
        </w:rPr>
        <w:t>Neni 46 – Shkëmbimi i të dhënave me AIF</w:t>
      </w:r>
    </w:p>
    <w:p w14:paraId="26839556" w14:textId="77777777" w:rsidR="00C04806" w:rsidRPr="00C04806" w:rsidRDefault="00C04806" w:rsidP="00E83544">
      <w:pPr>
        <w:pStyle w:val="BodyText"/>
        <w:tabs>
          <w:tab w:val="left" w:pos="4783"/>
        </w:tabs>
        <w:spacing w:line="276" w:lineRule="auto"/>
        <w:ind w:right="48"/>
        <w:rPr>
          <w:sz w:val="24"/>
          <w:szCs w:val="24"/>
          <w:lang w:val="en-US"/>
        </w:rPr>
      </w:pPr>
      <w:r w:rsidRPr="00C04806">
        <w:rPr>
          <w:sz w:val="24"/>
          <w:szCs w:val="24"/>
          <w:lang w:val="en-US"/>
        </w:rPr>
        <w:t>Detyron komunikimin periodik të të dhënave nga autoritetet mbikëqyrëse</w:t>
      </w:r>
    </w:p>
    <w:p w14:paraId="1D411525"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47 – Parimet e përgjithshme të bashkëpunimit mbikëqyrës</w:t>
      </w:r>
    </w:p>
    <w:p w14:paraId="64D4DE91"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Vendos detyrimin për bashkëpunim maksimal ndërmjet autoriteteve mbikëqyrëse, pavarësisht statusit institucional. Bashkëpunimi përfshin kontrolle në emër të njëri-tjetrit, shkëmbim informacioni dhe lehtësim të veprimeve mbikëqyrëse.</w:t>
      </w:r>
    </w:p>
    <w:p w14:paraId="556B4E5F"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48 – Shkëmbimi i informacionit mbi veprimtaritë ndërkufitare</w:t>
      </w:r>
    </w:p>
    <w:p w14:paraId="10AA695B"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Rregullon detyrimin e autoritetit të shtetit të origjinës për të informuar autoritetin e shtetit pritës mbi veprimtaritë ndërkufitare të subjekteve të detyruara, përditësimet, shkëmbimin periodik (të paktën vjetor) të informacionit dhe njoftimin e menjëhershëm për fillimin e veprimtarisë.</w:t>
      </w:r>
    </w:p>
    <w:p w14:paraId="74988F8A"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49 – Bashkëpunimi në nivel grupi</w:t>
      </w:r>
    </w:p>
    <w:p w14:paraId="1BC785EA"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Disiplinon bashkëpunimin ndërmjet autoriteteve të shtetit të origjinës dhe pritës për mbikëqyrjen në nivel grupi. Parashikon shkëmbim të gjerë informacioni mbi strukturën, pronësinë përfituese, politikat AML/CFT, masat CDD dhe sanksionet. Rregullon rolin e AMLA-s në rast mosmarrëveshjesh dhe shtrirjen e dispozitave edhe në sektorin jo financiar.</w:t>
      </w:r>
    </w:p>
    <w:p w14:paraId="50692152"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lastRenderedPageBreak/>
        <w:t>Neni 50 – Bashkëpunimi për subjekte që veprojnë ndërkufitarisht (jo pjesë grupi)</w:t>
      </w:r>
    </w:p>
    <w:p w14:paraId="6C303348"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Përcakton detyrimin për bashkëpunim dhe shkëmbim informacioni ndërmjet autoriteteve kur subjektet ushtrojnë veprimtari në më shumë se një shtet. Parashikon koordinim në rast shkeljesh serioze dhe referim te AMLA në rast mosmarrëveshjesh.</w:t>
      </w:r>
    </w:p>
    <w:p w14:paraId="102C51F6"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51 – Politikat në nivel grupi në shtete të treta</w:t>
      </w:r>
    </w:p>
    <w:p w14:paraId="328B891B" w14:textId="4748421A"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Rregullon rastet kur legjislacioni i një vendi të tretë pengon zbatimin e politikave AML/CFT në nivel grupi. Autoritetet informojnë njëri-tjetrin dhe mund të ndërmarrin veprime të koordinuara.</w:t>
      </w:r>
    </w:p>
    <w:p w14:paraId="2E179DE9"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Kolegjet mbikëqyrëse</w:t>
      </w:r>
    </w:p>
    <w:p w14:paraId="5B11C9F6"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52 – Kolegjet në sektorin financiar</w:t>
      </w:r>
    </w:p>
    <w:p w14:paraId="547DC5CC"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Parashikon krijimin e kolegjeve mbikëqyrëse për grupe me prani ndërkufitare. Përcakton anëtarët, pjesëmarrjen e AMLA-s dhe autoriteteve të vendeve të treta si vëzhgues, marrëveshjen me shkrim dhe funksionet (koordinim, shkëmbim informacioni, masa të përbashkëta).</w:t>
      </w:r>
    </w:p>
    <w:p w14:paraId="7819FE5E"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53 – Kolegjet në sektorin jo financiar</w:t>
      </w:r>
    </w:p>
    <w:p w14:paraId="1840657F"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Rregullon krijimin e kolegjeve për subjekte/grupe në sektorin jo financiar. Parashikon procedurë iniciimi, pjesëmarrje të autoriteteve të BE-së, përfshirje të vendeve të treta dhe mekanizëm referimi në rast mosmarrëveshjeje.</w:t>
      </w:r>
    </w:p>
    <w:p w14:paraId="79826AA9"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54 – Bashkëpunimi me vende të treta</w:t>
      </w:r>
    </w:p>
    <w:p w14:paraId="1B42D812"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Autorizon lidhjen e marrëveshjeve bashkëpunimi me autoritete homologe të vendeve të treta mbi bazë reciprociteti, me garanci për sekret profesional dhe mbrojtje të të dhënave.</w:t>
      </w:r>
    </w:p>
    <w:p w14:paraId="6E67FBFC"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55 – Rregullimi i mëtejshëm i kolegjeve</w:t>
      </w:r>
    </w:p>
    <w:p w14:paraId="263ADD66"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Parashikon që modalitetet procedurale të kolegjeve rregullohen me legjislacion sektorial dhe akte nënligjore.</w:t>
      </w:r>
    </w:p>
    <w:p w14:paraId="3B4C466E"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56 – Zbatimi në kuadër të integrimit evropian</w:t>
      </w:r>
    </w:p>
    <w:p w14:paraId="67D18357" w14:textId="7A4D9F14"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Sanksionon se dispozitat për bashkëpunimin ndërkombëtar zbatohen sipas marrëveshjeve ndërkombëtare dhe, pas anëtarësimit, sipas acquis të BE.</w:t>
      </w:r>
    </w:p>
    <w:p w14:paraId="6BA899C3"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Organet vetërregulluese</w:t>
      </w:r>
    </w:p>
    <w:p w14:paraId="3E1FC307"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57 – Mbikëqyrja e organeve vetërregulluese</w:t>
      </w:r>
    </w:p>
    <w:p w14:paraId="36B1A495" w14:textId="4379C5A8"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Vendos mbikëqyrjen e organeve vetërregulluese nga një autoritet publik. Përcakton kompetenca kontrolli, udhëzimi, masa korrigjuese, raportim vjetor dhe detyrim për sekret profesional.</w:t>
      </w:r>
    </w:p>
    <w:p w14:paraId="5803CC02"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Gjobat dhe masat administrative</w:t>
      </w:r>
    </w:p>
    <w:p w14:paraId="24B64770"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58 – Dispozita të përgjithshme</w:t>
      </w:r>
    </w:p>
    <w:p w14:paraId="7FDF5DF0"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Vendos përgjegjësinë administrative për shkelje AML/CFT, parimet e proporcionalitetit, kriteret për përcaktimin e gjobës dhe përgjegjësinë e personit juridik.</w:t>
      </w:r>
    </w:p>
    <w:p w14:paraId="3723C09E"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59 – Përgjegjësia e personit juridik</w:t>
      </w:r>
    </w:p>
    <w:p w14:paraId="71A12DC2"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Përcakton përgjegjësinë e personit juridik për shkelje të kryera nga drejtues ose për shkak të mungesës së mbikëqyrjes.</w:t>
      </w:r>
    </w:p>
    <w:p w14:paraId="4F656CCD"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60 – Llojet e masave</w:t>
      </w:r>
    </w:p>
    <w:p w14:paraId="010BE219"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Liston kompetencat: konstatim shkeljesh, gjoba, paralajmërim, pezullim, revokim licence, etj.</w:t>
      </w:r>
    </w:p>
    <w:p w14:paraId="3FED8298"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61 – Koordinimi ndërinstitucional</w:t>
      </w:r>
    </w:p>
    <w:p w14:paraId="15B7CCD3"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Parashikon bashkëpunim dhe koordinim ndërmjet autoriteteve, veçanërisht në raste ndërkufitare.</w:t>
      </w:r>
    </w:p>
    <w:p w14:paraId="47398428"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lastRenderedPageBreak/>
        <w:t>Neni 62 – Masa ndaj degëve dhe ofrimit të shërbimeve</w:t>
      </w:r>
    </w:p>
    <w:p w14:paraId="048FD3A4"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Rregullon kompetencat e shtetit pritës për ndërhyrje ndaj degëve/subjekteve që operojnë në territor, përfshirë masa të përkohshme dhe referim në mekanizmat e BE.</w:t>
      </w:r>
    </w:p>
    <w:p w14:paraId="1CB6FDA4"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63 – Gjobat administrative</w:t>
      </w:r>
    </w:p>
    <w:p w14:paraId="332D45DC"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Përcakton kategoritë e shkeljeve dhe intervalet konkrete të gjobave (deri në 10% të qarkullimit ose ekuivalent euro për institucione financiare), kriteret e llogaritjes dhe procedurat.</w:t>
      </w:r>
    </w:p>
    <w:p w14:paraId="6ADDD51F"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64 – Masat administrative</w:t>
      </w:r>
    </w:p>
    <w:p w14:paraId="5B45FC0C"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Parashikon masa korrigjuese dhe kufizuese: urdhra, pezullim drejtuesish, kufizim veprimtarie, revokim autorizimi, etj.</w:t>
      </w:r>
    </w:p>
    <w:p w14:paraId="26E346E1"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65 – Gjobat periodike</w:t>
      </w:r>
    </w:p>
    <w:p w14:paraId="7822FC81"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Vendos gjoba ditore për moszbatim të masave administrative, me kufij maksimalë (3% qarkullim për juridikë, 2% të ardhura për fizikë).</w:t>
      </w:r>
    </w:p>
    <w:p w14:paraId="713DC7BD"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66 – Publikimi i sanksioneve</w:t>
      </w:r>
    </w:p>
    <w:p w14:paraId="6A2486A2"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Detyron publikimin e vendimeve për gjoba/masa, me rregulla për shtyrje, anonimizim dhe mbrojtje të stabilitetit financiar.</w:t>
      </w:r>
    </w:p>
    <w:p w14:paraId="164DE120"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67 – Kompetencat për vendosje/ekzekutim</w:t>
      </w:r>
    </w:p>
    <w:p w14:paraId="44C24E29"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Rregullon kompetencën dhe të drejtën e ankimit në gjykatë.</w:t>
      </w:r>
    </w:p>
    <w:p w14:paraId="6D3D43F2"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68 – Parashkrimi</w:t>
      </w:r>
    </w:p>
    <w:p w14:paraId="62649EF0"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Vendos afat 5-vjeçar për ndjekjen administrative, me ndërprerje nga akt formal.</w:t>
      </w:r>
    </w:p>
    <w:p w14:paraId="49323920"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69 – Shkëmbimi i informacionit mbi sanksionet</w:t>
      </w:r>
    </w:p>
    <w:p w14:paraId="21CE8150" w14:textId="7A45284A"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Detyron njoftimin e AMLA-s dhe autoriteteve të BE-së për gjobat dhe masat e vendosura.</w:t>
      </w:r>
    </w:p>
    <w:p w14:paraId="6A704EC0" w14:textId="77777777" w:rsidR="00B0667A" w:rsidRDefault="00B0667A" w:rsidP="00E83544">
      <w:pPr>
        <w:pStyle w:val="BodyText"/>
        <w:tabs>
          <w:tab w:val="left" w:pos="4783"/>
        </w:tabs>
        <w:spacing w:line="276" w:lineRule="auto"/>
        <w:ind w:right="48"/>
        <w:rPr>
          <w:b/>
          <w:bCs/>
          <w:sz w:val="24"/>
          <w:szCs w:val="24"/>
          <w:lang w:val="en-US"/>
        </w:rPr>
      </w:pPr>
    </w:p>
    <w:p w14:paraId="0A438C6B" w14:textId="18F0D6E2"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Raportimi i shkeljeve</w:t>
      </w:r>
    </w:p>
    <w:p w14:paraId="5C6E9ABE"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71 – Mekanizmat e sinjalizimit</w:t>
      </w:r>
    </w:p>
    <w:p w14:paraId="3F581C41" w14:textId="6E3CB315"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Zbaton ligjin për mbrojtjen e sinjalizuesve në fushën AML/CFT, krijon kanale raportimi dhe detyrim raportimi vjetor ndaj AMLA-s.</w:t>
      </w:r>
    </w:p>
    <w:p w14:paraId="3240C3D4"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Bashkëpunimi institucional</w:t>
      </w:r>
    </w:p>
    <w:p w14:paraId="79A56A2A"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72 – Komiteti i Bashkërendimit</w:t>
      </w:r>
    </w:p>
    <w:p w14:paraId="59E6B867"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Krijon organin politik-strategjik të koordinimit në nivel qeveritar për PPP/FT, me përbërje ndërinstitucionale.</w:t>
      </w:r>
    </w:p>
    <w:p w14:paraId="033D3E09"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73 – Shkëmbimi mbi pronësinë përfituese</w:t>
      </w:r>
    </w:p>
    <w:p w14:paraId="5F8180FC"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Detyron shkëmbim ndërkombëtar të informacionit mbi pronarët përfitues.</w:t>
      </w:r>
    </w:p>
    <w:p w14:paraId="063E39B7"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74 – Shkëmbimi ndërkufitar i AIF</w:t>
      </w:r>
    </w:p>
    <w:p w14:paraId="1C38D6C2"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Rregullon shkëmbimin e informacionit nga AIF me FIU homologe, me kufizime vetëm në raste të jashtëzakonshme.</w:t>
      </w:r>
    </w:p>
    <w:p w14:paraId="4B938992"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75 – Shkëmbimi nga autoritetet kompetente</w:t>
      </w:r>
    </w:p>
    <w:p w14:paraId="76118F9C"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Vendos parimin e mosrefuzimit të bashkëpunimit për arsye tatimore ose sekret profesional (me përjashtime ligjore).</w:t>
      </w:r>
    </w:p>
    <w:p w14:paraId="1ABF5141"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76 – Lista e autoriteteve</w:t>
      </w:r>
    </w:p>
    <w:p w14:paraId="389CEE93"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Detyron komunikimin e pikave të kontaktit për bashkëpunim ndërkombëtar.</w:t>
      </w:r>
    </w:p>
    <w:p w14:paraId="77794D93"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77 – Bashkëpunimi me AMLA</w:t>
      </w:r>
    </w:p>
    <w:p w14:paraId="6250A954" w14:textId="55BA9EEE"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Parashikon detyrimin për vënien në dispozicion të informacionit ndaj AMLA-s.</w:t>
      </w:r>
    </w:p>
    <w:p w14:paraId="1E5CD587"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Bashkëpunimi sektorial</w:t>
      </w:r>
    </w:p>
    <w:p w14:paraId="6A785D9A"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78 – Institucionet financiare</w:t>
      </w:r>
    </w:p>
    <w:p w14:paraId="26ABDAAD"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lastRenderedPageBreak/>
        <w:t>Vendos bashkëpunim ndërmjet autoriteteve financiare dhe AIF, me ruajtje të sekretit profesional.</w:t>
      </w:r>
    </w:p>
    <w:p w14:paraId="29F0F0BF"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79 – Dobësi në kontrollin e brendshëm</w:t>
      </w:r>
    </w:p>
    <w:p w14:paraId="1B509752"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Parashikon njoftim dhe koordinim me autoritetet prudenciale kur konstatohet rrezik i shtuar.</w:t>
      </w:r>
    </w:p>
    <w:p w14:paraId="7DC9E6A6"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80 – Refuzimi i marrëdhënies bankare</w:t>
      </w:r>
    </w:p>
    <w:p w14:paraId="45A2618B"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Rregullon rastet kur ndërprerja e marrëdhënies nuk justifikohet nga CDD.</w:t>
      </w:r>
    </w:p>
    <w:p w14:paraId="0184F96D"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81 – Audituesit</w:t>
      </w:r>
    </w:p>
    <w:p w14:paraId="65617B99"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Vendos bashkëpunim ndërmjet autoriteteve të auditimit dhe AIF.</w:t>
      </w:r>
    </w:p>
    <w:p w14:paraId="67CF94D7"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82 – Masat shtrënguese financiare</w:t>
      </w:r>
    </w:p>
    <w:p w14:paraId="218DF5DE"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Rregullon bashkëpunimin për zbatimin e sanksioneve.</w:t>
      </w:r>
    </w:p>
    <w:p w14:paraId="5E1DFF7E"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83 – Sekreti profesional</w:t>
      </w:r>
    </w:p>
    <w:p w14:paraId="3FDF674E"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Vendos detyrim të përgjithshëm për ruajtjen e sekretit dhe rregullon përjashtimet e lejuara për shkëmbim.</w:t>
      </w:r>
    </w:p>
    <w:p w14:paraId="788AEFB4"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84 – Shkëmbimi me autoritete të tjera</w:t>
      </w:r>
    </w:p>
    <w:p w14:paraId="6D701443" w14:textId="009F0D0A"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Lejon shkëmbim informacioni me autoritete kombëtare dhe parlamentare në kushte të caktuara.</w:t>
      </w:r>
    </w:p>
    <w:p w14:paraId="7FC62E8B"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Mbrojtja e të dhënave</w:t>
      </w:r>
    </w:p>
    <w:p w14:paraId="70F49363"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85 – Përpunimi i të dhënave sensitive</w:t>
      </w:r>
    </w:p>
    <w:p w14:paraId="71C737C5" w14:textId="77777777" w:rsidR="002C3AF6" w:rsidRPr="002C3AF6" w:rsidRDefault="002C3AF6" w:rsidP="00E83544">
      <w:pPr>
        <w:pStyle w:val="BodyText"/>
        <w:tabs>
          <w:tab w:val="left" w:pos="4783"/>
        </w:tabs>
        <w:spacing w:line="276" w:lineRule="auto"/>
        <w:ind w:right="48"/>
        <w:rPr>
          <w:sz w:val="24"/>
          <w:szCs w:val="24"/>
          <w:lang w:val="en-US"/>
        </w:rPr>
      </w:pPr>
      <w:r w:rsidRPr="002C3AF6">
        <w:rPr>
          <w:sz w:val="24"/>
          <w:szCs w:val="24"/>
          <w:lang w:val="en-US"/>
        </w:rPr>
        <w:t>Lejon përpunimin e kategorive të veçanta të të dhënave personale për qëllime AML/CFT, me masa të forta mbrojtëse.</w:t>
      </w:r>
    </w:p>
    <w:p w14:paraId="02B375AF" w14:textId="77777777" w:rsidR="002C3AF6" w:rsidRPr="002C3AF6" w:rsidRDefault="002C3AF6" w:rsidP="00E83544">
      <w:pPr>
        <w:pStyle w:val="BodyText"/>
        <w:tabs>
          <w:tab w:val="left" w:pos="4783"/>
        </w:tabs>
        <w:spacing w:line="276" w:lineRule="auto"/>
        <w:ind w:right="48"/>
        <w:rPr>
          <w:b/>
          <w:bCs/>
          <w:sz w:val="24"/>
          <w:szCs w:val="24"/>
          <w:lang w:val="en-US"/>
        </w:rPr>
      </w:pPr>
      <w:r w:rsidRPr="002C3AF6">
        <w:rPr>
          <w:b/>
          <w:bCs/>
          <w:sz w:val="24"/>
          <w:szCs w:val="24"/>
          <w:lang w:val="en-US"/>
        </w:rPr>
        <w:t>Neni 86 – Zbatimi i dispozitave të BE</w:t>
      </w:r>
    </w:p>
    <w:p w14:paraId="6481251E" w14:textId="0BECF739" w:rsidR="00590247" w:rsidRPr="00590247" w:rsidRDefault="002C3AF6" w:rsidP="00E83544">
      <w:pPr>
        <w:pStyle w:val="BodyText"/>
        <w:tabs>
          <w:tab w:val="left" w:pos="4783"/>
        </w:tabs>
        <w:spacing w:line="276" w:lineRule="auto"/>
        <w:ind w:right="48"/>
        <w:rPr>
          <w:sz w:val="24"/>
          <w:szCs w:val="24"/>
          <w:lang w:val="en-US"/>
        </w:rPr>
      </w:pPr>
      <w:r w:rsidRPr="002C3AF6">
        <w:rPr>
          <w:sz w:val="24"/>
          <w:szCs w:val="24"/>
          <w:lang w:val="en-US"/>
        </w:rPr>
        <w:t>Përcakton përparësinë e akteve të BE pas anëtarësimit dhe zbatimin e tyre të drejtpërdrejtë.</w:t>
      </w:r>
    </w:p>
    <w:p w14:paraId="146F6D54" w14:textId="77777777" w:rsidR="00590247" w:rsidRPr="00590247" w:rsidRDefault="00590247" w:rsidP="00E83544">
      <w:pPr>
        <w:widowControl/>
        <w:autoSpaceDE/>
        <w:autoSpaceDN/>
        <w:spacing w:line="276" w:lineRule="auto"/>
        <w:outlineLvl w:val="0"/>
        <w:rPr>
          <w:b/>
          <w:bCs/>
          <w:kern w:val="36"/>
          <w:sz w:val="24"/>
          <w:szCs w:val="24"/>
          <w:lang w:val="en-US"/>
        </w:rPr>
      </w:pPr>
      <w:r w:rsidRPr="00590247">
        <w:rPr>
          <w:b/>
          <w:bCs/>
          <w:kern w:val="36"/>
          <w:sz w:val="24"/>
          <w:szCs w:val="24"/>
          <w:lang w:val="en-US"/>
        </w:rPr>
        <w:t>PJESA II</w:t>
      </w:r>
    </w:p>
    <w:p w14:paraId="57A96AE0" w14:textId="27290124" w:rsidR="00590247" w:rsidRPr="00590247" w:rsidRDefault="00590247" w:rsidP="00E83544">
      <w:pPr>
        <w:widowControl/>
        <w:autoSpaceDE/>
        <w:autoSpaceDN/>
        <w:spacing w:line="276" w:lineRule="auto"/>
        <w:outlineLvl w:val="1"/>
        <w:rPr>
          <w:b/>
          <w:bCs/>
          <w:sz w:val="24"/>
          <w:szCs w:val="24"/>
          <w:lang w:val="en-US"/>
        </w:rPr>
      </w:pPr>
      <w:r w:rsidRPr="00590247">
        <w:rPr>
          <w:b/>
          <w:bCs/>
          <w:sz w:val="24"/>
          <w:szCs w:val="24"/>
          <w:lang w:val="en-US"/>
        </w:rPr>
        <w:t>Masat për zbatimin e Rregullores (BE) 1624/2024</w:t>
      </w:r>
    </w:p>
    <w:p w14:paraId="1975E5E0" w14:textId="77777777" w:rsidR="00590247" w:rsidRPr="00590247" w:rsidRDefault="00590247" w:rsidP="00E83544">
      <w:pPr>
        <w:widowControl/>
        <w:autoSpaceDE/>
        <w:autoSpaceDN/>
        <w:spacing w:line="276" w:lineRule="auto"/>
        <w:outlineLvl w:val="1"/>
        <w:rPr>
          <w:b/>
          <w:bCs/>
          <w:sz w:val="24"/>
          <w:szCs w:val="24"/>
          <w:lang w:val="en-US"/>
        </w:rPr>
      </w:pPr>
      <w:r w:rsidRPr="00590247">
        <w:rPr>
          <w:b/>
          <w:bCs/>
          <w:sz w:val="24"/>
          <w:szCs w:val="24"/>
          <w:lang w:val="en-US"/>
        </w:rPr>
        <w:t>KREU I – DISPOZITA TË PËRGJITHSHME</w:t>
      </w:r>
    </w:p>
    <w:p w14:paraId="5B007553" w14:textId="77777777" w:rsidR="00590247" w:rsidRPr="006E1886" w:rsidRDefault="00590247" w:rsidP="00E83544">
      <w:pPr>
        <w:widowControl/>
        <w:autoSpaceDE/>
        <w:autoSpaceDN/>
        <w:spacing w:line="276" w:lineRule="auto"/>
        <w:outlineLvl w:val="2"/>
        <w:rPr>
          <w:b/>
          <w:bCs/>
          <w:sz w:val="24"/>
          <w:szCs w:val="24"/>
          <w:lang w:val="en-US"/>
        </w:rPr>
      </w:pPr>
      <w:r w:rsidRPr="006E1886">
        <w:rPr>
          <w:b/>
          <w:bCs/>
          <w:sz w:val="24"/>
          <w:szCs w:val="24"/>
          <w:lang w:val="en-US"/>
        </w:rPr>
        <w:t>Neni 1 – Objekti</w:t>
      </w:r>
    </w:p>
    <w:p w14:paraId="3BA1DEC6" w14:textId="77777777" w:rsidR="00590247" w:rsidRPr="00590247" w:rsidRDefault="00590247" w:rsidP="00E83544">
      <w:pPr>
        <w:widowControl/>
        <w:autoSpaceDE/>
        <w:autoSpaceDN/>
        <w:spacing w:line="276" w:lineRule="auto"/>
        <w:rPr>
          <w:sz w:val="24"/>
          <w:szCs w:val="24"/>
          <w:lang w:val="en-US"/>
        </w:rPr>
      </w:pPr>
      <w:r w:rsidRPr="00590247">
        <w:rPr>
          <w:sz w:val="24"/>
          <w:szCs w:val="24"/>
          <w:lang w:val="en-US"/>
        </w:rPr>
        <w:t>Përcakton fushën materiale të Pjesës II, duke rregulluar:</w:t>
      </w:r>
    </w:p>
    <w:p w14:paraId="4BEC21CE" w14:textId="77777777" w:rsidR="00590247" w:rsidRPr="00590247" w:rsidRDefault="00590247" w:rsidP="004D5FC8">
      <w:pPr>
        <w:widowControl/>
        <w:numPr>
          <w:ilvl w:val="0"/>
          <w:numId w:val="3"/>
        </w:numPr>
        <w:tabs>
          <w:tab w:val="clear" w:pos="720"/>
          <w:tab w:val="left" w:pos="540"/>
          <w:tab w:val="num" w:pos="630"/>
        </w:tabs>
        <w:autoSpaceDE/>
        <w:autoSpaceDN/>
        <w:spacing w:line="276" w:lineRule="auto"/>
        <w:ind w:left="0" w:firstLine="0"/>
        <w:rPr>
          <w:sz w:val="24"/>
          <w:szCs w:val="24"/>
          <w:lang w:val="en-US"/>
        </w:rPr>
      </w:pPr>
      <w:r w:rsidRPr="00590247">
        <w:rPr>
          <w:sz w:val="24"/>
          <w:szCs w:val="24"/>
          <w:lang w:val="en-US"/>
        </w:rPr>
        <w:t>masat parandaluese ndaj pastrimit të parave, financimit të terrorizmit dhe përhapjes së armëve të dëmtimit në masë;</w:t>
      </w:r>
    </w:p>
    <w:p w14:paraId="3CD9A770" w14:textId="77777777" w:rsidR="00590247" w:rsidRPr="00590247" w:rsidRDefault="00590247" w:rsidP="004D5FC8">
      <w:pPr>
        <w:widowControl/>
        <w:numPr>
          <w:ilvl w:val="0"/>
          <w:numId w:val="3"/>
        </w:numPr>
        <w:tabs>
          <w:tab w:val="clear" w:pos="720"/>
          <w:tab w:val="left" w:pos="540"/>
          <w:tab w:val="num" w:pos="630"/>
        </w:tabs>
        <w:autoSpaceDE/>
        <w:autoSpaceDN/>
        <w:spacing w:line="276" w:lineRule="auto"/>
        <w:ind w:left="0" w:firstLine="0"/>
        <w:rPr>
          <w:sz w:val="24"/>
          <w:szCs w:val="24"/>
          <w:lang w:val="en-US"/>
        </w:rPr>
      </w:pPr>
      <w:r w:rsidRPr="00590247">
        <w:rPr>
          <w:sz w:val="24"/>
          <w:szCs w:val="24"/>
          <w:lang w:val="en-US"/>
        </w:rPr>
        <w:t>transparencën mbi pronësinë përfituese;</w:t>
      </w:r>
    </w:p>
    <w:p w14:paraId="04F95818" w14:textId="77777777" w:rsidR="00590247" w:rsidRPr="00590247" w:rsidRDefault="00590247" w:rsidP="004D5FC8">
      <w:pPr>
        <w:widowControl/>
        <w:numPr>
          <w:ilvl w:val="0"/>
          <w:numId w:val="3"/>
        </w:numPr>
        <w:tabs>
          <w:tab w:val="clear" w:pos="720"/>
          <w:tab w:val="left" w:pos="540"/>
          <w:tab w:val="num" w:pos="630"/>
        </w:tabs>
        <w:autoSpaceDE/>
        <w:autoSpaceDN/>
        <w:spacing w:line="276" w:lineRule="auto"/>
        <w:ind w:left="0" w:firstLine="0"/>
        <w:rPr>
          <w:sz w:val="24"/>
          <w:szCs w:val="24"/>
          <w:lang w:val="en-US"/>
        </w:rPr>
      </w:pPr>
      <w:r w:rsidRPr="00590247">
        <w:rPr>
          <w:sz w:val="24"/>
          <w:szCs w:val="24"/>
          <w:lang w:val="en-US"/>
        </w:rPr>
        <w:t>kufizimin e përdorimit të instrumenteve anonime.</w:t>
      </w:r>
    </w:p>
    <w:p w14:paraId="6CB5537A" w14:textId="77777777" w:rsidR="00590247" w:rsidRPr="00590247" w:rsidRDefault="00590247" w:rsidP="00E83544">
      <w:pPr>
        <w:widowControl/>
        <w:autoSpaceDE/>
        <w:autoSpaceDN/>
        <w:spacing w:line="276" w:lineRule="auto"/>
        <w:outlineLvl w:val="2"/>
        <w:rPr>
          <w:b/>
          <w:bCs/>
          <w:sz w:val="24"/>
          <w:szCs w:val="24"/>
          <w:lang w:val="en-US"/>
        </w:rPr>
      </w:pPr>
      <w:r w:rsidRPr="00590247">
        <w:rPr>
          <w:b/>
          <w:bCs/>
          <w:sz w:val="24"/>
          <w:szCs w:val="24"/>
          <w:lang w:val="en-US"/>
        </w:rPr>
        <w:t>Neni 2 – Përkufizime</w:t>
      </w:r>
    </w:p>
    <w:p w14:paraId="05BF66ED" w14:textId="7D1539C1" w:rsidR="001A7009" w:rsidRPr="00B0667A" w:rsidRDefault="00590247" w:rsidP="00E83544">
      <w:pPr>
        <w:widowControl/>
        <w:autoSpaceDE/>
        <w:autoSpaceDN/>
        <w:spacing w:line="276" w:lineRule="auto"/>
        <w:rPr>
          <w:sz w:val="24"/>
          <w:szCs w:val="24"/>
          <w:lang w:val="en-US"/>
        </w:rPr>
      </w:pPr>
      <w:r w:rsidRPr="00590247">
        <w:rPr>
          <w:sz w:val="24"/>
          <w:szCs w:val="24"/>
          <w:lang w:val="en-US"/>
        </w:rPr>
        <w:t>Jep përkufizimet bazë të përdorura në këtë pjesë, përfshirë: pastrimin e produkteve të veprës penale, financimin e terrorizmit, fondet/pasuritë, institucionet e kreditit e financiare, kriptoasetet, ofruesit e shërbimeve për kriptoasetet, trustet, pronarin përfitues, personin e ekspozuar politikisht (PEP), masat shtrënguese financiare, autoritetet kompetente, si dhe koncepte të tjera të lidhura me subjektet, strukturat juridike dhe transaksionet.</w:t>
      </w:r>
      <w:r w:rsidRPr="00590247">
        <w:rPr>
          <w:sz w:val="24"/>
          <w:szCs w:val="24"/>
          <w:lang w:val="en-US"/>
        </w:rPr>
        <w:br/>
        <w:t>Përcakton gjithashtu rregulla për pragje dhe njoftim ndaj Komisionit Evropian pas anëtarësimit.</w:t>
      </w:r>
    </w:p>
    <w:p w14:paraId="410A49AF" w14:textId="53C34874" w:rsidR="00590247" w:rsidRPr="00590247" w:rsidRDefault="00590247" w:rsidP="00E83544">
      <w:pPr>
        <w:widowControl/>
        <w:autoSpaceDE/>
        <w:autoSpaceDN/>
        <w:spacing w:line="276" w:lineRule="auto"/>
        <w:outlineLvl w:val="1"/>
        <w:rPr>
          <w:b/>
          <w:bCs/>
          <w:sz w:val="24"/>
          <w:szCs w:val="24"/>
          <w:lang w:val="en-US"/>
        </w:rPr>
      </w:pPr>
      <w:r w:rsidRPr="00590247">
        <w:rPr>
          <w:b/>
          <w:bCs/>
          <w:sz w:val="24"/>
          <w:szCs w:val="24"/>
          <w:lang w:val="en-US"/>
        </w:rPr>
        <w:t>SEKSIONI 2 – Fusha e zbatimit</w:t>
      </w:r>
    </w:p>
    <w:p w14:paraId="42B9A394" w14:textId="77777777" w:rsidR="00590247" w:rsidRPr="00590247" w:rsidRDefault="00590247" w:rsidP="00E83544">
      <w:pPr>
        <w:widowControl/>
        <w:autoSpaceDE/>
        <w:autoSpaceDN/>
        <w:spacing w:line="276" w:lineRule="auto"/>
        <w:outlineLvl w:val="2"/>
        <w:rPr>
          <w:b/>
          <w:bCs/>
          <w:sz w:val="24"/>
          <w:szCs w:val="24"/>
          <w:lang w:val="en-US"/>
        </w:rPr>
      </w:pPr>
      <w:r w:rsidRPr="00590247">
        <w:rPr>
          <w:b/>
          <w:bCs/>
          <w:sz w:val="24"/>
          <w:szCs w:val="24"/>
          <w:lang w:val="en-US"/>
        </w:rPr>
        <w:t>Neni 3 – Subjektet e detyruara</w:t>
      </w:r>
    </w:p>
    <w:p w14:paraId="66C538E8" w14:textId="77777777" w:rsidR="00590247" w:rsidRPr="00590247" w:rsidRDefault="00590247" w:rsidP="00E83544">
      <w:pPr>
        <w:widowControl/>
        <w:autoSpaceDE/>
        <w:autoSpaceDN/>
        <w:spacing w:line="276" w:lineRule="auto"/>
        <w:rPr>
          <w:sz w:val="24"/>
          <w:szCs w:val="24"/>
          <w:lang w:val="en-US"/>
        </w:rPr>
      </w:pPr>
      <w:r w:rsidRPr="00590247">
        <w:rPr>
          <w:sz w:val="24"/>
          <w:szCs w:val="24"/>
          <w:lang w:val="en-US"/>
        </w:rPr>
        <w:t>Liston kategoritë e subjekteve që i nënshtrohen ligjit, përfshirë:</w:t>
      </w:r>
    </w:p>
    <w:p w14:paraId="37251BCF" w14:textId="77777777" w:rsidR="00590247" w:rsidRPr="00590247" w:rsidRDefault="00590247" w:rsidP="004D5FC8">
      <w:pPr>
        <w:widowControl/>
        <w:numPr>
          <w:ilvl w:val="0"/>
          <w:numId w:val="4"/>
        </w:numPr>
        <w:autoSpaceDE/>
        <w:autoSpaceDN/>
        <w:spacing w:line="276" w:lineRule="auto"/>
        <w:rPr>
          <w:sz w:val="24"/>
          <w:szCs w:val="24"/>
          <w:lang w:val="en-US"/>
        </w:rPr>
      </w:pPr>
      <w:r w:rsidRPr="00590247">
        <w:rPr>
          <w:sz w:val="24"/>
          <w:szCs w:val="24"/>
          <w:lang w:val="en-US"/>
        </w:rPr>
        <w:t>institucionet e kreditit dhe financiare;</w:t>
      </w:r>
    </w:p>
    <w:p w14:paraId="25A8B3E2" w14:textId="77777777" w:rsidR="00590247" w:rsidRPr="00590247" w:rsidRDefault="00590247" w:rsidP="004D5FC8">
      <w:pPr>
        <w:widowControl/>
        <w:numPr>
          <w:ilvl w:val="0"/>
          <w:numId w:val="4"/>
        </w:numPr>
        <w:autoSpaceDE/>
        <w:autoSpaceDN/>
        <w:spacing w:line="276" w:lineRule="auto"/>
        <w:rPr>
          <w:sz w:val="24"/>
          <w:szCs w:val="24"/>
          <w:lang w:val="en-US"/>
        </w:rPr>
      </w:pPr>
      <w:r w:rsidRPr="00590247">
        <w:rPr>
          <w:sz w:val="24"/>
          <w:szCs w:val="24"/>
          <w:lang w:val="en-US"/>
        </w:rPr>
        <w:t>profesionistët ligjorë, audituesit, kontabilistët;</w:t>
      </w:r>
    </w:p>
    <w:p w14:paraId="5409BD37" w14:textId="77777777" w:rsidR="00590247" w:rsidRPr="00590247" w:rsidRDefault="00590247" w:rsidP="004D5FC8">
      <w:pPr>
        <w:widowControl/>
        <w:numPr>
          <w:ilvl w:val="0"/>
          <w:numId w:val="4"/>
        </w:numPr>
        <w:autoSpaceDE/>
        <w:autoSpaceDN/>
        <w:spacing w:line="276" w:lineRule="auto"/>
        <w:rPr>
          <w:sz w:val="24"/>
          <w:szCs w:val="24"/>
          <w:lang w:val="en-US"/>
        </w:rPr>
      </w:pPr>
      <w:r w:rsidRPr="00590247">
        <w:rPr>
          <w:sz w:val="24"/>
          <w:szCs w:val="24"/>
          <w:lang w:val="en-US"/>
        </w:rPr>
        <w:lastRenderedPageBreak/>
        <w:t>agjentët e pasurive të paluajtshme;</w:t>
      </w:r>
    </w:p>
    <w:p w14:paraId="14ACD833" w14:textId="77777777" w:rsidR="00590247" w:rsidRPr="00590247" w:rsidRDefault="00590247" w:rsidP="004D5FC8">
      <w:pPr>
        <w:widowControl/>
        <w:numPr>
          <w:ilvl w:val="0"/>
          <w:numId w:val="4"/>
        </w:numPr>
        <w:autoSpaceDE/>
        <w:autoSpaceDN/>
        <w:spacing w:line="276" w:lineRule="auto"/>
        <w:rPr>
          <w:sz w:val="24"/>
          <w:szCs w:val="24"/>
          <w:lang w:val="en-US"/>
        </w:rPr>
      </w:pPr>
      <w:r w:rsidRPr="00590247">
        <w:rPr>
          <w:sz w:val="24"/>
          <w:szCs w:val="24"/>
          <w:lang w:val="en-US"/>
        </w:rPr>
        <w:t>tregtarët e mallrave me vlerë të lartë, metaleve dhe gurëve të çmuar;</w:t>
      </w:r>
    </w:p>
    <w:p w14:paraId="45EEE19C" w14:textId="77777777" w:rsidR="00590247" w:rsidRPr="00590247" w:rsidRDefault="00590247" w:rsidP="004D5FC8">
      <w:pPr>
        <w:widowControl/>
        <w:numPr>
          <w:ilvl w:val="0"/>
          <w:numId w:val="4"/>
        </w:numPr>
        <w:autoSpaceDE/>
        <w:autoSpaceDN/>
        <w:spacing w:line="276" w:lineRule="auto"/>
        <w:rPr>
          <w:sz w:val="24"/>
          <w:szCs w:val="24"/>
          <w:lang w:val="en-US"/>
        </w:rPr>
      </w:pPr>
      <w:r w:rsidRPr="00590247">
        <w:rPr>
          <w:sz w:val="24"/>
          <w:szCs w:val="24"/>
          <w:lang w:val="en-US"/>
        </w:rPr>
        <w:t>ofruesit e lojërave të fatit;</w:t>
      </w:r>
    </w:p>
    <w:p w14:paraId="785209A4" w14:textId="77777777" w:rsidR="00590247" w:rsidRPr="00590247" w:rsidRDefault="00590247" w:rsidP="004D5FC8">
      <w:pPr>
        <w:widowControl/>
        <w:numPr>
          <w:ilvl w:val="0"/>
          <w:numId w:val="4"/>
        </w:numPr>
        <w:autoSpaceDE/>
        <w:autoSpaceDN/>
        <w:spacing w:line="276" w:lineRule="auto"/>
        <w:rPr>
          <w:sz w:val="24"/>
          <w:szCs w:val="24"/>
          <w:lang w:val="en-US"/>
        </w:rPr>
      </w:pPr>
      <w:r w:rsidRPr="00590247">
        <w:rPr>
          <w:sz w:val="24"/>
          <w:szCs w:val="24"/>
          <w:lang w:val="en-US"/>
        </w:rPr>
        <w:t>ofruesit e crowfunding;</w:t>
      </w:r>
    </w:p>
    <w:p w14:paraId="7E48CEF6" w14:textId="77777777" w:rsidR="00590247" w:rsidRPr="00590247" w:rsidRDefault="00590247" w:rsidP="004D5FC8">
      <w:pPr>
        <w:widowControl/>
        <w:numPr>
          <w:ilvl w:val="0"/>
          <w:numId w:val="4"/>
        </w:numPr>
        <w:autoSpaceDE/>
        <w:autoSpaceDN/>
        <w:spacing w:line="276" w:lineRule="auto"/>
        <w:rPr>
          <w:sz w:val="24"/>
          <w:szCs w:val="24"/>
          <w:lang w:val="en-US"/>
        </w:rPr>
      </w:pPr>
      <w:r w:rsidRPr="00590247">
        <w:rPr>
          <w:sz w:val="24"/>
          <w:szCs w:val="24"/>
          <w:lang w:val="en-US"/>
        </w:rPr>
        <w:t>operatorët e migracionit përmes investimeve;</w:t>
      </w:r>
    </w:p>
    <w:p w14:paraId="0DE98C97" w14:textId="341965C5" w:rsidR="001A7009" w:rsidRPr="00B0667A" w:rsidRDefault="00590247" w:rsidP="004D5FC8">
      <w:pPr>
        <w:widowControl/>
        <w:numPr>
          <w:ilvl w:val="0"/>
          <w:numId w:val="4"/>
        </w:numPr>
        <w:autoSpaceDE/>
        <w:autoSpaceDN/>
        <w:spacing w:line="276" w:lineRule="auto"/>
        <w:rPr>
          <w:sz w:val="24"/>
          <w:szCs w:val="24"/>
          <w:lang w:val="en-US"/>
        </w:rPr>
      </w:pPr>
      <w:r w:rsidRPr="00590247">
        <w:rPr>
          <w:sz w:val="24"/>
          <w:szCs w:val="24"/>
          <w:lang w:val="en-US"/>
        </w:rPr>
        <w:t>agjentët dhe klubet profesionale të futbollit, për transaksione të caktuara.</w:t>
      </w:r>
    </w:p>
    <w:p w14:paraId="7C423A4D" w14:textId="02B5A78D" w:rsidR="00590247" w:rsidRPr="00590247" w:rsidRDefault="00590247" w:rsidP="00E83544">
      <w:pPr>
        <w:widowControl/>
        <w:autoSpaceDE/>
        <w:autoSpaceDN/>
        <w:spacing w:line="276" w:lineRule="auto"/>
        <w:outlineLvl w:val="2"/>
        <w:rPr>
          <w:b/>
          <w:bCs/>
          <w:sz w:val="24"/>
          <w:szCs w:val="24"/>
          <w:lang w:val="en-US"/>
        </w:rPr>
      </w:pPr>
      <w:r w:rsidRPr="00590247">
        <w:rPr>
          <w:b/>
          <w:bCs/>
          <w:sz w:val="24"/>
          <w:szCs w:val="24"/>
          <w:lang w:val="en-US"/>
        </w:rPr>
        <w:t>Neni 4 – Përjashtime për lojërat e fatit</w:t>
      </w:r>
    </w:p>
    <w:p w14:paraId="13C38CD1" w14:textId="77777777" w:rsidR="00590247" w:rsidRPr="00590247" w:rsidRDefault="00590247" w:rsidP="00E83544">
      <w:pPr>
        <w:widowControl/>
        <w:autoSpaceDE/>
        <w:autoSpaceDN/>
        <w:spacing w:line="276" w:lineRule="auto"/>
        <w:rPr>
          <w:sz w:val="24"/>
          <w:szCs w:val="24"/>
          <w:lang w:val="en-US"/>
        </w:rPr>
      </w:pPr>
      <w:r w:rsidRPr="00590247">
        <w:rPr>
          <w:sz w:val="24"/>
          <w:szCs w:val="24"/>
          <w:lang w:val="en-US"/>
        </w:rPr>
        <w:t>Parashikon mundësinë e përjashtimit të pjesshëm/të plotë të disa ofruesve të lojërave të fatit, bazuar në vlerësim rreziku, me përjashtim të kazinove dhe operatorëve online me rrezik të lartë. Parashikon detyrim monitorimi për të shmangur abuzimet.</w:t>
      </w:r>
    </w:p>
    <w:p w14:paraId="4FFDF6AE" w14:textId="77777777" w:rsidR="00590247" w:rsidRPr="00590247" w:rsidRDefault="00590247" w:rsidP="00E83544">
      <w:pPr>
        <w:widowControl/>
        <w:autoSpaceDE/>
        <w:autoSpaceDN/>
        <w:spacing w:line="276" w:lineRule="auto"/>
        <w:outlineLvl w:val="2"/>
        <w:rPr>
          <w:b/>
          <w:bCs/>
          <w:sz w:val="24"/>
          <w:szCs w:val="24"/>
          <w:lang w:val="en-US"/>
        </w:rPr>
      </w:pPr>
      <w:r w:rsidRPr="00590247">
        <w:rPr>
          <w:b/>
          <w:bCs/>
          <w:sz w:val="24"/>
          <w:szCs w:val="24"/>
          <w:lang w:val="en-US"/>
        </w:rPr>
        <w:t>Neni 5 – Përjashtime për klubet profesionale të futbollit</w:t>
      </w:r>
    </w:p>
    <w:p w14:paraId="5CED595C" w14:textId="77777777" w:rsidR="00590247" w:rsidRPr="00590247" w:rsidRDefault="00590247" w:rsidP="00E83544">
      <w:pPr>
        <w:widowControl/>
        <w:autoSpaceDE/>
        <w:autoSpaceDN/>
        <w:spacing w:line="276" w:lineRule="auto"/>
        <w:rPr>
          <w:sz w:val="24"/>
          <w:szCs w:val="24"/>
          <w:lang w:val="en-US"/>
        </w:rPr>
      </w:pPr>
      <w:r w:rsidRPr="00590247">
        <w:rPr>
          <w:sz w:val="24"/>
          <w:szCs w:val="24"/>
          <w:lang w:val="en-US"/>
        </w:rPr>
        <w:t>Lejon përjashtime për klube me xhiro të ulët ose që operojnë në kategori më të ulëta, mbi bazë vlerësimi rreziku. Parashikon monitorim të vazhdueshëm për të shmangur keqpërdorimin.</w:t>
      </w:r>
    </w:p>
    <w:p w14:paraId="188A0AB2" w14:textId="77777777" w:rsidR="00590247" w:rsidRPr="00590247" w:rsidRDefault="00590247" w:rsidP="00E83544">
      <w:pPr>
        <w:widowControl/>
        <w:autoSpaceDE/>
        <w:autoSpaceDN/>
        <w:spacing w:line="276" w:lineRule="auto"/>
        <w:outlineLvl w:val="2"/>
        <w:rPr>
          <w:b/>
          <w:bCs/>
          <w:sz w:val="24"/>
          <w:szCs w:val="24"/>
          <w:lang w:val="en-US"/>
        </w:rPr>
      </w:pPr>
      <w:r w:rsidRPr="00590247">
        <w:rPr>
          <w:b/>
          <w:bCs/>
          <w:sz w:val="24"/>
          <w:szCs w:val="24"/>
          <w:lang w:val="en-US"/>
        </w:rPr>
        <w:t>Neni 6 – Përjashtime për veprimtari të caktuara financiare</w:t>
      </w:r>
    </w:p>
    <w:p w14:paraId="5103E00D" w14:textId="4D61F428" w:rsidR="0006355F" w:rsidRPr="00B0667A" w:rsidRDefault="00590247" w:rsidP="00E83544">
      <w:pPr>
        <w:widowControl/>
        <w:autoSpaceDE/>
        <w:autoSpaceDN/>
        <w:spacing w:line="276" w:lineRule="auto"/>
        <w:rPr>
          <w:sz w:val="24"/>
          <w:szCs w:val="24"/>
          <w:lang w:val="en-US"/>
        </w:rPr>
      </w:pPr>
      <w:r w:rsidRPr="00590247">
        <w:rPr>
          <w:sz w:val="24"/>
          <w:szCs w:val="24"/>
          <w:lang w:val="en-US"/>
        </w:rPr>
        <w:t>Parashikon përjashtime për veprimtari financiare shumë të kufizuara dhe ndihmëse, nëse plotësohen kritere strikte për pragje xhiroje, përqindje dhe kufi transaksionesh (jo mbi 1000 euro). Kërkohet vlerësim rreziku dhe monitorim.</w:t>
      </w:r>
    </w:p>
    <w:p w14:paraId="09617ECC" w14:textId="4C3CBBF7" w:rsidR="00590247" w:rsidRPr="00590247" w:rsidRDefault="00590247" w:rsidP="00E83544">
      <w:pPr>
        <w:widowControl/>
        <w:autoSpaceDE/>
        <w:autoSpaceDN/>
        <w:spacing w:line="276" w:lineRule="auto"/>
        <w:outlineLvl w:val="1"/>
        <w:rPr>
          <w:b/>
          <w:bCs/>
          <w:sz w:val="24"/>
          <w:szCs w:val="24"/>
          <w:lang w:val="en-US"/>
        </w:rPr>
      </w:pPr>
      <w:r w:rsidRPr="00590247">
        <w:rPr>
          <w:b/>
          <w:bCs/>
          <w:sz w:val="24"/>
          <w:szCs w:val="24"/>
          <w:lang w:val="en-US"/>
        </w:rPr>
        <w:t>SEKSIONI 3 – Veprimtaritë ndërkufitare</w:t>
      </w:r>
    </w:p>
    <w:p w14:paraId="7C49FE3F" w14:textId="77777777" w:rsidR="00590247" w:rsidRPr="00590247" w:rsidRDefault="00590247" w:rsidP="00E83544">
      <w:pPr>
        <w:widowControl/>
        <w:autoSpaceDE/>
        <w:autoSpaceDN/>
        <w:spacing w:line="276" w:lineRule="auto"/>
        <w:outlineLvl w:val="2"/>
        <w:rPr>
          <w:b/>
          <w:bCs/>
          <w:sz w:val="24"/>
          <w:szCs w:val="24"/>
          <w:lang w:val="en-US"/>
        </w:rPr>
      </w:pPr>
      <w:r w:rsidRPr="00590247">
        <w:rPr>
          <w:b/>
          <w:bCs/>
          <w:sz w:val="24"/>
          <w:szCs w:val="24"/>
          <w:lang w:val="en-US"/>
        </w:rPr>
        <w:t>Neni 7 – Njoftimi i veprimtarive ndërkufitare</w:t>
      </w:r>
    </w:p>
    <w:p w14:paraId="3DABA22F" w14:textId="77777777" w:rsidR="00590247" w:rsidRPr="00590247" w:rsidRDefault="00590247" w:rsidP="00E83544">
      <w:pPr>
        <w:widowControl/>
        <w:autoSpaceDE/>
        <w:autoSpaceDN/>
        <w:spacing w:line="276" w:lineRule="auto"/>
        <w:rPr>
          <w:sz w:val="24"/>
          <w:szCs w:val="24"/>
          <w:lang w:val="en-US"/>
        </w:rPr>
      </w:pPr>
      <w:r w:rsidRPr="00590247">
        <w:rPr>
          <w:sz w:val="24"/>
          <w:szCs w:val="24"/>
          <w:lang w:val="en-US"/>
        </w:rPr>
        <w:t>Detyron subjektet të njoftojnë autoritetin mbikëqyrës për ushtrimin e veprimtarive në shtete të tjera.</w:t>
      </w:r>
      <w:r w:rsidRPr="00590247">
        <w:rPr>
          <w:sz w:val="24"/>
          <w:szCs w:val="24"/>
          <w:lang w:val="en-US"/>
        </w:rPr>
        <w:br/>
        <w:t>Rregullon:</w:t>
      </w:r>
    </w:p>
    <w:p w14:paraId="7C79C31B" w14:textId="77777777" w:rsidR="00590247" w:rsidRPr="00590247" w:rsidRDefault="00590247" w:rsidP="004D5FC8">
      <w:pPr>
        <w:widowControl/>
        <w:numPr>
          <w:ilvl w:val="0"/>
          <w:numId w:val="5"/>
        </w:numPr>
        <w:tabs>
          <w:tab w:val="clear" w:pos="720"/>
          <w:tab w:val="num" w:pos="450"/>
        </w:tabs>
        <w:autoSpaceDE/>
        <w:autoSpaceDN/>
        <w:spacing w:line="276" w:lineRule="auto"/>
        <w:ind w:left="0" w:firstLine="0"/>
        <w:rPr>
          <w:sz w:val="24"/>
          <w:szCs w:val="24"/>
          <w:lang w:val="en-US"/>
        </w:rPr>
      </w:pPr>
      <w:r w:rsidRPr="00590247">
        <w:rPr>
          <w:sz w:val="24"/>
          <w:szCs w:val="24"/>
          <w:lang w:val="en-US"/>
        </w:rPr>
        <w:t>afatet e njoftimit;</w:t>
      </w:r>
    </w:p>
    <w:p w14:paraId="663EE16F" w14:textId="77777777" w:rsidR="00590247" w:rsidRPr="00590247" w:rsidRDefault="00590247" w:rsidP="004D5FC8">
      <w:pPr>
        <w:widowControl/>
        <w:numPr>
          <w:ilvl w:val="0"/>
          <w:numId w:val="5"/>
        </w:numPr>
        <w:tabs>
          <w:tab w:val="clear" w:pos="720"/>
          <w:tab w:val="num" w:pos="450"/>
        </w:tabs>
        <w:autoSpaceDE/>
        <w:autoSpaceDN/>
        <w:spacing w:line="276" w:lineRule="auto"/>
        <w:ind w:left="0" w:firstLine="0"/>
        <w:rPr>
          <w:sz w:val="24"/>
          <w:szCs w:val="24"/>
          <w:lang w:val="en-US"/>
        </w:rPr>
      </w:pPr>
      <w:r w:rsidRPr="00590247">
        <w:rPr>
          <w:sz w:val="24"/>
          <w:szCs w:val="24"/>
          <w:lang w:val="en-US"/>
        </w:rPr>
        <w:t>zbatimin e ligjit të shtetit pritës;</w:t>
      </w:r>
    </w:p>
    <w:p w14:paraId="6D4A1144" w14:textId="7AAA2976" w:rsidR="00590247" w:rsidRPr="00B0667A" w:rsidRDefault="00590247" w:rsidP="004D5FC8">
      <w:pPr>
        <w:widowControl/>
        <w:numPr>
          <w:ilvl w:val="0"/>
          <w:numId w:val="5"/>
        </w:numPr>
        <w:tabs>
          <w:tab w:val="clear" w:pos="720"/>
          <w:tab w:val="num" w:pos="450"/>
        </w:tabs>
        <w:autoSpaceDE/>
        <w:autoSpaceDN/>
        <w:spacing w:line="276" w:lineRule="auto"/>
        <w:ind w:left="0" w:firstLine="0"/>
        <w:rPr>
          <w:sz w:val="24"/>
          <w:szCs w:val="24"/>
          <w:lang w:val="en-US"/>
        </w:rPr>
      </w:pPr>
      <w:r w:rsidRPr="00590247">
        <w:rPr>
          <w:sz w:val="24"/>
          <w:szCs w:val="24"/>
          <w:lang w:val="en-US"/>
        </w:rPr>
        <w:t>detyrimin për pikë qendrore kontakti kur kërkohet.</w:t>
      </w:r>
    </w:p>
    <w:p w14:paraId="4D85422E" w14:textId="77777777" w:rsidR="00590247" w:rsidRPr="00590247" w:rsidRDefault="00590247" w:rsidP="00E83544">
      <w:pPr>
        <w:widowControl/>
        <w:autoSpaceDE/>
        <w:autoSpaceDN/>
        <w:spacing w:line="276" w:lineRule="auto"/>
        <w:outlineLvl w:val="0"/>
        <w:rPr>
          <w:b/>
          <w:bCs/>
          <w:kern w:val="36"/>
          <w:sz w:val="24"/>
          <w:szCs w:val="24"/>
          <w:lang w:val="en-US"/>
        </w:rPr>
      </w:pPr>
      <w:r w:rsidRPr="00590247">
        <w:rPr>
          <w:b/>
          <w:bCs/>
          <w:kern w:val="36"/>
          <w:sz w:val="24"/>
          <w:szCs w:val="24"/>
          <w:lang w:val="en-US"/>
        </w:rPr>
        <w:t>KREU II</w:t>
      </w:r>
    </w:p>
    <w:p w14:paraId="6035645B" w14:textId="1471E5BB" w:rsidR="00590247" w:rsidRPr="00590247" w:rsidRDefault="00590247" w:rsidP="00E83544">
      <w:pPr>
        <w:widowControl/>
        <w:autoSpaceDE/>
        <w:autoSpaceDN/>
        <w:spacing w:line="276" w:lineRule="auto"/>
        <w:outlineLvl w:val="1"/>
        <w:rPr>
          <w:b/>
          <w:bCs/>
          <w:sz w:val="24"/>
          <w:szCs w:val="24"/>
          <w:lang w:val="en-US"/>
        </w:rPr>
      </w:pPr>
      <w:r w:rsidRPr="00590247">
        <w:rPr>
          <w:b/>
          <w:bCs/>
          <w:sz w:val="24"/>
          <w:szCs w:val="24"/>
          <w:lang w:val="en-US"/>
        </w:rPr>
        <w:t>Politikat, procedurat dhe kontrollet e brendshme</w:t>
      </w:r>
    </w:p>
    <w:p w14:paraId="7B57CFFF" w14:textId="77777777" w:rsidR="00590247" w:rsidRPr="00590247" w:rsidRDefault="00590247" w:rsidP="00E83544">
      <w:pPr>
        <w:widowControl/>
        <w:autoSpaceDE/>
        <w:autoSpaceDN/>
        <w:spacing w:line="276" w:lineRule="auto"/>
        <w:outlineLvl w:val="1"/>
        <w:rPr>
          <w:b/>
          <w:bCs/>
          <w:sz w:val="24"/>
          <w:szCs w:val="24"/>
          <w:lang w:val="en-US"/>
        </w:rPr>
      </w:pPr>
      <w:r w:rsidRPr="00590247">
        <w:rPr>
          <w:b/>
          <w:bCs/>
          <w:sz w:val="24"/>
          <w:szCs w:val="24"/>
          <w:lang w:val="en-US"/>
        </w:rPr>
        <w:t>SEKSIONI 1 – Organizimi i brendshëm</w:t>
      </w:r>
    </w:p>
    <w:p w14:paraId="72D35AC7" w14:textId="77777777" w:rsidR="00590247" w:rsidRPr="00590247" w:rsidRDefault="00590247" w:rsidP="00E83544">
      <w:pPr>
        <w:widowControl/>
        <w:autoSpaceDE/>
        <w:autoSpaceDN/>
        <w:spacing w:line="276" w:lineRule="auto"/>
        <w:outlineLvl w:val="2"/>
        <w:rPr>
          <w:b/>
          <w:bCs/>
          <w:sz w:val="24"/>
          <w:szCs w:val="24"/>
          <w:lang w:val="en-US"/>
        </w:rPr>
      </w:pPr>
      <w:r w:rsidRPr="00590247">
        <w:rPr>
          <w:b/>
          <w:bCs/>
          <w:sz w:val="24"/>
          <w:szCs w:val="24"/>
          <w:lang w:val="en-US"/>
        </w:rPr>
        <w:t>Neni 8 – Politikat dhe kontrollet e brendshme</w:t>
      </w:r>
    </w:p>
    <w:p w14:paraId="314E68EC" w14:textId="77777777" w:rsidR="00590247" w:rsidRPr="00590247" w:rsidRDefault="00590247" w:rsidP="00E83544">
      <w:pPr>
        <w:widowControl/>
        <w:autoSpaceDE/>
        <w:autoSpaceDN/>
        <w:spacing w:line="276" w:lineRule="auto"/>
        <w:rPr>
          <w:sz w:val="24"/>
          <w:szCs w:val="24"/>
          <w:lang w:val="en-US"/>
        </w:rPr>
      </w:pPr>
      <w:r w:rsidRPr="00590247">
        <w:rPr>
          <w:sz w:val="24"/>
          <w:szCs w:val="24"/>
          <w:lang w:val="en-US"/>
        </w:rPr>
        <w:t>Detyron subjektet të miratojnë politika dhe procedura të shkruara për menaxhimin e rrezikut AML/CFT dhe zbatimin e sanksioneve financiare.</w:t>
      </w:r>
      <w:r w:rsidRPr="00590247">
        <w:rPr>
          <w:sz w:val="24"/>
          <w:szCs w:val="24"/>
          <w:lang w:val="en-US"/>
        </w:rPr>
        <w:br/>
        <w:t>Kërkon:</w:t>
      </w:r>
    </w:p>
    <w:p w14:paraId="281BFD7A" w14:textId="77777777" w:rsidR="00590247" w:rsidRPr="00590247" w:rsidRDefault="00590247" w:rsidP="004D5FC8">
      <w:pPr>
        <w:widowControl/>
        <w:numPr>
          <w:ilvl w:val="0"/>
          <w:numId w:val="6"/>
        </w:numPr>
        <w:autoSpaceDE/>
        <w:autoSpaceDN/>
        <w:spacing w:line="276" w:lineRule="auto"/>
        <w:rPr>
          <w:sz w:val="24"/>
          <w:szCs w:val="24"/>
          <w:lang w:val="en-US"/>
        </w:rPr>
      </w:pPr>
      <w:r w:rsidRPr="00590247">
        <w:rPr>
          <w:sz w:val="24"/>
          <w:szCs w:val="24"/>
          <w:lang w:val="en-US"/>
        </w:rPr>
        <w:t>vlerësim rreziku;</w:t>
      </w:r>
    </w:p>
    <w:p w14:paraId="54D7FFB2" w14:textId="77777777" w:rsidR="00590247" w:rsidRPr="00590247" w:rsidRDefault="00590247" w:rsidP="004D5FC8">
      <w:pPr>
        <w:widowControl/>
        <w:numPr>
          <w:ilvl w:val="0"/>
          <w:numId w:val="6"/>
        </w:numPr>
        <w:autoSpaceDE/>
        <w:autoSpaceDN/>
        <w:spacing w:line="276" w:lineRule="auto"/>
        <w:rPr>
          <w:sz w:val="24"/>
          <w:szCs w:val="24"/>
          <w:lang w:val="en-US"/>
        </w:rPr>
      </w:pPr>
      <w:r w:rsidRPr="00590247">
        <w:rPr>
          <w:sz w:val="24"/>
          <w:szCs w:val="24"/>
          <w:lang w:val="en-US"/>
        </w:rPr>
        <w:t>kuadër menaxhimi;</w:t>
      </w:r>
    </w:p>
    <w:p w14:paraId="7D79295A" w14:textId="77777777" w:rsidR="00590247" w:rsidRPr="00590247" w:rsidRDefault="00590247" w:rsidP="004D5FC8">
      <w:pPr>
        <w:widowControl/>
        <w:numPr>
          <w:ilvl w:val="0"/>
          <w:numId w:val="6"/>
        </w:numPr>
        <w:autoSpaceDE/>
        <w:autoSpaceDN/>
        <w:spacing w:line="276" w:lineRule="auto"/>
        <w:rPr>
          <w:sz w:val="24"/>
          <w:szCs w:val="24"/>
          <w:lang w:val="en-US"/>
        </w:rPr>
      </w:pPr>
      <w:r w:rsidRPr="00590247">
        <w:rPr>
          <w:sz w:val="24"/>
          <w:szCs w:val="24"/>
          <w:lang w:val="en-US"/>
        </w:rPr>
        <w:t>procedura për vigjilencën ndaj klientit;</w:t>
      </w:r>
    </w:p>
    <w:p w14:paraId="2C344BCC" w14:textId="77777777" w:rsidR="00590247" w:rsidRPr="00590247" w:rsidRDefault="00590247" w:rsidP="004D5FC8">
      <w:pPr>
        <w:widowControl/>
        <w:numPr>
          <w:ilvl w:val="0"/>
          <w:numId w:val="6"/>
        </w:numPr>
        <w:autoSpaceDE/>
        <w:autoSpaceDN/>
        <w:spacing w:line="276" w:lineRule="auto"/>
        <w:rPr>
          <w:sz w:val="24"/>
          <w:szCs w:val="24"/>
          <w:lang w:val="en-US"/>
        </w:rPr>
      </w:pPr>
      <w:r w:rsidRPr="00590247">
        <w:rPr>
          <w:sz w:val="24"/>
          <w:szCs w:val="24"/>
          <w:lang w:val="en-US"/>
        </w:rPr>
        <w:t>raportim të dyshimeve;</w:t>
      </w:r>
    </w:p>
    <w:p w14:paraId="6D4C8C60" w14:textId="77777777" w:rsidR="00590247" w:rsidRPr="00590247" w:rsidRDefault="00590247" w:rsidP="004D5FC8">
      <w:pPr>
        <w:widowControl/>
        <w:numPr>
          <w:ilvl w:val="0"/>
          <w:numId w:val="6"/>
        </w:numPr>
        <w:autoSpaceDE/>
        <w:autoSpaceDN/>
        <w:spacing w:line="276" w:lineRule="auto"/>
        <w:rPr>
          <w:sz w:val="24"/>
          <w:szCs w:val="24"/>
          <w:lang w:val="en-US"/>
        </w:rPr>
      </w:pPr>
      <w:r w:rsidRPr="00590247">
        <w:rPr>
          <w:sz w:val="24"/>
          <w:szCs w:val="24"/>
          <w:lang w:val="en-US"/>
        </w:rPr>
        <w:t>auditim të brendshëm;</w:t>
      </w:r>
    </w:p>
    <w:p w14:paraId="2CB232B7" w14:textId="77777777" w:rsidR="00590247" w:rsidRPr="00590247" w:rsidRDefault="00590247" w:rsidP="004D5FC8">
      <w:pPr>
        <w:widowControl/>
        <w:numPr>
          <w:ilvl w:val="0"/>
          <w:numId w:val="6"/>
        </w:numPr>
        <w:autoSpaceDE/>
        <w:autoSpaceDN/>
        <w:spacing w:line="276" w:lineRule="auto"/>
        <w:rPr>
          <w:sz w:val="24"/>
          <w:szCs w:val="24"/>
          <w:lang w:val="en-US"/>
        </w:rPr>
      </w:pPr>
      <w:r w:rsidRPr="00590247">
        <w:rPr>
          <w:sz w:val="24"/>
          <w:szCs w:val="24"/>
          <w:lang w:val="en-US"/>
        </w:rPr>
        <w:t>trajnime periodike.</w:t>
      </w:r>
    </w:p>
    <w:p w14:paraId="4B50696D" w14:textId="77777777" w:rsidR="00590247" w:rsidRPr="00590247" w:rsidRDefault="00590247" w:rsidP="00E83544">
      <w:pPr>
        <w:widowControl/>
        <w:autoSpaceDE/>
        <w:autoSpaceDN/>
        <w:spacing w:line="276" w:lineRule="auto"/>
        <w:outlineLvl w:val="2"/>
        <w:rPr>
          <w:b/>
          <w:bCs/>
          <w:sz w:val="24"/>
          <w:szCs w:val="24"/>
          <w:lang w:val="en-US"/>
        </w:rPr>
      </w:pPr>
      <w:r w:rsidRPr="00590247">
        <w:rPr>
          <w:b/>
          <w:bCs/>
          <w:sz w:val="24"/>
          <w:szCs w:val="24"/>
          <w:lang w:val="en-US"/>
        </w:rPr>
        <w:t>Neni 9 – Vlerësimi i rrezikut në shkallë biznesi</w:t>
      </w:r>
    </w:p>
    <w:p w14:paraId="66E9575B" w14:textId="77777777" w:rsidR="00590247" w:rsidRPr="00590247" w:rsidRDefault="00590247" w:rsidP="00E83544">
      <w:pPr>
        <w:widowControl/>
        <w:autoSpaceDE/>
        <w:autoSpaceDN/>
        <w:spacing w:line="276" w:lineRule="auto"/>
        <w:rPr>
          <w:sz w:val="24"/>
          <w:szCs w:val="24"/>
          <w:lang w:val="en-US"/>
        </w:rPr>
      </w:pPr>
      <w:r w:rsidRPr="00590247">
        <w:rPr>
          <w:sz w:val="24"/>
          <w:szCs w:val="24"/>
          <w:lang w:val="en-US"/>
        </w:rPr>
        <w:t>Detyron çdo subjekt të identifikojë dhe dokumentojë rreziqet e pastrimit të parave dhe financimit të terrorizmit, duke marrë parasysh faktorë kombëtarë, të BE-së dhe ndërkombëtarë.</w:t>
      </w:r>
      <w:r w:rsidRPr="00590247">
        <w:rPr>
          <w:sz w:val="24"/>
          <w:szCs w:val="24"/>
          <w:lang w:val="en-US"/>
        </w:rPr>
        <w:br/>
        <w:t>Vlerësimi miratohet nga organi drejtues dhe përditësohet rregullisht.</w:t>
      </w:r>
    </w:p>
    <w:p w14:paraId="20C93951" w14:textId="77777777" w:rsidR="00590247" w:rsidRPr="00590247" w:rsidRDefault="00590247" w:rsidP="00E83544">
      <w:pPr>
        <w:widowControl/>
        <w:autoSpaceDE/>
        <w:autoSpaceDN/>
        <w:spacing w:line="276" w:lineRule="auto"/>
        <w:outlineLvl w:val="2"/>
        <w:rPr>
          <w:b/>
          <w:bCs/>
          <w:sz w:val="24"/>
          <w:szCs w:val="24"/>
          <w:lang w:val="en-US"/>
        </w:rPr>
      </w:pPr>
      <w:r w:rsidRPr="00590247">
        <w:rPr>
          <w:b/>
          <w:bCs/>
          <w:sz w:val="24"/>
          <w:szCs w:val="24"/>
          <w:lang w:val="en-US"/>
        </w:rPr>
        <w:lastRenderedPageBreak/>
        <w:t>Neni 10 – Funksionet e përputhshmërisë</w:t>
      </w:r>
    </w:p>
    <w:p w14:paraId="62A8AA8C" w14:textId="77777777" w:rsidR="00590247" w:rsidRPr="00590247" w:rsidRDefault="00590247" w:rsidP="00E83544">
      <w:pPr>
        <w:widowControl/>
        <w:autoSpaceDE/>
        <w:autoSpaceDN/>
        <w:spacing w:line="276" w:lineRule="auto"/>
        <w:rPr>
          <w:sz w:val="24"/>
          <w:szCs w:val="24"/>
          <w:lang w:val="en-US"/>
        </w:rPr>
      </w:pPr>
      <w:r w:rsidRPr="00590247">
        <w:rPr>
          <w:sz w:val="24"/>
          <w:szCs w:val="24"/>
          <w:lang w:val="en-US"/>
        </w:rPr>
        <w:t>Parashikon:</w:t>
      </w:r>
    </w:p>
    <w:p w14:paraId="7BA399B1" w14:textId="77777777" w:rsidR="00590247" w:rsidRPr="00590247" w:rsidRDefault="00590247" w:rsidP="004D5FC8">
      <w:pPr>
        <w:widowControl/>
        <w:numPr>
          <w:ilvl w:val="0"/>
          <w:numId w:val="7"/>
        </w:numPr>
        <w:autoSpaceDE/>
        <w:autoSpaceDN/>
        <w:spacing w:line="276" w:lineRule="auto"/>
        <w:rPr>
          <w:sz w:val="24"/>
          <w:szCs w:val="24"/>
          <w:lang w:val="en-US"/>
        </w:rPr>
      </w:pPr>
      <w:r w:rsidRPr="00590247">
        <w:rPr>
          <w:sz w:val="24"/>
          <w:szCs w:val="24"/>
          <w:lang w:val="en-US"/>
        </w:rPr>
        <w:t>caktimin e një personi përgjegjës për AML/CFT në nivel drejtues;</w:t>
      </w:r>
    </w:p>
    <w:p w14:paraId="4E4C1D87" w14:textId="77777777" w:rsidR="00590247" w:rsidRPr="00590247" w:rsidRDefault="00590247" w:rsidP="004D5FC8">
      <w:pPr>
        <w:widowControl/>
        <w:numPr>
          <w:ilvl w:val="0"/>
          <w:numId w:val="7"/>
        </w:numPr>
        <w:autoSpaceDE/>
        <w:autoSpaceDN/>
        <w:spacing w:line="276" w:lineRule="auto"/>
        <w:rPr>
          <w:sz w:val="24"/>
          <w:szCs w:val="24"/>
          <w:lang w:val="en-US"/>
        </w:rPr>
      </w:pPr>
      <w:r w:rsidRPr="00590247">
        <w:rPr>
          <w:sz w:val="24"/>
          <w:szCs w:val="24"/>
          <w:lang w:val="en-US"/>
        </w:rPr>
        <w:t>caktimin e një përgjegjësi për përputhshmërinë operacionale;</w:t>
      </w:r>
    </w:p>
    <w:p w14:paraId="59159231" w14:textId="77777777" w:rsidR="00590247" w:rsidRPr="00590247" w:rsidRDefault="00590247" w:rsidP="004D5FC8">
      <w:pPr>
        <w:widowControl/>
        <w:numPr>
          <w:ilvl w:val="0"/>
          <w:numId w:val="7"/>
        </w:numPr>
        <w:autoSpaceDE/>
        <w:autoSpaceDN/>
        <w:spacing w:line="276" w:lineRule="auto"/>
        <w:rPr>
          <w:sz w:val="24"/>
          <w:szCs w:val="24"/>
          <w:lang w:val="en-US"/>
        </w:rPr>
      </w:pPr>
      <w:r w:rsidRPr="00590247">
        <w:rPr>
          <w:sz w:val="24"/>
          <w:szCs w:val="24"/>
          <w:lang w:val="en-US"/>
        </w:rPr>
        <w:t>detyrimin për raportim të drejtpërdrejtë tek organet drejtuese;</w:t>
      </w:r>
    </w:p>
    <w:p w14:paraId="2B964CF3" w14:textId="77777777" w:rsidR="00590247" w:rsidRPr="00590247" w:rsidRDefault="00590247" w:rsidP="004D5FC8">
      <w:pPr>
        <w:widowControl/>
        <w:numPr>
          <w:ilvl w:val="0"/>
          <w:numId w:val="7"/>
        </w:numPr>
        <w:autoSpaceDE/>
        <w:autoSpaceDN/>
        <w:spacing w:line="276" w:lineRule="auto"/>
        <w:rPr>
          <w:sz w:val="24"/>
          <w:szCs w:val="24"/>
          <w:lang w:val="en-US"/>
        </w:rPr>
      </w:pPr>
      <w:r w:rsidRPr="00590247">
        <w:rPr>
          <w:sz w:val="24"/>
          <w:szCs w:val="24"/>
          <w:lang w:val="en-US"/>
        </w:rPr>
        <w:t>mbrojtje nga hakmarrja;</w:t>
      </w:r>
    </w:p>
    <w:p w14:paraId="3A498114" w14:textId="1C6417A1" w:rsidR="0006355F" w:rsidRPr="00B0667A" w:rsidRDefault="00590247" w:rsidP="004D5FC8">
      <w:pPr>
        <w:widowControl/>
        <w:numPr>
          <w:ilvl w:val="0"/>
          <w:numId w:val="7"/>
        </w:numPr>
        <w:autoSpaceDE/>
        <w:autoSpaceDN/>
        <w:spacing w:line="276" w:lineRule="auto"/>
        <w:rPr>
          <w:sz w:val="24"/>
          <w:szCs w:val="24"/>
          <w:lang w:val="en-US"/>
        </w:rPr>
      </w:pPr>
      <w:r w:rsidRPr="00590247">
        <w:rPr>
          <w:sz w:val="24"/>
          <w:szCs w:val="24"/>
          <w:lang w:val="en-US"/>
        </w:rPr>
        <w:t>burime të mjaftueshme njerëzore dhe teknike.</w:t>
      </w:r>
    </w:p>
    <w:p w14:paraId="2DB70162" w14:textId="1CB72D17" w:rsidR="00590247" w:rsidRPr="00590247" w:rsidRDefault="00590247" w:rsidP="00E83544">
      <w:pPr>
        <w:widowControl/>
        <w:autoSpaceDE/>
        <w:autoSpaceDN/>
        <w:spacing w:line="276" w:lineRule="auto"/>
        <w:outlineLvl w:val="2"/>
        <w:rPr>
          <w:b/>
          <w:bCs/>
          <w:sz w:val="24"/>
          <w:szCs w:val="24"/>
          <w:lang w:val="en-US"/>
        </w:rPr>
      </w:pPr>
      <w:r w:rsidRPr="00590247">
        <w:rPr>
          <w:b/>
          <w:bCs/>
          <w:sz w:val="24"/>
          <w:szCs w:val="24"/>
          <w:lang w:val="en-US"/>
        </w:rPr>
        <w:t>Neni 11 – Ndërgjegjësimi dhe trajnimi</w:t>
      </w:r>
    </w:p>
    <w:p w14:paraId="1257CBD6" w14:textId="46EB418C" w:rsidR="0006355F" w:rsidRPr="00B0667A" w:rsidRDefault="00590247" w:rsidP="00E83544">
      <w:pPr>
        <w:widowControl/>
        <w:autoSpaceDE/>
        <w:autoSpaceDN/>
        <w:spacing w:line="276" w:lineRule="auto"/>
        <w:rPr>
          <w:sz w:val="24"/>
          <w:szCs w:val="24"/>
          <w:lang w:val="en-US"/>
        </w:rPr>
      </w:pPr>
      <w:r w:rsidRPr="00590247">
        <w:rPr>
          <w:sz w:val="24"/>
          <w:szCs w:val="24"/>
          <w:lang w:val="en-US"/>
        </w:rPr>
        <w:t>Detyron subjektet të trajnojnë stafin në mënyrë të vazhdueshme për identifikimin dhe raportimin e rasteve të dyshimta.</w:t>
      </w:r>
    </w:p>
    <w:p w14:paraId="499C51D4" w14:textId="30E9BF2C" w:rsidR="00590247" w:rsidRPr="00590247" w:rsidRDefault="00590247" w:rsidP="00E83544">
      <w:pPr>
        <w:widowControl/>
        <w:autoSpaceDE/>
        <w:autoSpaceDN/>
        <w:spacing w:line="276" w:lineRule="auto"/>
        <w:outlineLvl w:val="2"/>
        <w:rPr>
          <w:b/>
          <w:bCs/>
          <w:sz w:val="24"/>
          <w:szCs w:val="24"/>
          <w:lang w:val="en-US"/>
        </w:rPr>
      </w:pPr>
      <w:r w:rsidRPr="00590247">
        <w:rPr>
          <w:b/>
          <w:bCs/>
          <w:sz w:val="24"/>
          <w:szCs w:val="24"/>
          <w:lang w:val="en-US"/>
        </w:rPr>
        <w:t>Neni 12 – Integriteti i punonjësve</w:t>
      </w:r>
    </w:p>
    <w:p w14:paraId="0CFBFB39" w14:textId="77777777" w:rsidR="00590247" w:rsidRPr="00590247" w:rsidRDefault="00590247" w:rsidP="00E83544">
      <w:pPr>
        <w:widowControl/>
        <w:autoSpaceDE/>
        <w:autoSpaceDN/>
        <w:spacing w:line="276" w:lineRule="auto"/>
        <w:rPr>
          <w:sz w:val="24"/>
          <w:szCs w:val="24"/>
          <w:lang w:val="en-US"/>
        </w:rPr>
      </w:pPr>
      <w:r w:rsidRPr="00590247">
        <w:rPr>
          <w:sz w:val="24"/>
          <w:szCs w:val="24"/>
          <w:lang w:val="en-US"/>
        </w:rPr>
        <w:t>Kërkon verifikim të reputacionit, kompetencës dhe integritetit të personave që merren me AML/CFT.</w:t>
      </w:r>
      <w:r w:rsidRPr="00590247">
        <w:rPr>
          <w:sz w:val="24"/>
          <w:szCs w:val="24"/>
          <w:lang w:val="en-US"/>
        </w:rPr>
        <w:br/>
        <w:t>Parashikon rregulla për shmangien e konfliktit të interesit.</w:t>
      </w:r>
    </w:p>
    <w:p w14:paraId="39E17EF1" w14:textId="77777777" w:rsidR="00590247" w:rsidRPr="00590247" w:rsidRDefault="00590247" w:rsidP="00E83544">
      <w:pPr>
        <w:widowControl/>
        <w:autoSpaceDE/>
        <w:autoSpaceDN/>
        <w:spacing w:line="276" w:lineRule="auto"/>
        <w:outlineLvl w:val="2"/>
        <w:rPr>
          <w:b/>
          <w:bCs/>
          <w:sz w:val="24"/>
          <w:szCs w:val="24"/>
          <w:lang w:val="en-US"/>
        </w:rPr>
      </w:pPr>
      <w:r w:rsidRPr="00590247">
        <w:rPr>
          <w:b/>
          <w:bCs/>
          <w:sz w:val="24"/>
          <w:szCs w:val="24"/>
          <w:lang w:val="en-US"/>
        </w:rPr>
        <w:t>Neni 13 – Raportimi i shkeljeve</w:t>
      </w:r>
    </w:p>
    <w:p w14:paraId="1ACFB719" w14:textId="77777777" w:rsidR="00590247" w:rsidRPr="00590247" w:rsidRDefault="00590247" w:rsidP="00E83544">
      <w:pPr>
        <w:widowControl/>
        <w:autoSpaceDE/>
        <w:autoSpaceDN/>
        <w:spacing w:line="276" w:lineRule="auto"/>
        <w:rPr>
          <w:sz w:val="24"/>
          <w:szCs w:val="24"/>
          <w:lang w:val="en-US"/>
        </w:rPr>
      </w:pPr>
      <w:r w:rsidRPr="00590247">
        <w:rPr>
          <w:sz w:val="24"/>
          <w:szCs w:val="24"/>
          <w:lang w:val="en-US"/>
        </w:rPr>
        <w:t>Detyron krijimin e kanaleve të brendshme për sinjalizimin e shkeljeve dhe mbrojtjen e sinjalizuesve, sipas legjislacionit përkatës.</w:t>
      </w:r>
    </w:p>
    <w:p w14:paraId="2DB001DD" w14:textId="77777777" w:rsidR="00590247" w:rsidRPr="00590247" w:rsidRDefault="00590247" w:rsidP="00E83544">
      <w:pPr>
        <w:widowControl/>
        <w:autoSpaceDE/>
        <w:autoSpaceDN/>
        <w:spacing w:line="276" w:lineRule="auto"/>
        <w:outlineLvl w:val="2"/>
        <w:rPr>
          <w:b/>
          <w:bCs/>
          <w:sz w:val="24"/>
          <w:szCs w:val="24"/>
          <w:lang w:val="en-US"/>
        </w:rPr>
      </w:pPr>
      <w:r w:rsidRPr="00590247">
        <w:rPr>
          <w:b/>
          <w:bCs/>
          <w:sz w:val="24"/>
          <w:szCs w:val="24"/>
          <w:lang w:val="en-US"/>
        </w:rPr>
        <w:t>Neni 14 – Situata e punonjësve të veçantë</w:t>
      </w:r>
    </w:p>
    <w:p w14:paraId="5C93BD85" w14:textId="0514B637" w:rsidR="00590247" w:rsidRPr="00590247" w:rsidRDefault="00590247" w:rsidP="00E83544">
      <w:pPr>
        <w:widowControl/>
        <w:autoSpaceDE/>
        <w:autoSpaceDN/>
        <w:spacing w:line="276" w:lineRule="auto"/>
        <w:rPr>
          <w:sz w:val="24"/>
          <w:szCs w:val="24"/>
          <w:lang w:val="en-US"/>
        </w:rPr>
      </w:pPr>
      <w:r w:rsidRPr="00590247">
        <w:rPr>
          <w:sz w:val="24"/>
          <w:szCs w:val="24"/>
          <w:lang w:val="en-US"/>
        </w:rPr>
        <w:t>Saktëson se kur profesionistët ushtrojnë veprimtarinë si punonjës, përgjegjësia bie mbi personin juridik.</w:t>
      </w:r>
    </w:p>
    <w:p w14:paraId="2ADA7E58" w14:textId="77777777" w:rsidR="00590247" w:rsidRPr="00590247" w:rsidRDefault="00590247" w:rsidP="00E83544">
      <w:pPr>
        <w:widowControl/>
        <w:autoSpaceDE/>
        <w:autoSpaceDN/>
        <w:spacing w:line="276" w:lineRule="auto"/>
        <w:outlineLvl w:val="1"/>
        <w:rPr>
          <w:b/>
          <w:bCs/>
          <w:sz w:val="24"/>
          <w:szCs w:val="24"/>
          <w:lang w:val="en-US"/>
        </w:rPr>
      </w:pPr>
      <w:r w:rsidRPr="00590247">
        <w:rPr>
          <w:b/>
          <w:bCs/>
          <w:sz w:val="24"/>
          <w:szCs w:val="24"/>
          <w:lang w:val="en-US"/>
        </w:rPr>
        <w:t>SEKSIONI 2 – Kërkesat për grupet</w:t>
      </w:r>
    </w:p>
    <w:p w14:paraId="1B2DC672" w14:textId="77777777" w:rsidR="00590247" w:rsidRPr="00590247" w:rsidRDefault="00590247" w:rsidP="00E83544">
      <w:pPr>
        <w:widowControl/>
        <w:autoSpaceDE/>
        <w:autoSpaceDN/>
        <w:spacing w:line="276" w:lineRule="auto"/>
        <w:outlineLvl w:val="2"/>
        <w:rPr>
          <w:b/>
          <w:bCs/>
          <w:sz w:val="24"/>
          <w:szCs w:val="24"/>
          <w:lang w:val="en-US"/>
        </w:rPr>
      </w:pPr>
      <w:r w:rsidRPr="00590247">
        <w:rPr>
          <w:b/>
          <w:bCs/>
          <w:sz w:val="24"/>
          <w:szCs w:val="24"/>
          <w:lang w:val="en-US"/>
        </w:rPr>
        <w:t>Neni 15 – Kërkesat në nivel grupi</w:t>
      </w:r>
    </w:p>
    <w:p w14:paraId="4622BA09" w14:textId="77777777" w:rsidR="00590247" w:rsidRPr="00590247" w:rsidRDefault="00590247" w:rsidP="00E83544">
      <w:pPr>
        <w:widowControl/>
        <w:autoSpaceDE/>
        <w:autoSpaceDN/>
        <w:spacing w:line="276" w:lineRule="auto"/>
        <w:rPr>
          <w:sz w:val="24"/>
          <w:szCs w:val="24"/>
          <w:lang w:val="en-US"/>
        </w:rPr>
      </w:pPr>
      <w:r w:rsidRPr="00590247">
        <w:rPr>
          <w:sz w:val="24"/>
          <w:szCs w:val="24"/>
          <w:lang w:val="en-US"/>
        </w:rPr>
        <w:t>Detyron ndërmarrjen mëmë të zbatojë politika dhe kontrolle të unifikuara në nivel grupi, përfshirë shkëmbimin e informacionit brenda grupit dhe vlerësimin e rrezikut në nivel grupi.</w:t>
      </w:r>
    </w:p>
    <w:p w14:paraId="3D47D512" w14:textId="77777777" w:rsidR="00590247" w:rsidRPr="00590247" w:rsidRDefault="00590247" w:rsidP="00E83544">
      <w:pPr>
        <w:widowControl/>
        <w:autoSpaceDE/>
        <w:autoSpaceDN/>
        <w:spacing w:line="276" w:lineRule="auto"/>
        <w:outlineLvl w:val="2"/>
        <w:rPr>
          <w:b/>
          <w:bCs/>
          <w:sz w:val="24"/>
          <w:szCs w:val="24"/>
          <w:lang w:val="en-US"/>
        </w:rPr>
      </w:pPr>
      <w:r w:rsidRPr="00590247">
        <w:rPr>
          <w:b/>
          <w:bCs/>
          <w:sz w:val="24"/>
          <w:szCs w:val="24"/>
          <w:lang w:val="en-US"/>
        </w:rPr>
        <w:t>Neni 16 – Degët në vende të treta</w:t>
      </w:r>
    </w:p>
    <w:p w14:paraId="4C2E1692" w14:textId="40D0807B" w:rsidR="00590247" w:rsidRDefault="00590247" w:rsidP="00E83544">
      <w:pPr>
        <w:widowControl/>
        <w:autoSpaceDE/>
        <w:autoSpaceDN/>
        <w:spacing w:line="276" w:lineRule="auto"/>
        <w:rPr>
          <w:sz w:val="24"/>
          <w:szCs w:val="24"/>
          <w:lang w:val="en-US"/>
        </w:rPr>
      </w:pPr>
      <w:r w:rsidRPr="00590247">
        <w:rPr>
          <w:sz w:val="24"/>
          <w:szCs w:val="24"/>
          <w:lang w:val="en-US"/>
        </w:rPr>
        <w:t>Kërkon që degët/filialet në vende me standarde më të ulëta të zbatojnë standardet e këtij ligji.</w:t>
      </w:r>
      <w:r w:rsidRPr="00590247">
        <w:rPr>
          <w:sz w:val="24"/>
          <w:szCs w:val="24"/>
          <w:lang w:val="en-US"/>
        </w:rPr>
        <w:br/>
        <w:t>Në rast pengesash ligjore, kërkohen masa shtesë ose ndërprerje e veprimtarisë.</w:t>
      </w:r>
    </w:p>
    <w:p w14:paraId="19DDD3B1" w14:textId="77777777" w:rsidR="00590247" w:rsidRPr="00590247" w:rsidRDefault="00590247" w:rsidP="00E83544">
      <w:pPr>
        <w:widowControl/>
        <w:autoSpaceDE/>
        <w:autoSpaceDN/>
        <w:spacing w:line="276" w:lineRule="auto"/>
        <w:rPr>
          <w:sz w:val="24"/>
          <w:szCs w:val="24"/>
          <w:lang w:val="en-US"/>
        </w:rPr>
      </w:pPr>
    </w:p>
    <w:p w14:paraId="1F24B057" w14:textId="77777777" w:rsidR="00590247" w:rsidRPr="00590247" w:rsidRDefault="00590247" w:rsidP="00E83544">
      <w:pPr>
        <w:widowControl/>
        <w:autoSpaceDE/>
        <w:autoSpaceDN/>
        <w:spacing w:line="276" w:lineRule="auto"/>
        <w:outlineLvl w:val="1"/>
        <w:rPr>
          <w:b/>
          <w:bCs/>
          <w:sz w:val="24"/>
          <w:szCs w:val="24"/>
          <w:lang w:val="en-US"/>
        </w:rPr>
      </w:pPr>
      <w:r w:rsidRPr="00590247">
        <w:rPr>
          <w:b/>
          <w:bCs/>
          <w:sz w:val="24"/>
          <w:szCs w:val="24"/>
          <w:lang w:val="en-US"/>
        </w:rPr>
        <w:t>SEKSIONI 3 – Kontraktimi</w:t>
      </w:r>
    </w:p>
    <w:p w14:paraId="5D8DB027" w14:textId="77777777" w:rsidR="00590247" w:rsidRPr="00590247" w:rsidRDefault="00590247" w:rsidP="00E83544">
      <w:pPr>
        <w:widowControl/>
        <w:autoSpaceDE/>
        <w:autoSpaceDN/>
        <w:spacing w:line="276" w:lineRule="auto"/>
        <w:outlineLvl w:val="2"/>
        <w:rPr>
          <w:b/>
          <w:bCs/>
          <w:sz w:val="24"/>
          <w:szCs w:val="24"/>
          <w:lang w:val="en-US"/>
        </w:rPr>
      </w:pPr>
      <w:r w:rsidRPr="00590247">
        <w:rPr>
          <w:b/>
          <w:bCs/>
          <w:sz w:val="24"/>
          <w:szCs w:val="24"/>
          <w:lang w:val="en-US"/>
        </w:rPr>
        <w:t>Neni 17 – Kontraktimi</w:t>
      </w:r>
    </w:p>
    <w:p w14:paraId="17CBE8E2" w14:textId="4A3E6B54" w:rsidR="00590247" w:rsidRPr="00590247" w:rsidRDefault="00590247" w:rsidP="00E83544">
      <w:pPr>
        <w:widowControl/>
        <w:autoSpaceDE/>
        <w:autoSpaceDN/>
        <w:spacing w:line="276" w:lineRule="auto"/>
        <w:rPr>
          <w:sz w:val="24"/>
          <w:szCs w:val="24"/>
          <w:lang w:val="en-US"/>
        </w:rPr>
      </w:pPr>
      <w:r w:rsidRPr="00590247">
        <w:rPr>
          <w:sz w:val="24"/>
          <w:szCs w:val="24"/>
          <w:lang w:val="en-US"/>
        </w:rPr>
        <w:t>Lejon kontraktimin e disa detyrave, por jo të funksioneve thelbësore (p.sh. miratimi i vlerësimit të rrezikut, vendimmarrja për klientët, raportimi i dyshimeve).</w:t>
      </w:r>
      <w:r w:rsidRPr="00590247">
        <w:rPr>
          <w:sz w:val="24"/>
          <w:szCs w:val="24"/>
          <w:lang w:val="en-US"/>
        </w:rPr>
        <w:br/>
        <w:t>Subjekti mban përgjegjësi të plotë dhe duhet të sigurojë mbikëqyrje efektive.</w:t>
      </w:r>
    </w:p>
    <w:p w14:paraId="04B1DD54" w14:textId="77777777" w:rsidR="00590247" w:rsidRPr="00590247" w:rsidRDefault="00590247" w:rsidP="00E83544">
      <w:pPr>
        <w:widowControl/>
        <w:autoSpaceDE/>
        <w:autoSpaceDN/>
        <w:spacing w:line="276" w:lineRule="auto"/>
        <w:outlineLvl w:val="0"/>
        <w:rPr>
          <w:b/>
          <w:bCs/>
          <w:kern w:val="36"/>
          <w:sz w:val="24"/>
          <w:szCs w:val="24"/>
          <w:lang w:val="en-US"/>
        </w:rPr>
      </w:pPr>
      <w:r w:rsidRPr="00590247">
        <w:rPr>
          <w:b/>
          <w:bCs/>
          <w:kern w:val="36"/>
          <w:sz w:val="24"/>
          <w:szCs w:val="24"/>
          <w:lang w:val="en-US"/>
        </w:rPr>
        <w:t>KREU III</w:t>
      </w:r>
    </w:p>
    <w:p w14:paraId="1647549D" w14:textId="16078495" w:rsidR="00590247" w:rsidRPr="00590247" w:rsidRDefault="00590247" w:rsidP="00E83544">
      <w:pPr>
        <w:widowControl/>
        <w:autoSpaceDE/>
        <w:autoSpaceDN/>
        <w:spacing w:line="276" w:lineRule="auto"/>
        <w:outlineLvl w:val="1"/>
        <w:rPr>
          <w:b/>
          <w:bCs/>
          <w:sz w:val="24"/>
          <w:szCs w:val="24"/>
          <w:lang w:val="en-US"/>
        </w:rPr>
      </w:pPr>
      <w:r w:rsidRPr="00590247">
        <w:rPr>
          <w:b/>
          <w:bCs/>
          <w:sz w:val="24"/>
          <w:szCs w:val="24"/>
          <w:lang w:val="en-US"/>
        </w:rPr>
        <w:t>Vigjilenca e duhur ndaj klientit</w:t>
      </w:r>
    </w:p>
    <w:p w14:paraId="4985C5A1" w14:textId="77777777" w:rsidR="00590247" w:rsidRPr="00590247" w:rsidRDefault="00590247" w:rsidP="00E83544">
      <w:pPr>
        <w:widowControl/>
        <w:autoSpaceDE/>
        <w:autoSpaceDN/>
        <w:spacing w:line="276" w:lineRule="auto"/>
        <w:outlineLvl w:val="2"/>
        <w:rPr>
          <w:b/>
          <w:bCs/>
          <w:sz w:val="24"/>
          <w:szCs w:val="24"/>
          <w:lang w:val="en-US"/>
        </w:rPr>
      </w:pPr>
      <w:r w:rsidRPr="00590247">
        <w:rPr>
          <w:b/>
          <w:bCs/>
          <w:sz w:val="24"/>
          <w:szCs w:val="24"/>
          <w:lang w:val="en-US"/>
        </w:rPr>
        <w:t>Neni 18 – Zbatimi i masave të vigjilencës</w:t>
      </w:r>
    </w:p>
    <w:p w14:paraId="2BFB8CFA" w14:textId="77777777" w:rsidR="00590247" w:rsidRPr="00590247" w:rsidRDefault="00590247" w:rsidP="00E83544">
      <w:pPr>
        <w:widowControl/>
        <w:autoSpaceDE/>
        <w:autoSpaceDN/>
        <w:spacing w:line="276" w:lineRule="auto"/>
        <w:rPr>
          <w:sz w:val="24"/>
          <w:szCs w:val="24"/>
          <w:lang w:val="en-US"/>
        </w:rPr>
      </w:pPr>
      <w:r w:rsidRPr="00590247">
        <w:rPr>
          <w:sz w:val="24"/>
          <w:szCs w:val="24"/>
          <w:lang w:val="en-US"/>
        </w:rPr>
        <w:t>Përcakton rastet kur subjektet duhet të zbatojnë masat e vigjilencës ndaj klientit, përfshirë:</w:t>
      </w:r>
    </w:p>
    <w:p w14:paraId="6C5C2457" w14:textId="77777777" w:rsidR="00590247" w:rsidRPr="00590247" w:rsidRDefault="00590247" w:rsidP="004D5FC8">
      <w:pPr>
        <w:widowControl/>
        <w:numPr>
          <w:ilvl w:val="0"/>
          <w:numId w:val="8"/>
        </w:numPr>
        <w:tabs>
          <w:tab w:val="clear" w:pos="720"/>
          <w:tab w:val="num" w:pos="540"/>
        </w:tabs>
        <w:autoSpaceDE/>
        <w:autoSpaceDN/>
        <w:spacing w:line="276" w:lineRule="auto"/>
        <w:ind w:left="0" w:firstLine="0"/>
        <w:rPr>
          <w:sz w:val="24"/>
          <w:szCs w:val="24"/>
          <w:lang w:val="en-US"/>
        </w:rPr>
      </w:pPr>
      <w:r w:rsidRPr="00590247">
        <w:rPr>
          <w:sz w:val="24"/>
          <w:szCs w:val="24"/>
          <w:lang w:val="en-US"/>
        </w:rPr>
        <w:t>krijimin e marrëdhënies së biznesit;</w:t>
      </w:r>
    </w:p>
    <w:p w14:paraId="25EB0F6C" w14:textId="77777777" w:rsidR="00590247" w:rsidRPr="00590247" w:rsidRDefault="00590247" w:rsidP="004D5FC8">
      <w:pPr>
        <w:widowControl/>
        <w:numPr>
          <w:ilvl w:val="0"/>
          <w:numId w:val="8"/>
        </w:numPr>
        <w:tabs>
          <w:tab w:val="clear" w:pos="720"/>
          <w:tab w:val="num" w:pos="540"/>
        </w:tabs>
        <w:autoSpaceDE/>
        <w:autoSpaceDN/>
        <w:spacing w:line="276" w:lineRule="auto"/>
        <w:ind w:left="0" w:firstLine="0"/>
        <w:rPr>
          <w:sz w:val="24"/>
          <w:szCs w:val="24"/>
          <w:lang w:val="en-US"/>
        </w:rPr>
      </w:pPr>
      <w:r w:rsidRPr="00590247">
        <w:rPr>
          <w:sz w:val="24"/>
          <w:szCs w:val="24"/>
          <w:lang w:val="en-US"/>
        </w:rPr>
        <w:t>transaksione mbi pragje të caktuara (10 000 €, 1 000 €, 3 000 €, 2 000 € sipas sektorit);</w:t>
      </w:r>
    </w:p>
    <w:p w14:paraId="45BB78C7" w14:textId="77777777" w:rsidR="00590247" w:rsidRPr="00590247" w:rsidRDefault="00590247" w:rsidP="004D5FC8">
      <w:pPr>
        <w:widowControl/>
        <w:numPr>
          <w:ilvl w:val="0"/>
          <w:numId w:val="8"/>
        </w:numPr>
        <w:tabs>
          <w:tab w:val="clear" w:pos="720"/>
          <w:tab w:val="num" w:pos="540"/>
        </w:tabs>
        <w:autoSpaceDE/>
        <w:autoSpaceDN/>
        <w:spacing w:line="276" w:lineRule="auto"/>
        <w:ind w:left="0" w:firstLine="0"/>
        <w:rPr>
          <w:sz w:val="24"/>
          <w:szCs w:val="24"/>
          <w:lang w:val="en-US"/>
        </w:rPr>
      </w:pPr>
      <w:r w:rsidRPr="00590247">
        <w:rPr>
          <w:sz w:val="24"/>
          <w:szCs w:val="24"/>
          <w:lang w:val="en-US"/>
        </w:rPr>
        <w:t>dyshime për pastrim parash;</w:t>
      </w:r>
    </w:p>
    <w:p w14:paraId="44153C44" w14:textId="77777777" w:rsidR="00590247" w:rsidRPr="00590247" w:rsidRDefault="00590247" w:rsidP="004D5FC8">
      <w:pPr>
        <w:widowControl/>
        <w:numPr>
          <w:ilvl w:val="0"/>
          <w:numId w:val="8"/>
        </w:numPr>
        <w:tabs>
          <w:tab w:val="clear" w:pos="720"/>
          <w:tab w:val="num" w:pos="540"/>
        </w:tabs>
        <w:autoSpaceDE/>
        <w:autoSpaceDN/>
        <w:spacing w:line="276" w:lineRule="auto"/>
        <w:ind w:left="0" w:firstLine="0"/>
        <w:rPr>
          <w:sz w:val="24"/>
          <w:szCs w:val="24"/>
          <w:lang w:val="en-US"/>
        </w:rPr>
      </w:pPr>
      <w:r w:rsidRPr="00590247">
        <w:rPr>
          <w:sz w:val="24"/>
          <w:szCs w:val="24"/>
          <w:lang w:val="en-US"/>
        </w:rPr>
        <w:t>dyshime mbi identitetin.</w:t>
      </w:r>
    </w:p>
    <w:p w14:paraId="7DB5CB99" w14:textId="77777777" w:rsidR="00590247" w:rsidRPr="00590247" w:rsidRDefault="00590247" w:rsidP="00E83544">
      <w:pPr>
        <w:widowControl/>
        <w:tabs>
          <w:tab w:val="num" w:pos="540"/>
        </w:tabs>
        <w:autoSpaceDE/>
        <w:autoSpaceDN/>
        <w:spacing w:line="276" w:lineRule="auto"/>
        <w:rPr>
          <w:sz w:val="24"/>
          <w:szCs w:val="24"/>
          <w:lang w:val="en-US"/>
        </w:rPr>
      </w:pPr>
      <w:r w:rsidRPr="00590247">
        <w:rPr>
          <w:sz w:val="24"/>
          <w:szCs w:val="24"/>
          <w:lang w:val="en-US"/>
        </w:rPr>
        <w:t>Parashikon rregulla specifike për:</w:t>
      </w:r>
    </w:p>
    <w:p w14:paraId="4250B70D" w14:textId="77777777" w:rsidR="00590247" w:rsidRPr="00590247" w:rsidRDefault="00590247" w:rsidP="004D5FC8">
      <w:pPr>
        <w:widowControl/>
        <w:numPr>
          <w:ilvl w:val="0"/>
          <w:numId w:val="9"/>
        </w:numPr>
        <w:tabs>
          <w:tab w:val="clear" w:pos="720"/>
          <w:tab w:val="num" w:pos="540"/>
        </w:tabs>
        <w:autoSpaceDE/>
        <w:autoSpaceDN/>
        <w:spacing w:line="276" w:lineRule="auto"/>
        <w:ind w:left="0" w:firstLine="0"/>
        <w:rPr>
          <w:sz w:val="24"/>
          <w:szCs w:val="24"/>
          <w:lang w:val="en-US"/>
        </w:rPr>
      </w:pPr>
      <w:r w:rsidRPr="00590247">
        <w:rPr>
          <w:sz w:val="24"/>
          <w:szCs w:val="24"/>
          <w:lang w:val="en-US"/>
        </w:rPr>
        <w:t>institucionet financiare;</w:t>
      </w:r>
    </w:p>
    <w:p w14:paraId="2D8B3AFA" w14:textId="77777777" w:rsidR="00590247" w:rsidRPr="00590247" w:rsidRDefault="00590247" w:rsidP="004D5FC8">
      <w:pPr>
        <w:widowControl/>
        <w:numPr>
          <w:ilvl w:val="0"/>
          <w:numId w:val="9"/>
        </w:numPr>
        <w:tabs>
          <w:tab w:val="clear" w:pos="720"/>
          <w:tab w:val="num" w:pos="540"/>
        </w:tabs>
        <w:autoSpaceDE/>
        <w:autoSpaceDN/>
        <w:spacing w:line="276" w:lineRule="auto"/>
        <w:ind w:left="0" w:firstLine="0"/>
        <w:rPr>
          <w:sz w:val="24"/>
          <w:szCs w:val="24"/>
          <w:lang w:val="en-US"/>
        </w:rPr>
      </w:pPr>
      <w:r w:rsidRPr="00590247">
        <w:rPr>
          <w:sz w:val="24"/>
          <w:szCs w:val="24"/>
          <w:lang w:val="en-US"/>
        </w:rPr>
        <w:t>ofruesit e kriptoaseteve;</w:t>
      </w:r>
    </w:p>
    <w:p w14:paraId="516246B6" w14:textId="77777777" w:rsidR="00590247" w:rsidRPr="00590247" w:rsidRDefault="00590247" w:rsidP="004D5FC8">
      <w:pPr>
        <w:widowControl/>
        <w:numPr>
          <w:ilvl w:val="0"/>
          <w:numId w:val="9"/>
        </w:numPr>
        <w:tabs>
          <w:tab w:val="clear" w:pos="720"/>
          <w:tab w:val="num" w:pos="540"/>
        </w:tabs>
        <w:autoSpaceDE/>
        <w:autoSpaceDN/>
        <w:spacing w:line="276" w:lineRule="auto"/>
        <w:ind w:left="0" w:firstLine="0"/>
        <w:rPr>
          <w:sz w:val="24"/>
          <w:szCs w:val="24"/>
          <w:lang w:val="en-US"/>
        </w:rPr>
      </w:pPr>
      <w:r w:rsidRPr="00590247">
        <w:rPr>
          <w:sz w:val="24"/>
          <w:szCs w:val="24"/>
          <w:lang w:val="en-US"/>
        </w:rPr>
        <w:lastRenderedPageBreak/>
        <w:t>lojërat e fatit;</w:t>
      </w:r>
    </w:p>
    <w:p w14:paraId="400A06D9" w14:textId="6A9C18CC" w:rsidR="00C452DC" w:rsidRPr="00B0667A" w:rsidRDefault="00590247" w:rsidP="004D5FC8">
      <w:pPr>
        <w:widowControl/>
        <w:numPr>
          <w:ilvl w:val="0"/>
          <w:numId w:val="9"/>
        </w:numPr>
        <w:tabs>
          <w:tab w:val="clear" w:pos="720"/>
          <w:tab w:val="num" w:pos="540"/>
        </w:tabs>
        <w:autoSpaceDE/>
        <w:autoSpaceDN/>
        <w:spacing w:line="276" w:lineRule="auto"/>
        <w:ind w:left="0" w:firstLine="0"/>
        <w:rPr>
          <w:sz w:val="24"/>
          <w:szCs w:val="24"/>
          <w:lang w:val="en-US"/>
        </w:rPr>
      </w:pPr>
      <w:r w:rsidRPr="00590247">
        <w:rPr>
          <w:sz w:val="24"/>
          <w:szCs w:val="24"/>
          <w:lang w:val="en-US"/>
        </w:rPr>
        <w:t>paratë elektronike me rrezik të ulët.</w:t>
      </w:r>
    </w:p>
    <w:p w14:paraId="71E67EF3" w14:textId="4CCF194A"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Neni 19 – Masat e vigjilencës së duhur ndaj klientit</w:t>
      </w:r>
    </w:p>
    <w:p w14:paraId="32A12AF0" w14:textId="77777777" w:rsidR="00DE7352" w:rsidRPr="00DE7352" w:rsidRDefault="00DE7352" w:rsidP="00E83544">
      <w:pPr>
        <w:widowControl/>
        <w:autoSpaceDE/>
        <w:autoSpaceDN/>
        <w:spacing w:line="276" w:lineRule="auto"/>
        <w:jc w:val="both"/>
        <w:outlineLvl w:val="1"/>
        <w:rPr>
          <w:bCs/>
          <w:sz w:val="24"/>
          <w:szCs w:val="24"/>
          <w:lang w:val="en-US"/>
        </w:rPr>
      </w:pPr>
      <w:r w:rsidRPr="00DE7352">
        <w:rPr>
          <w:bCs/>
          <w:sz w:val="24"/>
          <w:szCs w:val="24"/>
          <w:lang w:val="en-US"/>
        </w:rPr>
        <w:t>Përcakton përmbajtjen minimale të masave të vigjilencës së duhur (CDD), përfshirë: identifikimin dhe verifikimin e klientit dhe pronarit përfitues; kuptimin e strukturës së pronësisë dhe kontrollit; vlerësimin e qëllimit dhe natyrës së marrëdhënies; verifikimin ndaj sanksioneve financiare; përcaktimin e statusit PEP; identifikimin e personave që veprojnë në emër të klientit; si dhe monitorimin e vazhdueshëm të marrëdhënies.</w:t>
      </w:r>
    </w:p>
    <w:p w14:paraId="499BB069" w14:textId="75E2551B" w:rsidR="00DE7352" w:rsidRPr="00DE7352" w:rsidRDefault="00DE7352" w:rsidP="00E83544">
      <w:pPr>
        <w:widowControl/>
        <w:autoSpaceDE/>
        <w:autoSpaceDN/>
        <w:spacing w:line="276" w:lineRule="auto"/>
        <w:jc w:val="both"/>
        <w:outlineLvl w:val="1"/>
        <w:rPr>
          <w:bCs/>
          <w:sz w:val="24"/>
          <w:szCs w:val="24"/>
          <w:lang w:val="en-US"/>
        </w:rPr>
      </w:pPr>
      <w:r w:rsidRPr="00DE7352">
        <w:rPr>
          <w:bCs/>
          <w:sz w:val="24"/>
          <w:szCs w:val="24"/>
          <w:lang w:val="en-US"/>
        </w:rPr>
        <w:t>Parashikon qasjen e bazuar në rrezik (masa të thjeshtuara ose të zgjeruara), nxjerrjen e udhëzimeve nga ministri përgjegjës për financat me propozim të AIF dhe detyrimin për të provuar përpara mbikëqyrësit përshtatshmërinë e masave.</w:t>
      </w:r>
    </w:p>
    <w:p w14:paraId="3E1C6F03" w14:textId="749C5148"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Neni 20 – Pamundësia për të zbatuar masat CDD</w:t>
      </w:r>
    </w:p>
    <w:p w14:paraId="63DBAB51" w14:textId="77777777" w:rsidR="00DE7352" w:rsidRPr="00DE7352" w:rsidRDefault="00DE7352" w:rsidP="00E83544">
      <w:pPr>
        <w:widowControl/>
        <w:autoSpaceDE/>
        <w:autoSpaceDN/>
        <w:spacing w:line="276" w:lineRule="auto"/>
        <w:jc w:val="both"/>
        <w:outlineLvl w:val="1"/>
        <w:rPr>
          <w:bCs/>
          <w:sz w:val="24"/>
          <w:szCs w:val="24"/>
          <w:lang w:val="en-US"/>
        </w:rPr>
      </w:pPr>
      <w:r w:rsidRPr="00DE7352">
        <w:rPr>
          <w:bCs/>
          <w:sz w:val="24"/>
          <w:szCs w:val="24"/>
          <w:lang w:val="en-US"/>
        </w:rPr>
        <w:t>Parashikon se, kur nuk mund të përmbushen kërkesat e CDD, subjekti nuk krijon ose ndërpret marrëdhënien dhe shqyrton raportimin e transaksionit të dyshimtë.</w:t>
      </w:r>
    </w:p>
    <w:p w14:paraId="7D482B79" w14:textId="77777777" w:rsidR="00DE7352" w:rsidRPr="00DE7352" w:rsidRDefault="00DE7352" w:rsidP="00E83544">
      <w:pPr>
        <w:widowControl/>
        <w:autoSpaceDE/>
        <w:autoSpaceDN/>
        <w:spacing w:line="276" w:lineRule="auto"/>
        <w:jc w:val="both"/>
        <w:outlineLvl w:val="1"/>
        <w:rPr>
          <w:bCs/>
          <w:sz w:val="24"/>
          <w:szCs w:val="24"/>
          <w:lang w:val="en-US"/>
        </w:rPr>
      </w:pPr>
      <w:r w:rsidRPr="00DE7352">
        <w:rPr>
          <w:bCs/>
          <w:sz w:val="24"/>
          <w:szCs w:val="24"/>
          <w:lang w:val="en-US"/>
        </w:rPr>
        <w:t>Vendos përjashtime për profesionet ligjore në kuadër të mbrojtjes gjyqësore, me kufizime në rast përfshirjeje ose dijenie për pastrim parash/FT.</w:t>
      </w:r>
    </w:p>
    <w:p w14:paraId="4CE2EA25" w14:textId="01702E11" w:rsidR="00DE7352" w:rsidRPr="00DE7352" w:rsidRDefault="00DE7352" w:rsidP="00E83544">
      <w:pPr>
        <w:widowControl/>
        <w:autoSpaceDE/>
        <w:autoSpaceDN/>
        <w:spacing w:line="276" w:lineRule="auto"/>
        <w:jc w:val="both"/>
        <w:outlineLvl w:val="1"/>
        <w:rPr>
          <w:bCs/>
          <w:sz w:val="24"/>
          <w:szCs w:val="24"/>
          <w:lang w:val="en-US"/>
        </w:rPr>
      </w:pPr>
      <w:r w:rsidRPr="00DE7352">
        <w:rPr>
          <w:bCs/>
          <w:sz w:val="24"/>
          <w:szCs w:val="24"/>
          <w:lang w:val="en-US"/>
        </w:rPr>
        <w:t>Parashikon detyrimin për mbajtjen dhe përditësimin e dokumentacionit lidhur me veprimet e ndërmarra.</w:t>
      </w:r>
    </w:p>
    <w:p w14:paraId="25E3F003" w14:textId="2BE73809"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Neni 21 – Identifikimi dhe verifikimi i identitetit</w:t>
      </w:r>
    </w:p>
    <w:p w14:paraId="347B6E2B" w14:textId="77777777" w:rsidR="00DE7352" w:rsidRPr="00DE7352" w:rsidRDefault="00DE7352" w:rsidP="00E83544">
      <w:pPr>
        <w:widowControl/>
        <w:autoSpaceDE/>
        <w:autoSpaceDN/>
        <w:spacing w:line="276" w:lineRule="auto"/>
        <w:jc w:val="both"/>
        <w:outlineLvl w:val="1"/>
        <w:rPr>
          <w:bCs/>
          <w:sz w:val="24"/>
          <w:szCs w:val="24"/>
          <w:lang w:val="en-US"/>
        </w:rPr>
      </w:pPr>
      <w:r w:rsidRPr="00DE7352">
        <w:rPr>
          <w:bCs/>
          <w:sz w:val="24"/>
          <w:szCs w:val="24"/>
          <w:lang w:val="en-US"/>
        </w:rPr>
        <w:t>Përcakton të dhënat minimale për identifikimin e personave fizikë, juridikë, trusteve dhe organizimeve të tjera juridike.</w:t>
      </w:r>
    </w:p>
    <w:p w14:paraId="7E3E419B" w14:textId="77777777" w:rsidR="00DE7352" w:rsidRPr="00DE7352" w:rsidRDefault="00DE7352" w:rsidP="00E83544">
      <w:pPr>
        <w:widowControl/>
        <w:autoSpaceDE/>
        <w:autoSpaceDN/>
        <w:spacing w:line="276" w:lineRule="auto"/>
        <w:jc w:val="both"/>
        <w:outlineLvl w:val="1"/>
        <w:rPr>
          <w:bCs/>
          <w:sz w:val="24"/>
          <w:szCs w:val="24"/>
          <w:lang w:val="en-US"/>
        </w:rPr>
      </w:pPr>
      <w:r w:rsidRPr="00DE7352">
        <w:rPr>
          <w:bCs/>
          <w:sz w:val="24"/>
          <w:szCs w:val="24"/>
          <w:lang w:val="en-US"/>
        </w:rPr>
        <w:t>Rregullon identifikimin e pronarit përfitues, përfshirë rastin kur ai nuk mund të identifikohet (identifikimi i drejtuesve të lartë).</w:t>
      </w:r>
    </w:p>
    <w:p w14:paraId="3567DD48" w14:textId="77777777" w:rsidR="00DE7352" w:rsidRPr="00DE7352" w:rsidRDefault="00DE7352" w:rsidP="00E83544">
      <w:pPr>
        <w:widowControl/>
        <w:autoSpaceDE/>
        <w:autoSpaceDN/>
        <w:spacing w:line="276" w:lineRule="auto"/>
        <w:jc w:val="both"/>
        <w:outlineLvl w:val="1"/>
        <w:rPr>
          <w:bCs/>
          <w:sz w:val="24"/>
          <w:szCs w:val="24"/>
          <w:lang w:val="en-US"/>
        </w:rPr>
      </w:pPr>
      <w:r w:rsidRPr="00DE7352">
        <w:rPr>
          <w:bCs/>
          <w:sz w:val="24"/>
          <w:szCs w:val="24"/>
          <w:lang w:val="en-US"/>
        </w:rPr>
        <w:t>Vendos detyrime specifike për IBAN virtuale dhe për verifikimin nëpërmjet dokumenteve zyrtare ose mjeteve elektronike të identifikimit.</w:t>
      </w:r>
    </w:p>
    <w:p w14:paraId="7363534F" w14:textId="47A4017D" w:rsidR="00DE7352" w:rsidRPr="00DE7352" w:rsidRDefault="00DE7352" w:rsidP="00E83544">
      <w:pPr>
        <w:widowControl/>
        <w:autoSpaceDE/>
        <w:autoSpaceDN/>
        <w:spacing w:line="276" w:lineRule="auto"/>
        <w:jc w:val="both"/>
        <w:outlineLvl w:val="1"/>
        <w:rPr>
          <w:b/>
          <w:bCs/>
          <w:sz w:val="24"/>
          <w:szCs w:val="24"/>
          <w:lang w:val="en-US"/>
        </w:rPr>
      </w:pPr>
      <w:r w:rsidRPr="00DE7352">
        <w:rPr>
          <w:bCs/>
          <w:sz w:val="24"/>
          <w:szCs w:val="24"/>
          <w:lang w:val="en-US"/>
        </w:rPr>
        <w:t>Parashikon detyrimin për konsultimin e regjistrave qendrorë për verifikimin e</w:t>
      </w:r>
      <w:r w:rsidRPr="00DE7352">
        <w:rPr>
          <w:b/>
          <w:bCs/>
          <w:sz w:val="24"/>
          <w:szCs w:val="24"/>
          <w:lang w:val="en-US"/>
        </w:rPr>
        <w:t xml:space="preserve"> pronësisë përfituese.</w:t>
      </w:r>
    </w:p>
    <w:p w14:paraId="7A177CDF" w14:textId="5BB579F0"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Neni 22 – Koha e verifikimit</w:t>
      </w:r>
    </w:p>
    <w:p w14:paraId="721E80BA" w14:textId="77777777"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t>Vendos parimin që verifikimi kryhet përpara krijimit të marrëdhënies ose kryerjes së transaksionit, me përjashtime të kufizuara për rrezik të ulët.</w:t>
      </w:r>
    </w:p>
    <w:p w14:paraId="27C109FD" w14:textId="79DA04E7"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t>Rregullon rastet e hapjes së llogarive me masa mbrojtëse paraprake dhe detyrimin për marrjen e provave të regjistrimit në Regjistrin e Pronarëve Përfitues.</w:t>
      </w:r>
    </w:p>
    <w:p w14:paraId="7634A5C1" w14:textId="605D74EE"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Neni 23 – Raportimi i mospërputhjeve në regjistrin e pronarëve përfitues</w:t>
      </w:r>
    </w:p>
    <w:p w14:paraId="5CC7E6FB" w14:textId="77777777"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t>Detyron raportimin brenda 14 ditëve të çdo mospërputhjeje të konstatuar.</w:t>
      </w:r>
    </w:p>
    <w:p w14:paraId="7BF50D69" w14:textId="77777777"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t>Parashikon përjashtime për gabime të vogla ose të dhëna të vjetruara, si dhe procedurën kur klienti nuk korrigjon të dhënat.</w:t>
      </w:r>
    </w:p>
    <w:p w14:paraId="2A33407E" w14:textId="3BFB1E2F"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t>Përjashton profesionet ligjore në kuadër të përfaqësimit gjyqësor, me kufizime specifike.</w:t>
      </w:r>
    </w:p>
    <w:p w14:paraId="5F0DF6B5" w14:textId="7C5BA91F"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Neni 24 – Qëllimi dhe natyra e marrëdhënies</w:t>
      </w:r>
    </w:p>
    <w:p w14:paraId="63BA224D" w14:textId="2BC1CC1D" w:rsidR="00DE7352" w:rsidRPr="00DE7352" w:rsidRDefault="00DE7352" w:rsidP="00E83544">
      <w:pPr>
        <w:widowControl/>
        <w:autoSpaceDE/>
        <w:autoSpaceDN/>
        <w:spacing w:line="276" w:lineRule="auto"/>
        <w:jc w:val="both"/>
        <w:outlineLvl w:val="1"/>
        <w:rPr>
          <w:bCs/>
          <w:sz w:val="24"/>
          <w:szCs w:val="24"/>
          <w:lang w:val="en-US"/>
        </w:rPr>
      </w:pPr>
      <w:r w:rsidRPr="00DE7352">
        <w:rPr>
          <w:bCs/>
          <w:sz w:val="24"/>
          <w:szCs w:val="24"/>
          <w:lang w:val="en-US"/>
        </w:rPr>
        <w:t>Detyron subjektet të kuptojnë arsyetimin ekonomik, burimin dhe destinacionin e fondeve, si dhe profilin e veprimtarisë së klientit përpara krijimit të marrëdhënies ose kryerjes së transaksionit.</w:t>
      </w:r>
    </w:p>
    <w:p w14:paraId="2A264D26" w14:textId="63740238"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Neni 25 – Monitorimi i vazhdueshëm</w:t>
      </w:r>
    </w:p>
    <w:p w14:paraId="1A6A63FA" w14:textId="77777777"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lastRenderedPageBreak/>
        <w:t>Vendos detyrimin për monitorim të vazhdueshëm të marrëdhënies dhe transaksioneve, përditësim periodik të të dhënave (1 vit për rrezik të lartë, 5 vite për të tjerët) dhe verifikim të rregullt të respektimit të sanksioneve financiare.</w:t>
      </w:r>
    </w:p>
    <w:p w14:paraId="17932B19" w14:textId="0C38D625"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t>Parashikon nxjerrjen e udhëzimeve nga ministri me propozim të AIF.</w:t>
      </w:r>
    </w:p>
    <w:p w14:paraId="21DD0F65" w14:textId="74861733"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Neni 26 – Masat e përkohshme për klientët nën sanksione të OKB-së</w:t>
      </w:r>
    </w:p>
    <w:p w14:paraId="15AE1939" w14:textId="7B7C12A5"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t>Detyron mbajtjen e të dhënave për fondet dhe transaksionet e klientëve të sanksionuar nga OKB, gjatë periudhës ndërmjet publikimit të sanksioneve dhe zbatimit të tyre në BE.</w:t>
      </w:r>
    </w:p>
    <w:p w14:paraId="530A4ED6" w14:textId="77777777"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Politikat për vendet e treta</w:t>
      </w:r>
    </w:p>
    <w:p w14:paraId="2776921F" w14:textId="5734FF34"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t>Neni 27 – Vende të treta me mangësi strategjike</w:t>
      </w:r>
    </w:p>
    <w:p w14:paraId="782955AA" w14:textId="425DB06D"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t>Referon listat e BE për vendet me rrezik të lartë dhe detyron zbatimin e masave të zgjeruara dhe kundërmasave përkatëse.</w:t>
      </w:r>
    </w:p>
    <w:p w14:paraId="7422CEE0" w14:textId="272F5B83"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Neni 28 – Vende me mangësi në sistemet e përputhshmërisë</w:t>
      </w:r>
    </w:p>
    <w:p w14:paraId="7503ACDB" w14:textId="568834C8"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t>Parashikon masa të zgjeruara për vendet e identifikuara nga BE me dobësi në regjimin AML/CFT.</w:t>
      </w:r>
    </w:p>
    <w:p w14:paraId="30AA8F7C" w14:textId="5ED68076"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Neni 29 – Vende të treta me rrezik të lartë</w:t>
      </w:r>
    </w:p>
    <w:p w14:paraId="72B8AFA4" w14:textId="1F462249"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t>Vendos zbatimin e kundërmasave specifike sipas akteve të BE për vendet që paraqesin kërcënim serioz ndaj sistemit financiar.</w:t>
      </w:r>
    </w:p>
    <w:p w14:paraId="32372A27" w14:textId="77777777"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Vigjilenca e thjeshtuar</w:t>
      </w:r>
    </w:p>
    <w:p w14:paraId="345C44FC" w14:textId="660B20D5"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Neni 30 – Masat e vigjilencës së thjeshtuar</w:t>
      </w:r>
    </w:p>
    <w:p w14:paraId="52CF56A1" w14:textId="77777777"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t>Lejon aplikimin e masave të reduktuara kur identifikohet rrezik i ulët, përfshirë shtyrjen e verifikimit (deri në 60 ditë), reduktim të përditësimeve dhe të thellësisë së shqyrtimit.</w:t>
      </w:r>
    </w:p>
    <w:p w14:paraId="38CF7EF4" w14:textId="609E1871"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t>Përjashton aplikimin e tyre kur ekzistojnë dyshime për pastrim parash, mospërputhje informacioni ose tentativë për shmangie sanksionesh.</w:t>
      </w:r>
    </w:p>
    <w:p w14:paraId="0B4618CE" w14:textId="77777777"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Vigjilenca e zgjeruar</w:t>
      </w:r>
    </w:p>
    <w:p w14:paraId="7595B6FF" w14:textId="53F76FC8"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Neni 31 – Fusha e zbatimit</w:t>
      </w:r>
    </w:p>
    <w:p w14:paraId="0B9A45EF" w14:textId="77777777"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t>Detyron masa të zgjeruara në rast rreziku të lartë, përfshirë analiza të thelluara mbi burimin e fondeve/pasurisë, miratim nga drejtuesit e lartë dhe monitorim të intensifikuar.</w:t>
      </w:r>
    </w:p>
    <w:p w14:paraId="29509471" w14:textId="61E42F89"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t>Vendos kërkesa shtesë për klientë me pasuri shumë të lartë dhe autorizon AIF të kërkojë masa të posaçme në bazë të vlerësimeve kombëtare të rrezikut.</w:t>
      </w:r>
    </w:p>
    <w:p w14:paraId="38CEA8CC" w14:textId="2C1CA3A8" w:rsidR="00DE7352" w:rsidRPr="00DE7352" w:rsidRDefault="00DE7352" w:rsidP="00E83544">
      <w:pPr>
        <w:widowControl/>
        <w:autoSpaceDE/>
        <w:autoSpaceDN/>
        <w:spacing w:line="276" w:lineRule="auto"/>
        <w:jc w:val="both"/>
        <w:outlineLvl w:val="1"/>
        <w:rPr>
          <w:b/>
          <w:bCs/>
          <w:sz w:val="24"/>
          <w:szCs w:val="24"/>
          <w:lang w:val="en-US"/>
        </w:rPr>
      </w:pPr>
      <w:r w:rsidRPr="00DE7352">
        <w:rPr>
          <w:b/>
          <w:bCs/>
          <w:sz w:val="24"/>
          <w:szCs w:val="24"/>
          <w:lang w:val="en-US"/>
        </w:rPr>
        <w:t>Neni 32 – Kundërmasa</w:t>
      </w:r>
    </w:p>
    <w:p w14:paraId="6D65A281" w14:textId="0A0094AE" w:rsidR="00DE7352" w:rsidRPr="00DE7352" w:rsidRDefault="00DE7352" w:rsidP="00E83544">
      <w:pPr>
        <w:widowControl/>
        <w:autoSpaceDE/>
        <w:autoSpaceDN/>
        <w:spacing w:line="276" w:lineRule="auto"/>
        <w:jc w:val="both"/>
        <w:outlineLvl w:val="1"/>
        <w:rPr>
          <w:bCs/>
          <w:sz w:val="24"/>
          <w:szCs w:val="24"/>
          <w:lang w:val="en-US"/>
        </w:rPr>
      </w:pPr>
      <w:r w:rsidRPr="00DE7352">
        <w:rPr>
          <w:bCs/>
          <w:sz w:val="24"/>
          <w:szCs w:val="24"/>
          <w:lang w:val="en-US"/>
        </w:rPr>
        <w:t>Parashikon zbatimin e kundërmasave sipas akteve të BE për vendet e treta të identifikuara si kërcënuese.</w:t>
      </w:r>
    </w:p>
    <w:p w14:paraId="6F18107E" w14:textId="77777777" w:rsidR="00DE7352" w:rsidRPr="00DE7352" w:rsidRDefault="00DE7352" w:rsidP="00E83544">
      <w:pPr>
        <w:widowControl/>
        <w:autoSpaceDE/>
        <w:autoSpaceDN/>
        <w:spacing w:line="276" w:lineRule="auto"/>
        <w:jc w:val="both"/>
        <w:outlineLvl w:val="1"/>
        <w:rPr>
          <w:b/>
          <w:bCs/>
          <w:sz w:val="24"/>
          <w:szCs w:val="24"/>
          <w:lang w:val="en-US"/>
        </w:rPr>
      </w:pPr>
      <w:r w:rsidRPr="00DE7352">
        <w:rPr>
          <w:b/>
          <w:bCs/>
          <w:sz w:val="24"/>
          <w:szCs w:val="24"/>
          <w:lang w:val="en-US"/>
        </w:rPr>
        <w:t>Marrëdhëniet e korrespondencës dhe kriptoasetet</w:t>
      </w:r>
    </w:p>
    <w:p w14:paraId="1D0A2AC7" w14:textId="61BF407E" w:rsidR="00DE7352" w:rsidRPr="00DE7352" w:rsidRDefault="00DE7352" w:rsidP="00E83544">
      <w:pPr>
        <w:widowControl/>
        <w:autoSpaceDE/>
        <w:autoSpaceDN/>
        <w:spacing w:line="276" w:lineRule="auto"/>
        <w:jc w:val="both"/>
        <w:outlineLvl w:val="1"/>
        <w:rPr>
          <w:b/>
          <w:bCs/>
          <w:sz w:val="24"/>
          <w:szCs w:val="24"/>
          <w:lang w:val="en-US"/>
        </w:rPr>
      </w:pPr>
      <w:r w:rsidRPr="00DE7352">
        <w:rPr>
          <w:b/>
          <w:bCs/>
          <w:sz w:val="24"/>
          <w:szCs w:val="24"/>
          <w:lang w:val="en-US"/>
        </w:rPr>
        <w:t>Neni 33 – Korrespondenca ndërkufitare</w:t>
      </w:r>
    </w:p>
    <w:p w14:paraId="71DE0E1E" w14:textId="5E6A5562" w:rsidR="00DE7352" w:rsidRPr="00DE7352" w:rsidRDefault="00DE7352" w:rsidP="00E83544">
      <w:pPr>
        <w:widowControl/>
        <w:autoSpaceDE/>
        <w:autoSpaceDN/>
        <w:spacing w:line="276" w:lineRule="auto"/>
        <w:jc w:val="both"/>
        <w:outlineLvl w:val="1"/>
        <w:rPr>
          <w:bCs/>
          <w:sz w:val="24"/>
          <w:szCs w:val="24"/>
          <w:lang w:val="en-US"/>
        </w:rPr>
      </w:pPr>
      <w:r w:rsidRPr="00DE7352">
        <w:rPr>
          <w:bCs/>
          <w:sz w:val="24"/>
          <w:szCs w:val="24"/>
          <w:lang w:val="en-US"/>
        </w:rPr>
        <w:t>Vendos kërkesa të zgjeruara për marrëdhënie korrespondence me institucione të vendeve të treta, përfshirë vlerësimin e reputacionit dhe kontrolleve AML/CFT dhe miratimin nga drejtuesit e lartë.</w:t>
      </w:r>
    </w:p>
    <w:p w14:paraId="51374C29" w14:textId="011A0129" w:rsidR="00DE7352" w:rsidRPr="00DE7352" w:rsidRDefault="00DE7352" w:rsidP="00E83544">
      <w:pPr>
        <w:widowControl/>
        <w:autoSpaceDE/>
        <w:autoSpaceDN/>
        <w:spacing w:line="276" w:lineRule="auto"/>
        <w:jc w:val="both"/>
        <w:outlineLvl w:val="1"/>
        <w:rPr>
          <w:b/>
          <w:bCs/>
          <w:sz w:val="24"/>
          <w:szCs w:val="24"/>
          <w:lang w:val="en-US"/>
        </w:rPr>
      </w:pPr>
      <w:r w:rsidRPr="00DE7352">
        <w:rPr>
          <w:b/>
          <w:bCs/>
          <w:sz w:val="24"/>
          <w:szCs w:val="24"/>
          <w:lang w:val="en-US"/>
        </w:rPr>
        <w:t>Neni 34 – Korrespondenca për kriptoasete</w:t>
      </w:r>
    </w:p>
    <w:p w14:paraId="11F8C58E" w14:textId="305A6D97" w:rsidR="00DE7352" w:rsidRPr="00DE7352" w:rsidRDefault="00DE7352" w:rsidP="00E83544">
      <w:pPr>
        <w:widowControl/>
        <w:autoSpaceDE/>
        <w:autoSpaceDN/>
        <w:spacing w:line="276" w:lineRule="auto"/>
        <w:jc w:val="both"/>
        <w:outlineLvl w:val="1"/>
        <w:rPr>
          <w:bCs/>
          <w:sz w:val="24"/>
          <w:szCs w:val="24"/>
          <w:lang w:val="en-US"/>
        </w:rPr>
      </w:pPr>
      <w:r w:rsidRPr="00DE7352">
        <w:rPr>
          <w:bCs/>
          <w:sz w:val="24"/>
          <w:szCs w:val="24"/>
          <w:lang w:val="en-US"/>
        </w:rPr>
        <w:t>Vendos kërkesa të posaçme për ofruesit e shërbimeve të kriptoaseteve, përfshirë verifikimin e licencimit të palës pritëse dhe nxjerrjen e udhëzimeve brenda afatit të përcaktuar.</w:t>
      </w:r>
    </w:p>
    <w:p w14:paraId="4102E3C8" w14:textId="5DAB3E23" w:rsidR="00DE7352" w:rsidRPr="00DE7352" w:rsidRDefault="00DE7352" w:rsidP="00E83544">
      <w:pPr>
        <w:widowControl/>
        <w:autoSpaceDE/>
        <w:autoSpaceDN/>
        <w:spacing w:line="276" w:lineRule="auto"/>
        <w:jc w:val="both"/>
        <w:outlineLvl w:val="1"/>
        <w:rPr>
          <w:b/>
          <w:bCs/>
          <w:sz w:val="24"/>
          <w:szCs w:val="24"/>
          <w:lang w:val="en-US"/>
        </w:rPr>
      </w:pPr>
      <w:r w:rsidRPr="00DE7352">
        <w:rPr>
          <w:b/>
          <w:bCs/>
          <w:sz w:val="24"/>
          <w:szCs w:val="24"/>
          <w:lang w:val="en-US"/>
        </w:rPr>
        <w:t>Neni 35 – Institucionet pritëse të vendeve të treta</w:t>
      </w:r>
    </w:p>
    <w:p w14:paraId="5BF7FE5D" w14:textId="6542A3A3" w:rsidR="00DE7352" w:rsidRPr="00DE7352" w:rsidRDefault="00DE7352" w:rsidP="00E83544">
      <w:pPr>
        <w:widowControl/>
        <w:autoSpaceDE/>
        <w:autoSpaceDN/>
        <w:spacing w:line="276" w:lineRule="auto"/>
        <w:jc w:val="both"/>
        <w:outlineLvl w:val="1"/>
        <w:rPr>
          <w:bCs/>
          <w:sz w:val="24"/>
          <w:szCs w:val="24"/>
          <w:lang w:val="en-US"/>
        </w:rPr>
      </w:pPr>
      <w:r w:rsidRPr="00DE7352">
        <w:rPr>
          <w:bCs/>
          <w:sz w:val="24"/>
          <w:szCs w:val="24"/>
          <w:lang w:val="en-US"/>
        </w:rPr>
        <w:t>Parashikon mekanizëm rekomandimi nga autoriteti mbikëqyrës për institucione me dobësi serioze dhe masat që duhet të ndërmerren nga bankat/IF.</w:t>
      </w:r>
    </w:p>
    <w:p w14:paraId="3D17719B" w14:textId="0D7BA00F" w:rsidR="00DE7352" w:rsidRPr="00DE7352" w:rsidRDefault="00DE7352" w:rsidP="00E83544">
      <w:pPr>
        <w:widowControl/>
        <w:autoSpaceDE/>
        <w:autoSpaceDN/>
        <w:spacing w:line="276" w:lineRule="auto"/>
        <w:jc w:val="both"/>
        <w:outlineLvl w:val="1"/>
        <w:rPr>
          <w:b/>
          <w:bCs/>
          <w:sz w:val="24"/>
          <w:szCs w:val="24"/>
          <w:lang w:val="en-US"/>
        </w:rPr>
      </w:pPr>
      <w:r w:rsidRPr="00DE7352">
        <w:rPr>
          <w:b/>
          <w:bCs/>
          <w:sz w:val="24"/>
          <w:szCs w:val="24"/>
          <w:lang w:val="en-US"/>
        </w:rPr>
        <w:t>Neni 36 – Ndalimi i marrëdhënieve me institucione guaskë</w:t>
      </w:r>
    </w:p>
    <w:p w14:paraId="67287E68" w14:textId="71D075C3" w:rsidR="00DE7352" w:rsidRPr="00DE7352" w:rsidRDefault="00DE7352" w:rsidP="00E83544">
      <w:pPr>
        <w:widowControl/>
        <w:autoSpaceDE/>
        <w:autoSpaceDN/>
        <w:spacing w:line="276" w:lineRule="auto"/>
        <w:jc w:val="both"/>
        <w:outlineLvl w:val="1"/>
        <w:rPr>
          <w:bCs/>
          <w:sz w:val="24"/>
          <w:szCs w:val="24"/>
          <w:lang w:val="en-US"/>
        </w:rPr>
      </w:pPr>
      <w:r w:rsidRPr="00DE7352">
        <w:rPr>
          <w:bCs/>
          <w:sz w:val="24"/>
          <w:szCs w:val="24"/>
          <w:lang w:val="en-US"/>
        </w:rPr>
        <w:lastRenderedPageBreak/>
        <w:t>Ndalon krijimin ose vazhdimin e marrëdhënieve korrespondente me institucione guaskë dhe kërkon masa parandaluese edhe për CASP.</w:t>
      </w:r>
    </w:p>
    <w:p w14:paraId="14509497" w14:textId="5AB80822" w:rsidR="00DE7352" w:rsidRPr="00DE7352" w:rsidRDefault="00DE7352" w:rsidP="00E83544">
      <w:pPr>
        <w:widowControl/>
        <w:autoSpaceDE/>
        <w:autoSpaceDN/>
        <w:spacing w:line="276" w:lineRule="auto"/>
        <w:jc w:val="both"/>
        <w:outlineLvl w:val="1"/>
        <w:rPr>
          <w:b/>
          <w:bCs/>
          <w:sz w:val="24"/>
          <w:szCs w:val="24"/>
          <w:lang w:val="en-US"/>
        </w:rPr>
      </w:pPr>
      <w:r w:rsidRPr="00DE7352">
        <w:rPr>
          <w:b/>
          <w:bCs/>
          <w:sz w:val="24"/>
          <w:szCs w:val="24"/>
          <w:lang w:val="en-US"/>
        </w:rPr>
        <w:t>Neni 37 – Adresat e vetë-hostuara</w:t>
      </w:r>
    </w:p>
    <w:p w14:paraId="12E0BBB1" w14:textId="488C9056" w:rsidR="00DE7352" w:rsidRPr="00DE7352" w:rsidRDefault="00DE7352" w:rsidP="00E83544">
      <w:pPr>
        <w:widowControl/>
        <w:autoSpaceDE/>
        <w:autoSpaceDN/>
        <w:spacing w:line="276" w:lineRule="auto"/>
        <w:jc w:val="both"/>
        <w:outlineLvl w:val="1"/>
        <w:rPr>
          <w:bCs/>
          <w:sz w:val="24"/>
          <w:szCs w:val="24"/>
          <w:lang w:val="en-US"/>
        </w:rPr>
      </w:pPr>
      <w:r w:rsidRPr="00DE7352">
        <w:rPr>
          <w:bCs/>
          <w:sz w:val="24"/>
          <w:szCs w:val="24"/>
          <w:lang w:val="en-US"/>
        </w:rPr>
        <w:t>Detyron ofruesit e kriptoaseteve të vlerësojnë dhe zbusin rreziqet që lidhen me transferimet drejt/nga adresa të vetë-hostuara.</w:t>
      </w:r>
    </w:p>
    <w:p w14:paraId="528D2794" w14:textId="77777777" w:rsidR="00DE7352" w:rsidRPr="00DE7352" w:rsidRDefault="00DE7352" w:rsidP="00E83544">
      <w:pPr>
        <w:widowControl/>
        <w:autoSpaceDE/>
        <w:autoSpaceDN/>
        <w:spacing w:line="276" w:lineRule="auto"/>
        <w:jc w:val="both"/>
        <w:outlineLvl w:val="1"/>
        <w:rPr>
          <w:b/>
          <w:bCs/>
          <w:sz w:val="24"/>
          <w:szCs w:val="24"/>
          <w:lang w:val="en-US"/>
        </w:rPr>
      </w:pPr>
      <w:r w:rsidRPr="00DE7352">
        <w:rPr>
          <w:b/>
          <w:bCs/>
          <w:sz w:val="24"/>
          <w:szCs w:val="24"/>
          <w:lang w:val="en-US"/>
        </w:rPr>
        <w:t>Dispozita të posaçme</w:t>
      </w:r>
    </w:p>
    <w:p w14:paraId="48D6DDDE" w14:textId="611CF264" w:rsidR="00DE7352" w:rsidRPr="00DE7352" w:rsidRDefault="00DE7352" w:rsidP="00E83544">
      <w:pPr>
        <w:widowControl/>
        <w:autoSpaceDE/>
        <w:autoSpaceDN/>
        <w:spacing w:line="276" w:lineRule="auto"/>
        <w:jc w:val="both"/>
        <w:outlineLvl w:val="1"/>
        <w:rPr>
          <w:b/>
          <w:bCs/>
          <w:sz w:val="24"/>
          <w:szCs w:val="24"/>
          <w:lang w:val="en-US"/>
        </w:rPr>
      </w:pPr>
      <w:r w:rsidRPr="00DE7352">
        <w:rPr>
          <w:b/>
          <w:bCs/>
          <w:sz w:val="24"/>
          <w:szCs w:val="24"/>
          <w:lang w:val="en-US"/>
        </w:rPr>
        <w:t>Neni 38 – Skemat e investimit për leje qëndrimi</w:t>
      </w:r>
    </w:p>
    <w:p w14:paraId="7FCB9340" w14:textId="5D03DD4D" w:rsidR="00C452DC" w:rsidRPr="00B0667A" w:rsidRDefault="00DE7352" w:rsidP="00E83544">
      <w:pPr>
        <w:widowControl/>
        <w:autoSpaceDE/>
        <w:autoSpaceDN/>
        <w:spacing w:line="276" w:lineRule="auto"/>
        <w:jc w:val="both"/>
        <w:outlineLvl w:val="1"/>
        <w:rPr>
          <w:bCs/>
          <w:sz w:val="24"/>
          <w:szCs w:val="24"/>
          <w:lang w:val="en-US"/>
        </w:rPr>
      </w:pPr>
      <w:r w:rsidRPr="00DE7352">
        <w:rPr>
          <w:bCs/>
          <w:sz w:val="24"/>
          <w:szCs w:val="24"/>
          <w:lang w:val="en-US"/>
        </w:rPr>
        <w:t>Vendos masa të zgjeruara për shtetas të vendeve të treta që aplikojnë për leje qëndrimi përmes investimeve.</w:t>
      </w:r>
    </w:p>
    <w:p w14:paraId="7ED79113" w14:textId="5C13D47C" w:rsidR="00DE7352" w:rsidRPr="00DE7352" w:rsidRDefault="00DE7352" w:rsidP="00E83544">
      <w:pPr>
        <w:widowControl/>
        <w:autoSpaceDE/>
        <w:autoSpaceDN/>
        <w:spacing w:line="276" w:lineRule="auto"/>
        <w:jc w:val="both"/>
        <w:outlineLvl w:val="1"/>
        <w:rPr>
          <w:b/>
          <w:bCs/>
          <w:sz w:val="24"/>
          <w:szCs w:val="24"/>
          <w:lang w:val="en-US"/>
        </w:rPr>
      </w:pPr>
      <w:r w:rsidRPr="00DE7352">
        <w:rPr>
          <w:b/>
          <w:bCs/>
          <w:sz w:val="24"/>
          <w:szCs w:val="24"/>
          <w:lang w:val="en-US"/>
        </w:rPr>
        <w:t>Neni 39 – Personat e ekspozuar politikisht (PEP)</w:t>
      </w:r>
    </w:p>
    <w:p w14:paraId="36E64517" w14:textId="3FDD0845"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t>Kërkon miratim nga drejtuesit e lartë, verifikim të burimit të fondeve/pasurisë dhe monitorim të zgjeruar.</w:t>
      </w:r>
    </w:p>
    <w:p w14:paraId="70DD0627" w14:textId="44F8A508"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Neni 40 – Lista e funksioneve të rëndësishme publike</w:t>
      </w:r>
    </w:p>
    <w:p w14:paraId="0248D8D9" w14:textId="1D930906"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t>Ngarkon ILDKPKI dhe AIF me hartimin dhe komunikimin e listave të funksioneve që konsiderohen “të rëndësishme publike”.</w:t>
      </w:r>
    </w:p>
    <w:p w14:paraId="6857DCB6" w14:textId="11DFF80E"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Neni 41 – PEP si përfitues sigurimi</w:t>
      </w:r>
    </w:p>
    <w:p w14:paraId="6038D476" w14:textId="2CCDE95F"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t>Kërkon identifikim të statusit PEP të përfituesve të policave përpara pagesës së përfitimeve dhe masa shtesë në rast rreziku.</w:t>
      </w:r>
    </w:p>
    <w:p w14:paraId="2D26EFAF" w14:textId="583BE3E3"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Neni 42 – Ish-PEP</w:t>
      </w:r>
    </w:p>
    <w:p w14:paraId="440371C6" w14:textId="727EB235" w:rsidR="00DE7352" w:rsidRPr="00C452DC" w:rsidRDefault="00DE7352" w:rsidP="00E83544">
      <w:pPr>
        <w:widowControl/>
        <w:autoSpaceDE/>
        <w:autoSpaceDN/>
        <w:spacing w:line="276" w:lineRule="auto"/>
        <w:outlineLvl w:val="1"/>
        <w:rPr>
          <w:bCs/>
          <w:sz w:val="24"/>
          <w:szCs w:val="24"/>
          <w:lang w:val="en-US"/>
        </w:rPr>
      </w:pPr>
      <w:r w:rsidRPr="00DE7352">
        <w:rPr>
          <w:bCs/>
          <w:sz w:val="24"/>
          <w:szCs w:val="24"/>
          <w:lang w:val="en-US"/>
        </w:rPr>
        <w:t>Parashikon ruajtjen e masave të zgjeruara për të paktën 12 muaj pas përfundimit të funksionit publik.</w:t>
      </w:r>
    </w:p>
    <w:p w14:paraId="06B8410E" w14:textId="0CA25B27"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Neni 43 – Anëtarët e familjes dhe bashkëpunëtorët e ngushtë</w:t>
      </w:r>
    </w:p>
    <w:p w14:paraId="71D3EF91" w14:textId="784DA7DD" w:rsidR="00DE7352" w:rsidRPr="00DE7352" w:rsidRDefault="00DE7352" w:rsidP="00E83544">
      <w:pPr>
        <w:widowControl/>
        <w:autoSpaceDE/>
        <w:autoSpaceDN/>
        <w:spacing w:line="276" w:lineRule="auto"/>
        <w:outlineLvl w:val="1"/>
        <w:rPr>
          <w:bCs/>
          <w:sz w:val="24"/>
          <w:szCs w:val="24"/>
          <w:lang w:val="en-US"/>
        </w:rPr>
      </w:pPr>
      <w:r w:rsidRPr="00DE7352">
        <w:rPr>
          <w:bCs/>
          <w:sz w:val="24"/>
          <w:szCs w:val="24"/>
          <w:lang w:val="en-US"/>
        </w:rPr>
        <w:t>Zbaton të njëjtat masa si për PEP.</w:t>
      </w:r>
    </w:p>
    <w:p w14:paraId="6A9A6FC1" w14:textId="77777777"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Dispozita sektoriale</w:t>
      </w:r>
    </w:p>
    <w:p w14:paraId="41BE3679" w14:textId="77777777" w:rsidR="00DE7352" w:rsidRPr="00DE7352" w:rsidRDefault="00DE7352" w:rsidP="00E83544">
      <w:pPr>
        <w:widowControl/>
        <w:autoSpaceDE/>
        <w:autoSpaceDN/>
        <w:spacing w:line="276" w:lineRule="auto"/>
        <w:outlineLvl w:val="1"/>
        <w:rPr>
          <w:b/>
          <w:bCs/>
          <w:sz w:val="24"/>
          <w:szCs w:val="24"/>
          <w:lang w:val="en-US"/>
        </w:rPr>
      </w:pPr>
      <w:r w:rsidRPr="00DE7352">
        <w:rPr>
          <w:b/>
          <w:bCs/>
          <w:sz w:val="24"/>
          <w:szCs w:val="24"/>
          <w:lang w:val="en-US"/>
        </w:rPr>
        <w:t>Neni 44 – Sigurimi i jetës dhe sigurimet e lidhura me investimet</w:t>
      </w:r>
    </w:p>
    <w:p w14:paraId="393CA75C" w14:textId="77777777" w:rsidR="00DE7352" w:rsidRPr="00DE7352" w:rsidRDefault="00DE7352" w:rsidP="00E83544">
      <w:pPr>
        <w:widowControl/>
        <w:autoSpaceDE/>
        <w:autoSpaceDN/>
        <w:spacing w:line="276" w:lineRule="auto"/>
        <w:outlineLvl w:val="1"/>
        <w:rPr>
          <w:b/>
          <w:bCs/>
          <w:sz w:val="24"/>
          <w:szCs w:val="24"/>
          <w:lang w:val="en-US"/>
        </w:rPr>
      </w:pPr>
    </w:p>
    <w:p w14:paraId="66EFF428" w14:textId="562DC1C5" w:rsidR="00DE7352" w:rsidRPr="00613779" w:rsidRDefault="00DE7352" w:rsidP="00E83544">
      <w:pPr>
        <w:widowControl/>
        <w:autoSpaceDE/>
        <w:autoSpaceDN/>
        <w:spacing w:line="276" w:lineRule="auto"/>
        <w:outlineLvl w:val="1"/>
        <w:rPr>
          <w:bCs/>
          <w:sz w:val="24"/>
          <w:szCs w:val="24"/>
          <w:lang w:val="en-US"/>
        </w:rPr>
      </w:pPr>
      <w:r w:rsidRPr="00613779">
        <w:rPr>
          <w:bCs/>
          <w:sz w:val="24"/>
          <w:szCs w:val="24"/>
          <w:lang w:val="en-US"/>
        </w:rPr>
        <w:t>Vendos kërkesa specifike për identifikimin dhe verifikimin e përfituesve të policave, përfshirë rastet e transferimit të policës.</w:t>
      </w:r>
    </w:p>
    <w:p w14:paraId="2F93C193" w14:textId="608845F0" w:rsidR="001F11A2" w:rsidRPr="001F11A2" w:rsidRDefault="001F11A2" w:rsidP="00E83544">
      <w:pPr>
        <w:widowControl/>
        <w:autoSpaceDE/>
        <w:autoSpaceDN/>
        <w:spacing w:line="276" w:lineRule="auto"/>
        <w:outlineLvl w:val="1"/>
        <w:rPr>
          <w:b/>
          <w:bCs/>
          <w:sz w:val="24"/>
          <w:szCs w:val="24"/>
          <w:lang w:val="en-US"/>
        </w:rPr>
      </w:pPr>
      <w:r w:rsidRPr="001F11A2">
        <w:rPr>
          <w:b/>
          <w:bCs/>
          <w:sz w:val="24"/>
          <w:szCs w:val="24"/>
          <w:lang w:val="en-US"/>
        </w:rPr>
        <w:t>SEKSIONI 6</w:t>
      </w:r>
    </w:p>
    <w:p w14:paraId="5275F7A6" w14:textId="77777777" w:rsidR="001F11A2" w:rsidRPr="001F11A2" w:rsidRDefault="001F11A2" w:rsidP="00E83544">
      <w:pPr>
        <w:widowControl/>
        <w:autoSpaceDE/>
        <w:autoSpaceDN/>
        <w:spacing w:line="276" w:lineRule="auto"/>
        <w:outlineLvl w:val="2"/>
        <w:rPr>
          <w:b/>
          <w:bCs/>
          <w:sz w:val="24"/>
          <w:szCs w:val="24"/>
          <w:lang w:val="en-US"/>
        </w:rPr>
      </w:pPr>
      <w:r w:rsidRPr="001F11A2">
        <w:rPr>
          <w:b/>
          <w:bCs/>
          <w:sz w:val="24"/>
          <w:szCs w:val="24"/>
          <w:lang w:val="en-US"/>
        </w:rPr>
        <w:t>Mbështetja te vigjilenca e duhur ndaj klientit</w:t>
      </w:r>
    </w:p>
    <w:p w14:paraId="12AA6D94" w14:textId="77777777" w:rsidR="001F11A2" w:rsidRPr="001F11A2" w:rsidRDefault="001F11A2" w:rsidP="00E83544">
      <w:pPr>
        <w:widowControl/>
        <w:autoSpaceDE/>
        <w:autoSpaceDN/>
        <w:spacing w:line="276" w:lineRule="auto"/>
        <w:outlineLvl w:val="2"/>
        <w:rPr>
          <w:b/>
          <w:bCs/>
          <w:sz w:val="24"/>
          <w:szCs w:val="24"/>
          <w:lang w:val="en-US"/>
        </w:rPr>
      </w:pPr>
      <w:r w:rsidRPr="001F11A2">
        <w:rPr>
          <w:b/>
          <w:bCs/>
          <w:sz w:val="24"/>
          <w:szCs w:val="24"/>
          <w:lang w:val="en-US"/>
        </w:rPr>
        <w:t>Neni 45 – Dispozita të përgjithshme për mbështetjen te subjekte të tjera</w:t>
      </w:r>
    </w:p>
    <w:p w14:paraId="2F3A8B2D" w14:textId="77777777" w:rsidR="001F11A2" w:rsidRPr="001F11A2" w:rsidRDefault="001F11A2" w:rsidP="00E83544">
      <w:pPr>
        <w:widowControl/>
        <w:autoSpaceDE/>
        <w:autoSpaceDN/>
        <w:spacing w:line="276" w:lineRule="auto"/>
        <w:rPr>
          <w:sz w:val="24"/>
          <w:szCs w:val="24"/>
          <w:lang w:val="en-US"/>
        </w:rPr>
      </w:pPr>
      <w:r w:rsidRPr="001F11A2">
        <w:rPr>
          <w:sz w:val="24"/>
          <w:szCs w:val="24"/>
          <w:lang w:val="en-US"/>
        </w:rPr>
        <w:t>Lejon subjektet e detyruara të mbështeten te subjekte të tjera për kryerjen e elementeve bazë të CDD (identifikimi, verifikimi, qëllimi i marrëdhënies), me kusht që:</w:t>
      </w:r>
    </w:p>
    <w:p w14:paraId="73FA10F7" w14:textId="77777777" w:rsidR="001F11A2" w:rsidRPr="001F11A2" w:rsidRDefault="001F11A2" w:rsidP="004D5FC8">
      <w:pPr>
        <w:widowControl/>
        <w:numPr>
          <w:ilvl w:val="0"/>
          <w:numId w:val="10"/>
        </w:numPr>
        <w:autoSpaceDE/>
        <w:autoSpaceDN/>
        <w:spacing w:line="276" w:lineRule="auto"/>
        <w:rPr>
          <w:sz w:val="24"/>
          <w:szCs w:val="24"/>
          <w:lang w:val="en-US"/>
        </w:rPr>
      </w:pPr>
      <w:r w:rsidRPr="001F11A2">
        <w:rPr>
          <w:sz w:val="24"/>
          <w:szCs w:val="24"/>
          <w:lang w:val="en-US"/>
        </w:rPr>
        <w:t>subjekti tjetër të zbatojë kërkesa ekuivalente AML/CFT dhe të jetë i mbikëqyrur;</w:t>
      </w:r>
    </w:p>
    <w:p w14:paraId="5B69C8D8" w14:textId="77777777" w:rsidR="001F11A2" w:rsidRPr="001F11A2" w:rsidRDefault="001F11A2" w:rsidP="004D5FC8">
      <w:pPr>
        <w:widowControl/>
        <w:numPr>
          <w:ilvl w:val="0"/>
          <w:numId w:val="10"/>
        </w:numPr>
        <w:autoSpaceDE/>
        <w:autoSpaceDN/>
        <w:spacing w:line="276" w:lineRule="auto"/>
        <w:rPr>
          <w:sz w:val="24"/>
          <w:szCs w:val="24"/>
          <w:lang w:val="en-US"/>
        </w:rPr>
      </w:pPr>
      <w:r w:rsidRPr="001F11A2">
        <w:rPr>
          <w:sz w:val="24"/>
          <w:szCs w:val="24"/>
          <w:lang w:val="en-US"/>
        </w:rPr>
        <w:t>të merren në konsideratë rreziqet gjeografike për vendet e treta;</w:t>
      </w:r>
    </w:p>
    <w:p w14:paraId="044ADCB7" w14:textId="77777777" w:rsidR="001F11A2" w:rsidRPr="001F11A2" w:rsidRDefault="001F11A2" w:rsidP="004D5FC8">
      <w:pPr>
        <w:widowControl/>
        <w:numPr>
          <w:ilvl w:val="0"/>
          <w:numId w:val="10"/>
        </w:numPr>
        <w:autoSpaceDE/>
        <w:autoSpaceDN/>
        <w:spacing w:line="276" w:lineRule="auto"/>
        <w:rPr>
          <w:sz w:val="24"/>
          <w:szCs w:val="24"/>
          <w:lang w:val="en-US"/>
        </w:rPr>
      </w:pPr>
      <w:r w:rsidRPr="001F11A2">
        <w:rPr>
          <w:sz w:val="24"/>
          <w:szCs w:val="24"/>
          <w:lang w:val="en-US"/>
        </w:rPr>
        <w:t>në nivel grupi të ekzistojnë politika të unifikuara dhe mbikëqyrje efektive;</w:t>
      </w:r>
    </w:p>
    <w:p w14:paraId="47020E94" w14:textId="77777777" w:rsidR="001F11A2" w:rsidRPr="001F11A2" w:rsidRDefault="001F11A2" w:rsidP="004D5FC8">
      <w:pPr>
        <w:widowControl/>
        <w:numPr>
          <w:ilvl w:val="0"/>
          <w:numId w:val="10"/>
        </w:numPr>
        <w:autoSpaceDE/>
        <w:autoSpaceDN/>
        <w:spacing w:line="276" w:lineRule="auto"/>
        <w:rPr>
          <w:sz w:val="24"/>
          <w:szCs w:val="24"/>
          <w:lang w:val="en-US"/>
        </w:rPr>
      </w:pPr>
      <w:r w:rsidRPr="001F11A2">
        <w:rPr>
          <w:sz w:val="24"/>
          <w:szCs w:val="24"/>
          <w:lang w:val="en-US"/>
        </w:rPr>
        <w:t>të ndalohet mbështetja në subjekte të vendosura në vende me rrezik të lartë (me përjashtim të degëve/filialeve të grupit që plotësojnë kushtet ligjore).</w:t>
      </w:r>
    </w:p>
    <w:p w14:paraId="34F62326" w14:textId="77777777" w:rsidR="001F11A2" w:rsidRPr="001F11A2" w:rsidRDefault="001F11A2" w:rsidP="00E83544">
      <w:pPr>
        <w:widowControl/>
        <w:autoSpaceDE/>
        <w:autoSpaceDN/>
        <w:spacing w:line="276" w:lineRule="auto"/>
        <w:outlineLvl w:val="2"/>
        <w:rPr>
          <w:b/>
          <w:bCs/>
          <w:sz w:val="24"/>
          <w:szCs w:val="24"/>
          <w:lang w:val="en-US"/>
        </w:rPr>
      </w:pPr>
      <w:r w:rsidRPr="001F11A2">
        <w:rPr>
          <w:b/>
          <w:bCs/>
          <w:sz w:val="24"/>
          <w:szCs w:val="24"/>
          <w:lang w:val="en-US"/>
        </w:rPr>
        <w:t>Neni 46 – Procesi i mbështetjes</w:t>
      </w:r>
    </w:p>
    <w:p w14:paraId="61AF4B69" w14:textId="77777777" w:rsidR="001F11A2" w:rsidRPr="001F11A2" w:rsidRDefault="001F11A2" w:rsidP="00E83544">
      <w:pPr>
        <w:widowControl/>
        <w:autoSpaceDE/>
        <w:autoSpaceDN/>
        <w:spacing w:line="276" w:lineRule="auto"/>
        <w:rPr>
          <w:sz w:val="24"/>
          <w:szCs w:val="24"/>
          <w:lang w:val="en-US"/>
        </w:rPr>
      </w:pPr>
      <w:r w:rsidRPr="001F11A2">
        <w:rPr>
          <w:sz w:val="24"/>
          <w:szCs w:val="24"/>
          <w:lang w:val="en-US"/>
        </w:rPr>
        <w:t>Përcakton procedurën praktike të mbështetjes:</w:t>
      </w:r>
    </w:p>
    <w:p w14:paraId="1CECD67C" w14:textId="77777777" w:rsidR="001F11A2" w:rsidRPr="001F11A2" w:rsidRDefault="001F11A2" w:rsidP="004D5FC8">
      <w:pPr>
        <w:widowControl/>
        <w:numPr>
          <w:ilvl w:val="0"/>
          <w:numId w:val="11"/>
        </w:numPr>
        <w:autoSpaceDE/>
        <w:autoSpaceDN/>
        <w:spacing w:line="276" w:lineRule="auto"/>
        <w:rPr>
          <w:sz w:val="24"/>
          <w:szCs w:val="24"/>
          <w:lang w:val="en-US"/>
        </w:rPr>
      </w:pPr>
      <w:r w:rsidRPr="001F11A2">
        <w:rPr>
          <w:sz w:val="24"/>
          <w:szCs w:val="24"/>
          <w:lang w:val="en-US"/>
        </w:rPr>
        <w:t>subjekti që mbështetet duhet të marrë të gjithë informacionin dhe dokumentacionin CDD;</w:t>
      </w:r>
    </w:p>
    <w:p w14:paraId="44ED16A2" w14:textId="77777777" w:rsidR="001F11A2" w:rsidRPr="001F11A2" w:rsidRDefault="001F11A2" w:rsidP="004D5FC8">
      <w:pPr>
        <w:widowControl/>
        <w:numPr>
          <w:ilvl w:val="0"/>
          <w:numId w:val="11"/>
        </w:numPr>
        <w:autoSpaceDE/>
        <w:autoSpaceDN/>
        <w:spacing w:line="276" w:lineRule="auto"/>
        <w:rPr>
          <w:sz w:val="24"/>
          <w:szCs w:val="24"/>
          <w:lang w:val="en-US"/>
        </w:rPr>
      </w:pPr>
      <w:r w:rsidRPr="001F11A2">
        <w:rPr>
          <w:sz w:val="24"/>
          <w:szCs w:val="24"/>
          <w:lang w:val="en-US"/>
        </w:rPr>
        <w:t>dokumentet dorëzohen pa vonesë, brenda 5 ditëve;</w:t>
      </w:r>
    </w:p>
    <w:p w14:paraId="568A188C" w14:textId="77777777" w:rsidR="001F11A2" w:rsidRPr="001F11A2" w:rsidRDefault="001F11A2" w:rsidP="004D5FC8">
      <w:pPr>
        <w:widowControl/>
        <w:numPr>
          <w:ilvl w:val="0"/>
          <w:numId w:val="11"/>
        </w:numPr>
        <w:autoSpaceDE/>
        <w:autoSpaceDN/>
        <w:spacing w:line="276" w:lineRule="auto"/>
        <w:rPr>
          <w:sz w:val="24"/>
          <w:szCs w:val="24"/>
          <w:lang w:val="en-US"/>
        </w:rPr>
      </w:pPr>
      <w:r w:rsidRPr="001F11A2">
        <w:rPr>
          <w:sz w:val="24"/>
          <w:szCs w:val="24"/>
          <w:lang w:val="en-US"/>
        </w:rPr>
        <w:lastRenderedPageBreak/>
        <w:t>rregullat përcaktohen në marrëveshje me shkrim (ose procedurë të brendshme në nivel grupi);</w:t>
      </w:r>
    </w:p>
    <w:p w14:paraId="0ADC8895" w14:textId="77777777" w:rsidR="001F11A2" w:rsidRPr="001F11A2" w:rsidRDefault="001F11A2" w:rsidP="004D5FC8">
      <w:pPr>
        <w:widowControl/>
        <w:numPr>
          <w:ilvl w:val="0"/>
          <w:numId w:val="11"/>
        </w:numPr>
        <w:autoSpaceDE/>
        <w:autoSpaceDN/>
        <w:spacing w:line="276" w:lineRule="auto"/>
        <w:rPr>
          <w:sz w:val="24"/>
          <w:szCs w:val="24"/>
          <w:lang w:val="en-US"/>
        </w:rPr>
      </w:pPr>
      <w:r w:rsidRPr="001F11A2">
        <w:rPr>
          <w:sz w:val="24"/>
          <w:szCs w:val="24"/>
          <w:lang w:val="en-US"/>
        </w:rPr>
        <w:t>përgjegjësia për përputhshmërinë mbetet te subjekti që mbështetet.</w:t>
      </w:r>
    </w:p>
    <w:p w14:paraId="497067D0" w14:textId="77777777" w:rsidR="001F11A2" w:rsidRPr="001F11A2" w:rsidRDefault="001F11A2" w:rsidP="00E83544">
      <w:pPr>
        <w:widowControl/>
        <w:autoSpaceDE/>
        <w:autoSpaceDN/>
        <w:spacing w:line="276" w:lineRule="auto"/>
        <w:outlineLvl w:val="2"/>
        <w:rPr>
          <w:b/>
          <w:bCs/>
          <w:sz w:val="24"/>
          <w:szCs w:val="24"/>
          <w:lang w:val="en-US"/>
        </w:rPr>
      </w:pPr>
      <w:r w:rsidRPr="001F11A2">
        <w:rPr>
          <w:b/>
          <w:bCs/>
          <w:sz w:val="24"/>
          <w:szCs w:val="24"/>
          <w:lang w:val="en-US"/>
        </w:rPr>
        <w:t>Neni 47 – Udhëzimet për mbështetjen</w:t>
      </w:r>
    </w:p>
    <w:p w14:paraId="483EA1E0" w14:textId="346F7F67" w:rsidR="00C452DC" w:rsidRPr="00B0667A" w:rsidRDefault="001F11A2" w:rsidP="00E83544">
      <w:pPr>
        <w:widowControl/>
        <w:autoSpaceDE/>
        <w:autoSpaceDN/>
        <w:spacing w:line="276" w:lineRule="auto"/>
        <w:rPr>
          <w:sz w:val="24"/>
          <w:szCs w:val="24"/>
          <w:lang w:val="en-US"/>
        </w:rPr>
      </w:pPr>
      <w:r w:rsidRPr="001F11A2">
        <w:rPr>
          <w:sz w:val="24"/>
          <w:szCs w:val="24"/>
          <w:lang w:val="en-US"/>
        </w:rPr>
        <w:t>Ngarkon ministrin përgjegjës për financat, me propozim të AIF, të nxjerrë udhëzime për kushtet, përgjegjësitë dhe qasjen mbikëqyrëse në rastet e mbështetjes.</w:t>
      </w:r>
    </w:p>
    <w:p w14:paraId="0650EC9E" w14:textId="01878D26" w:rsidR="001F11A2" w:rsidRPr="001F11A2" w:rsidRDefault="001F11A2" w:rsidP="00E83544">
      <w:pPr>
        <w:widowControl/>
        <w:autoSpaceDE/>
        <w:autoSpaceDN/>
        <w:spacing w:line="276" w:lineRule="auto"/>
        <w:outlineLvl w:val="0"/>
        <w:rPr>
          <w:b/>
          <w:bCs/>
          <w:kern w:val="36"/>
          <w:sz w:val="24"/>
          <w:szCs w:val="24"/>
          <w:lang w:val="en-US"/>
        </w:rPr>
      </w:pPr>
      <w:r w:rsidRPr="001F11A2">
        <w:rPr>
          <w:b/>
          <w:bCs/>
          <w:kern w:val="36"/>
          <w:sz w:val="24"/>
          <w:szCs w:val="24"/>
          <w:lang w:val="en-US"/>
        </w:rPr>
        <w:t>KREU V</w:t>
      </w:r>
    </w:p>
    <w:p w14:paraId="69922ABC" w14:textId="77777777" w:rsidR="001F11A2" w:rsidRPr="001F11A2" w:rsidRDefault="001F11A2" w:rsidP="00E83544">
      <w:pPr>
        <w:widowControl/>
        <w:autoSpaceDE/>
        <w:autoSpaceDN/>
        <w:spacing w:line="276" w:lineRule="auto"/>
        <w:outlineLvl w:val="1"/>
        <w:rPr>
          <w:b/>
          <w:bCs/>
          <w:sz w:val="24"/>
          <w:szCs w:val="24"/>
          <w:lang w:val="en-US"/>
        </w:rPr>
      </w:pPr>
      <w:r w:rsidRPr="001F11A2">
        <w:rPr>
          <w:b/>
          <w:bCs/>
          <w:sz w:val="24"/>
          <w:szCs w:val="24"/>
          <w:lang w:val="en-US"/>
        </w:rPr>
        <w:t>Detyrimet e raportimit</w:t>
      </w:r>
    </w:p>
    <w:p w14:paraId="277E629F" w14:textId="77777777" w:rsidR="001F11A2" w:rsidRPr="001F11A2" w:rsidRDefault="001F11A2" w:rsidP="00E83544">
      <w:pPr>
        <w:widowControl/>
        <w:autoSpaceDE/>
        <w:autoSpaceDN/>
        <w:spacing w:line="276" w:lineRule="auto"/>
        <w:outlineLvl w:val="2"/>
        <w:rPr>
          <w:b/>
          <w:bCs/>
          <w:sz w:val="24"/>
          <w:szCs w:val="24"/>
          <w:lang w:val="en-US"/>
        </w:rPr>
      </w:pPr>
      <w:r w:rsidRPr="001F11A2">
        <w:rPr>
          <w:b/>
          <w:bCs/>
          <w:sz w:val="24"/>
          <w:szCs w:val="24"/>
          <w:lang w:val="en-US"/>
        </w:rPr>
        <w:t>Neni 48 – Raportimi i dyshimeve</w:t>
      </w:r>
    </w:p>
    <w:p w14:paraId="369A2CB4" w14:textId="77777777" w:rsidR="001F11A2" w:rsidRPr="001F11A2" w:rsidRDefault="001F11A2" w:rsidP="00E83544">
      <w:pPr>
        <w:widowControl/>
        <w:autoSpaceDE/>
        <w:autoSpaceDN/>
        <w:spacing w:line="276" w:lineRule="auto"/>
        <w:rPr>
          <w:sz w:val="24"/>
          <w:szCs w:val="24"/>
          <w:lang w:val="en-US"/>
        </w:rPr>
      </w:pPr>
      <w:r w:rsidRPr="001F11A2">
        <w:rPr>
          <w:sz w:val="24"/>
          <w:szCs w:val="24"/>
          <w:lang w:val="en-US"/>
        </w:rPr>
        <w:t>Vendos detyrimin për raportim të menjëhershëm pranë AIF të çdo dyshimi për pastrim parash ose financim terrorizmi, përfshirë tentativa dhe raste të pamundësisë për CDD.</w:t>
      </w:r>
      <w:r w:rsidRPr="001F11A2">
        <w:rPr>
          <w:sz w:val="24"/>
          <w:szCs w:val="24"/>
          <w:lang w:val="en-US"/>
        </w:rPr>
        <w:br/>
        <w:t>Përcakton:</w:t>
      </w:r>
    </w:p>
    <w:p w14:paraId="53B1BF0B" w14:textId="77777777" w:rsidR="001F11A2" w:rsidRPr="001F11A2" w:rsidRDefault="001F11A2" w:rsidP="004D5FC8">
      <w:pPr>
        <w:widowControl/>
        <w:numPr>
          <w:ilvl w:val="0"/>
          <w:numId w:val="12"/>
        </w:numPr>
        <w:autoSpaceDE/>
        <w:autoSpaceDN/>
        <w:spacing w:line="276" w:lineRule="auto"/>
        <w:rPr>
          <w:sz w:val="24"/>
          <w:szCs w:val="24"/>
          <w:lang w:val="en-US"/>
        </w:rPr>
      </w:pPr>
      <w:r w:rsidRPr="001F11A2">
        <w:rPr>
          <w:sz w:val="24"/>
          <w:szCs w:val="24"/>
          <w:lang w:val="en-US"/>
        </w:rPr>
        <w:t>afatin standard 5 ditë (deri në &lt;24 orë në urgjencë);</w:t>
      </w:r>
    </w:p>
    <w:p w14:paraId="64FAF80A" w14:textId="77777777" w:rsidR="001F11A2" w:rsidRPr="001F11A2" w:rsidRDefault="001F11A2" w:rsidP="004D5FC8">
      <w:pPr>
        <w:widowControl/>
        <w:numPr>
          <w:ilvl w:val="0"/>
          <w:numId w:val="12"/>
        </w:numPr>
        <w:autoSpaceDE/>
        <w:autoSpaceDN/>
        <w:spacing w:line="276" w:lineRule="auto"/>
        <w:rPr>
          <w:sz w:val="24"/>
          <w:szCs w:val="24"/>
          <w:lang w:val="en-US"/>
        </w:rPr>
      </w:pPr>
      <w:r w:rsidRPr="001F11A2">
        <w:rPr>
          <w:sz w:val="24"/>
          <w:szCs w:val="24"/>
          <w:lang w:val="en-US"/>
        </w:rPr>
        <w:t>kriteret e vlerësimit të dyshimit;</w:t>
      </w:r>
    </w:p>
    <w:p w14:paraId="0B0A78D2" w14:textId="77777777" w:rsidR="001F11A2" w:rsidRPr="001F11A2" w:rsidRDefault="001F11A2" w:rsidP="004D5FC8">
      <w:pPr>
        <w:widowControl/>
        <w:numPr>
          <w:ilvl w:val="0"/>
          <w:numId w:val="12"/>
        </w:numPr>
        <w:autoSpaceDE/>
        <w:autoSpaceDN/>
        <w:spacing w:line="276" w:lineRule="auto"/>
        <w:rPr>
          <w:sz w:val="24"/>
          <w:szCs w:val="24"/>
          <w:lang w:val="en-US"/>
        </w:rPr>
      </w:pPr>
      <w:r w:rsidRPr="001F11A2">
        <w:rPr>
          <w:sz w:val="24"/>
          <w:szCs w:val="24"/>
          <w:lang w:val="en-US"/>
        </w:rPr>
        <w:t>detyrimin për nxjerrjen e treguesve nga ministri me propozim të AIF;</w:t>
      </w:r>
    </w:p>
    <w:p w14:paraId="2BC9B3F5" w14:textId="77777777" w:rsidR="001F11A2" w:rsidRPr="001F11A2" w:rsidRDefault="001F11A2" w:rsidP="004D5FC8">
      <w:pPr>
        <w:widowControl/>
        <w:numPr>
          <w:ilvl w:val="0"/>
          <w:numId w:val="12"/>
        </w:numPr>
        <w:autoSpaceDE/>
        <w:autoSpaceDN/>
        <w:spacing w:line="276" w:lineRule="auto"/>
        <w:rPr>
          <w:sz w:val="24"/>
          <w:szCs w:val="24"/>
          <w:lang w:val="en-US"/>
        </w:rPr>
      </w:pPr>
      <w:r w:rsidRPr="001F11A2">
        <w:rPr>
          <w:sz w:val="24"/>
          <w:szCs w:val="24"/>
          <w:lang w:val="en-US"/>
        </w:rPr>
        <w:t>mbrojtjen e punonjësve nga hakmarrja;</w:t>
      </w:r>
    </w:p>
    <w:p w14:paraId="74098329" w14:textId="77777777" w:rsidR="001F11A2" w:rsidRPr="001F11A2" w:rsidRDefault="001F11A2" w:rsidP="004D5FC8">
      <w:pPr>
        <w:widowControl/>
        <w:numPr>
          <w:ilvl w:val="0"/>
          <w:numId w:val="12"/>
        </w:numPr>
        <w:autoSpaceDE/>
        <w:autoSpaceDN/>
        <w:spacing w:line="276" w:lineRule="auto"/>
        <w:rPr>
          <w:sz w:val="24"/>
          <w:szCs w:val="24"/>
          <w:lang w:val="en-US"/>
        </w:rPr>
      </w:pPr>
      <w:r w:rsidRPr="001F11A2">
        <w:rPr>
          <w:sz w:val="24"/>
          <w:szCs w:val="24"/>
          <w:lang w:val="en-US"/>
        </w:rPr>
        <w:t>rregullat për raportim në kuadër të mekanizmave të përbashkët të shkëmbimit të informacionit.</w:t>
      </w:r>
    </w:p>
    <w:p w14:paraId="2BF9AED6" w14:textId="77777777" w:rsidR="001F11A2" w:rsidRPr="001F11A2" w:rsidRDefault="001F11A2" w:rsidP="00E83544">
      <w:pPr>
        <w:widowControl/>
        <w:autoSpaceDE/>
        <w:autoSpaceDN/>
        <w:spacing w:line="276" w:lineRule="auto"/>
        <w:outlineLvl w:val="2"/>
        <w:rPr>
          <w:b/>
          <w:bCs/>
          <w:sz w:val="24"/>
          <w:szCs w:val="24"/>
          <w:lang w:val="en-US"/>
        </w:rPr>
      </w:pPr>
      <w:r w:rsidRPr="001F11A2">
        <w:rPr>
          <w:b/>
          <w:bCs/>
          <w:sz w:val="24"/>
          <w:szCs w:val="24"/>
          <w:lang w:val="en-US"/>
        </w:rPr>
        <w:t>Neni 49 – Dispozita të veçanta për kategori të caktuara</w:t>
      </w:r>
    </w:p>
    <w:p w14:paraId="24B513CC" w14:textId="77777777" w:rsidR="001F11A2" w:rsidRPr="001F11A2" w:rsidRDefault="001F11A2" w:rsidP="00E83544">
      <w:pPr>
        <w:widowControl/>
        <w:autoSpaceDE/>
        <w:autoSpaceDN/>
        <w:spacing w:line="276" w:lineRule="auto"/>
        <w:rPr>
          <w:sz w:val="24"/>
          <w:szCs w:val="24"/>
          <w:lang w:val="en-US"/>
        </w:rPr>
      </w:pPr>
      <w:r w:rsidRPr="001F11A2">
        <w:rPr>
          <w:sz w:val="24"/>
          <w:szCs w:val="24"/>
          <w:lang w:val="en-US"/>
        </w:rPr>
        <w:t>Lejon që noterët, avokatët dhe profesionistët e caktuar të raportojnë përmes organit vetërregullues.</w:t>
      </w:r>
      <w:r w:rsidRPr="001F11A2">
        <w:rPr>
          <w:sz w:val="24"/>
          <w:szCs w:val="24"/>
          <w:lang w:val="en-US"/>
        </w:rPr>
        <w:br/>
        <w:t>Parashikon përjashtim nga raportimi për informacionin e marrë në kuadër të mbrojtjes gjyqësore, me përjashtime kur ka përfshirje ose dijeni për pastrim parash/FT.</w:t>
      </w:r>
      <w:r w:rsidRPr="001F11A2">
        <w:rPr>
          <w:sz w:val="24"/>
          <w:szCs w:val="24"/>
          <w:lang w:val="en-US"/>
        </w:rPr>
        <w:br/>
        <w:t>Parashikon mundësi për kufizim të përjashtimit me vendim të Këshillit të Ministrave për kategori transaksionesh me rrezik të lartë.</w:t>
      </w:r>
    </w:p>
    <w:p w14:paraId="51C53A99" w14:textId="77777777" w:rsidR="001F11A2" w:rsidRPr="001F11A2" w:rsidRDefault="001F11A2" w:rsidP="00E83544">
      <w:pPr>
        <w:widowControl/>
        <w:autoSpaceDE/>
        <w:autoSpaceDN/>
        <w:spacing w:line="276" w:lineRule="auto"/>
        <w:outlineLvl w:val="2"/>
        <w:rPr>
          <w:b/>
          <w:bCs/>
          <w:sz w:val="24"/>
          <w:szCs w:val="24"/>
          <w:lang w:val="en-US"/>
        </w:rPr>
      </w:pPr>
      <w:r w:rsidRPr="001F11A2">
        <w:rPr>
          <w:b/>
          <w:bCs/>
          <w:sz w:val="24"/>
          <w:szCs w:val="24"/>
          <w:lang w:val="en-US"/>
        </w:rPr>
        <w:t>Neni 50 – Moskryerja e transaksioneve</w:t>
      </w:r>
    </w:p>
    <w:p w14:paraId="1665CFFC" w14:textId="77777777" w:rsidR="001F11A2" w:rsidRPr="001F11A2" w:rsidRDefault="001F11A2" w:rsidP="00E83544">
      <w:pPr>
        <w:widowControl/>
        <w:autoSpaceDE/>
        <w:autoSpaceDN/>
        <w:spacing w:line="276" w:lineRule="auto"/>
        <w:rPr>
          <w:sz w:val="24"/>
          <w:szCs w:val="24"/>
          <w:lang w:val="en-US"/>
        </w:rPr>
      </w:pPr>
      <w:r w:rsidRPr="001F11A2">
        <w:rPr>
          <w:sz w:val="24"/>
          <w:szCs w:val="24"/>
          <w:lang w:val="en-US"/>
        </w:rPr>
        <w:t>Ndalon ekzekutimin e transaksioneve të dyshimta deri në raportim dhe respektim të udhëzimeve të AIF.</w:t>
      </w:r>
      <w:r w:rsidRPr="001F11A2">
        <w:rPr>
          <w:sz w:val="24"/>
          <w:szCs w:val="24"/>
          <w:lang w:val="en-US"/>
        </w:rPr>
        <w:br/>
        <w:t>Lejon kryerjen e transaksionit pas 3 ditësh pune në mungesë udhëzimi.</w:t>
      </w:r>
      <w:r w:rsidRPr="001F11A2">
        <w:rPr>
          <w:sz w:val="24"/>
          <w:szCs w:val="24"/>
          <w:lang w:val="en-US"/>
        </w:rPr>
        <w:br/>
        <w:t>Parashikon përjashtim kur pezullimi është objektivisht i pamundur.</w:t>
      </w:r>
    </w:p>
    <w:p w14:paraId="5AE8A633" w14:textId="77777777" w:rsidR="001F11A2" w:rsidRPr="001F11A2" w:rsidRDefault="001F11A2" w:rsidP="00E83544">
      <w:pPr>
        <w:widowControl/>
        <w:autoSpaceDE/>
        <w:autoSpaceDN/>
        <w:spacing w:line="276" w:lineRule="auto"/>
        <w:outlineLvl w:val="2"/>
        <w:rPr>
          <w:b/>
          <w:bCs/>
          <w:sz w:val="24"/>
          <w:szCs w:val="24"/>
          <w:lang w:val="en-US"/>
        </w:rPr>
      </w:pPr>
      <w:r w:rsidRPr="001F11A2">
        <w:rPr>
          <w:b/>
          <w:bCs/>
          <w:sz w:val="24"/>
          <w:szCs w:val="24"/>
          <w:lang w:val="en-US"/>
        </w:rPr>
        <w:t>Neni 51 – Përjashtimi nga përgjegjësia</w:t>
      </w:r>
    </w:p>
    <w:p w14:paraId="2A3CE073" w14:textId="77777777" w:rsidR="001F11A2" w:rsidRPr="001F11A2" w:rsidRDefault="001F11A2" w:rsidP="00E83544">
      <w:pPr>
        <w:widowControl/>
        <w:autoSpaceDE/>
        <w:autoSpaceDN/>
        <w:spacing w:line="276" w:lineRule="auto"/>
        <w:rPr>
          <w:sz w:val="24"/>
          <w:szCs w:val="24"/>
          <w:lang w:val="en-US"/>
        </w:rPr>
      </w:pPr>
      <w:r w:rsidRPr="001F11A2">
        <w:rPr>
          <w:sz w:val="24"/>
          <w:szCs w:val="24"/>
          <w:lang w:val="en-US"/>
        </w:rPr>
        <w:t>Parashikon imunitet civil, penal dhe administrativ për raportimet e kryera në mirëbesim.</w:t>
      </w:r>
    </w:p>
    <w:p w14:paraId="7C7B6128" w14:textId="77777777" w:rsidR="001F11A2" w:rsidRPr="001F11A2" w:rsidRDefault="001F11A2" w:rsidP="00E83544">
      <w:pPr>
        <w:widowControl/>
        <w:autoSpaceDE/>
        <w:autoSpaceDN/>
        <w:spacing w:line="276" w:lineRule="auto"/>
        <w:outlineLvl w:val="2"/>
        <w:rPr>
          <w:b/>
          <w:bCs/>
          <w:sz w:val="24"/>
          <w:szCs w:val="24"/>
          <w:lang w:val="en-US"/>
        </w:rPr>
      </w:pPr>
      <w:r w:rsidRPr="001F11A2">
        <w:rPr>
          <w:b/>
          <w:bCs/>
          <w:sz w:val="24"/>
          <w:szCs w:val="24"/>
          <w:lang w:val="en-US"/>
        </w:rPr>
        <w:t>Neni 52 – Ndalimi i zbulimit (tipping-off)</w:t>
      </w:r>
    </w:p>
    <w:p w14:paraId="244B4361" w14:textId="77777777" w:rsidR="001F11A2" w:rsidRPr="001F11A2" w:rsidRDefault="001F11A2" w:rsidP="00E83544">
      <w:pPr>
        <w:widowControl/>
        <w:autoSpaceDE/>
        <w:autoSpaceDN/>
        <w:spacing w:line="276" w:lineRule="auto"/>
        <w:rPr>
          <w:sz w:val="24"/>
          <w:szCs w:val="24"/>
          <w:lang w:val="en-US"/>
        </w:rPr>
      </w:pPr>
      <w:r w:rsidRPr="001F11A2">
        <w:rPr>
          <w:sz w:val="24"/>
          <w:szCs w:val="24"/>
          <w:lang w:val="en-US"/>
        </w:rPr>
        <w:t>Ndalon informimin e klientit ose palëve të treta për raportim apo analizë AML/CFT.</w:t>
      </w:r>
      <w:r w:rsidRPr="001F11A2">
        <w:rPr>
          <w:sz w:val="24"/>
          <w:szCs w:val="24"/>
          <w:lang w:val="en-US"/>
        </w:rPr>
        <w:br/>
        <w:t>Parashikon përjashtime për shkëmbim brenda grupit, ndërmjet subjekteve të përfshira në të njëjtin transaksion dhe me autoritetet kompetente.</w:t>
      </w:r>
    </w:p>
    <w:p w14:paraId="76649FD9" w14:textId="77777777" w:rsidR="001F11A2" w:rsidRPr="001F11A2" w:rsidRDefault="001F11A2" w:rsidP="00E83544">
      <w:pPr>
        <w:widowControl/>
        <w:autoSpaceDE/>
        <w:autoSpaceDN/>
        <w:spacing w:line="276" w:lineRule="auto"/>
        <w:outlineLvl w:val="2"/>
        <w:rPr>
          <w:b/>
          <w:bCs/>
          <w:sz w:val="24"/>
          <w:szCs w:val="24"/>
          <w:lang w:val="en-US"/>
        </w:rPr>
      </w:pPr>
      <w:r w:rsidRPr="001F11A2">
        <w:rPr>
          <w:b/>
          <w:bCs/>
          <w:sz w:val="24"/>
          <w:szCs w:val="24"/>
          <w:lang w:val="en-US"/>
        </w:rPr>
        <w:t>Neni 53 – Raportim mbi bazë pragu për mallra me vlerë të lartë</w:t>
      </w:r>
    </w:p>
    <w:p w14:paraId="0D555034" w14:textId="77777777" w:rsidR="001F11A2" w:rsidRPr="001F11A2" w:rsidRDefault="001F11A2" w:rsidP="00E83544">
      <w:pPr>
        <w:widowControl/>
        <w:autoSpaceDE/>
        <w:autoSpaceDN/>
        <w:spacing w:line="276" w:lineRule="auto"/>
        <w:rPr>
          <w:sz w:val="24"/>
          <w:szCs w:val="24"/>
          <w:lang w:val="en-US"/>
        </w:rPr>
      </w:pPr>
      <w:r w:rsidRPr="001F11A2">
        <w:rPr>
          <w:sz w:val="24"/>
          <w:szCs w:val="24"/>
          <w:lang w:val="en-US"/>
        </w:rPr>
        <w:t>Vendos raportim të detyrueshëm për shitje jo tregtare të:</w:t>
      </w:r>
    </w:p>
    <w:p w14:paraId="1CF2A4D9" w14:textId="77777777" w:rsidR="001F11A2" w:rsidRPr="001F11A2" w:rsidRDefault="001F11A2" w:rsidP="004D5FC8">
      <w:pPr>
        <w:widowControl/>
        <w:numPr>
          <w:ilvl w:val="0"/>
          <w:numId w:val="13"/>
        </w:numPr>
        <w:autoSpaceDE/>
        <w:autoSpaceDN/>
        <w:spacing w:line="276" w:lineRule="auto"/>
        <w:rPr>
          <w:sz w:val="24"/>
          <w:szCs w:val="24"/>
          <w:lang w:val="en-US"/>
        </w:rPr>
      </w:pPr>
      <w:r w:rsidRPr="001F11A2">
        <w:rPr>
          <w:sz w:val="24"/>
          <w:szCs w:val="24"/>
          <w:lang w:val="en-US"/>
        </w:rPr>
        <w:t>mjeteve motorike ≥ 250 000 euro;</w:t>
      </w:r>
    </w:p>
    <w:p w14:paraId="23AAD706" w14:textId="77777777" w:rsidR="001F11A2" w:rsidRPr="001F11A2" w:rsidRDefault="001F11A2" w:rsidP="004D5FC8">
      <w:pPr>
        <w:widowControl/>
        <w:numPr>
          <w:ilvl w:val="0"/>
          <w:numId w:val="13"/>
        </w:numPr>
        <w:autoSpaceDE/>
        <w:autoSpaceDN/>
        <w:spacing w:line="276" w:lineRule="auto"/>
        <w:rPr>
          <w:sz w:val="24"/>
          <w:szCs w:val="24"/>
          <w:lang w:val="en-US"/>
        </w:rPr>
      </w:pPr>
      <w:r w:rsidRPr="001F11A2">
        <w:rPr>
          <w:sz w:val="24"/>
          <w:szCs w:val="24"/>
          <w:lang w:val="en-US"/>
        </w:rPr>
        <w:t>mjeteve lundruese ≥ 7 500 000 euro;</w:t>
      </w:r>
    </w:p>
    <w:p w14:paraId="030B7045" w14:textId="31FCEAB4" w:rsidR="001F11A2" w:rsidRPr="001F11A2" w:rsidRDefault="001F11A2" w:rsidP="004D5FC8">
      <w:pPr>
        <w:widowControl/>
        <w:numPr>
          <w:ilvl w:val="0"/>
          <w:numId w:val="13"/>
        </w:numPr>
        <w:autoSpaceDE/>
        <w:autoSpaceDN/>
        <w:spacing w:line="276" w:lineRule="auto"/>
        <w:rPr>
          <w:sz w:val="24"/>
          <w:szCs w:val="24"/>
          <w:lang w:val="en-US"/>
        </w:rPr>
      </w:pPr>
      <w:r w:rsidRPr="001F11A2">
        <w:rPr>
          <w:sz w:val="24"/>
          <w:szCs w:val="24"/>
          <w:lang w:val="en-US"/>
        </w:rPr>
        <w:t>mjeteve fluturuese ≥ 7 500 000 euro.</w:t>
      </w:r>
      <w:r w:rsidRPr="001F11A2">
        <w:rPr>
          <w:sz w:val="24"/>
          <w:szCs w:val="24"/>
          <w:lang w:val="en-US"/>
        </w:rPr>
        <w:br/>
        <w:t>Detyrimi shtrihet edhe te institucionet financiare që ndërmjetësojnë këto transaksione.</w:t>
      </w:r>
    </w:p>
    <w:p w14:paraId="68DEBE23" w14:textId="77777777" w:rsidR="001F11A2" w:rsidRPr="001F11A2" w:rsidRDefault="001F11A2" w:rsidP="00E83544">
      <w:pPr>
        <w:widowControl/>
        <w:autoSpaceDE/>
        <w:autoSpaceDN/>
        <w:spacing w:line="276" w:lineRule="auto"/>
        <w:outlineLvl w:val="0"/>
        <w:rPr>
          <w:b/>
          <w:bCs/>
          <w:kern w:val="36"/>
          <w:sz w:val="24"/>
          <w:szCs w:val="24"/>
          <w:lang w:val="en-US"/>
        </w:rPr>
      </w:pPr>
      <w:r w:rsidRPr="001F11A2">
        <w:rPr>
          <w:b/>
          <w:bCs/>
          <w:kern w:val="36"/>
          <w:sz w:val="24"/>
          <w:szCs w:val="24"/>
          <w:lang w:val="en-US"/>
        </w:rPr>
        <w:t>KREU VI</w:t>
      </w:r>
    </w:p>
    <w:p w14:paraId="443131F6" w14:textId="77777777" w:rsidR="001F11A2" w:rsidRPr="001F11A2" w:rsidRDefault="001F11A2" w:rsidP="00E83544">
      <w:pPr>
        <w:widowControl/>
        <w:autoSpaceDE/>
        <w:autoSpaceDN/>
        <w:spacing w:line="276" w:lineRule="auto"/>
        <w:outlineLvl w:val="1"/>
        <w:rPr>
          <w:b/>
          <w:bCs/>
          <w:sz w:val="24"/>
          <w:szCs w:val="24"/>
          <w:lang w:val="en-US"/>
        </w:rPr>
      </w:pPr>
      <w:r w:rsidRPr="001F11A2">
        <w:rPr>
          <w:b/>
          <w:bCs/>
          <w:sz w:val="24"/>
          <w:szCs w:val="24"/>
          <w:lang w:val="en-US"/>
        </w:rPr>
        <w:t>Shkëmbimi i informacionit</w:t>
      </w:r>
    </w:p>
    <w:p w14:paraId="2E5694C4" w14:textId="77777777" w:rsidR="001F11A2" w:rsidRPr="001F11A2" w:rsidRDefault="001F11A2" w:rsidP="00E83544">
      <w:pPr>
        <w:widowControl/>
        <w:autoSpaceDE/>
        <w:autoSpaceDN/>
        <w:spacing w:line="276" w:lineRule="auto"/>
        <w:outlineLvl w:val="2"/>
        <w:rPr>
          <w:b/>
          <w:bCs/>
          <w:sz w:val="24"/>
          <w:szCs w:val="24"/>
          <w:lang w:val="en-US"/>
        </w:rPr>
      </w:pPr>
      <w:r w:rsidRPr="001F11A2">
        <w:rPr>
          <w:b/>
          <w:bCs/>
          <w:sz w:val="24"/>
          <w:szCs w:val="24"/>
          <w:lang w:val="en-US"/>
        </w:rPr>
        <w:lastRenderedPageBreak/>
        <w:t>Neni 54 – Partneritetet për shkëmbim informacioni</w:t>
      </w:r>
    </w:p>
    <w:p w14:paraId="4A95FA58" w14:textId="77777777" w:rsidR="001F11A2" w:rsidRPr="001F11A2" w:rsidRDefault="001F11A2" w:rsidP="00E83544">
      <w:pPr>
        <w:widowControl/>
        <w:autoSpaceDE/>
        <w:autoSpaceDN/>
        <w:spacing w:line="276" w:lineRule="auto"/>
        <w:rPr>
          <w:sz w:val="24"/>
          <w:szCs w:val="24"/>
          <w:lang w:val="en-US"/>
        </w:rPr>
      </w:pPr>
      <w:r w:rsidRPr="001F11A2">
        <w:rPr>
          <w:sz w:val="24"/>
          <w:szCs w:val="24"/>
          <w:lang w:val="en-US"/>
        </w:rPr>
        <w:t>Rregullon krijimin dhe funksionimin e partneriteteve ndërmjet subjekteve të detyruara për shkëmbim informacioni AML/CFT.</w:t>
      </w:r>
      <w:r w:rsidRPr="001F11A2">
        <w:rPr>
          <w:sz w:val="24"/>
          <w:szCs w:val="24"/>
          <w:lang w:val="en-US"/>
        </w:rPr>
        <w:br/>
        <w:t>Përcakton:</w:t>
      </w:r>
    </w:p>
    <w:p w14:paraId="76B1E552" w14:textId="77777777" w:rsidR="001F11A2" w:rsidRPr="001F11A2" w:rsidRDefault="001F11A2" w:rsidP="004D5FC8">
      <w:pPr>
        <w:widowControl/>
        <w:numPr>
          <w:ilvl w:val="0"/>
          <w:numId w:val="14"/>
        </w:numPr>
        <w:autoSpaceDE/>
        <w:autoSpaceDN/>
        <w:spacing w:line="276" w:lineRule="auto"/>
        <w:rPr>
          <w:sz w:val="24"/>
          <w:szCs w:val="24"/>
          <w:lang w:val="en-US"/>
        </w:rPr>
      </w:pPr>
      <w:r w:rsidRPr="001F11A2">
        <w:rPr>
          <w:sz w:val="24"/>
          <w:szCs w:val="24"/>
          <w:lang w:val="en-US"/>
        </w:rPr>
        <w:t>kufijtë e informacionit të lejuar;</w:t>
      </w:r>
    </w:p>
    <w:p w14:paraId="21B77573" w14:textId="77777777" w:rsidR="001F11A2" w:rsidRPr="001F11A2" w:rsidRDefault="001F11A2" w:rsidP="004D5FC8">
      <w:pPr>
        <w:widowControl/>
        <w:numPr>
          <w:ilvl w:val="0"/>
          <w:numId w:val="14"/>
        </w:numPr>
        <w:autoSpaceDE/>
        <w:autoSpaceDN/>
        <w:spacing w:line="276" w:lineRule="auto"/>
        <w:rPr>
          <w:sz w:val="24"/>
          <w:szCs w:val="24"/>
          <w:lang w:val="en-US"/>
        </w:rPr>
      </w:pPr>
      <w:r w:rsidRPr="001F11A2">
        <w:rPr>
          <w:sz w:val="24"/>
          <w:szCs w:val="24"/>
          <w:lang w:val="en-US"/>
        </w:rPr>
        <w:t>kërkesat për vlerësim ndikimi në mbrojtjen e të dhënave;</w:t>
      </w:r>
    </w:p>
    <w:p w14:paraId="16217D98" w14:textId="77777777" w:rsidR="001F11A2" w:rsidRPr="001F11A2" w:rsidRDefault="001F11A2" w:rsidP="004D5FC8">
      <w:pPr>
        <w:widowControl/>
        <w:numPr>
          <w:ilvl w:val="0"/>
          <w:numId w:val="14"/>
        </w:numPr>
        <w:autoSpaceDE/>
        <w:autoSpaceDN/>
        <w:spacing w:line="276" w:lineRule="auto"/>
        <w:rPr>
          <w:sz w:val="24"/>
          <w:szCs w:val="24"/>
          <w:lang w:val="en-US"/>
        </w:rPr>
      </w:pPr>
      <w:r w:rsidRPr="001F11A2">
        <w:rPr>
          <w:sz w:val="24"/>
          <w:szCs w:val="24"/>
          <w:lang w:val="en-US"/>
        </w:rPr>
        <w:t>masa teknike sigurie;</w:t>
      </w:r>
    </w:p>
    <w:p w14:paraId="1DDBE844" w14:textId="77777777" w:rsidR="001F11A2" w:rsidRPr="001F11A2" w:rsidRDefault="001F11A2" w:rsidP="004D5FC8">
      <w:pPr>
        <w:widowControl/>
        <w:numPr>
          <w:ilvl w:val="0"/>
          <w:numId w:val="14"/>
        </w:numPr>
        <w:autoSpaceDE/>
        <w:autoSpaceDN/>
        <w:spacing w:line="276" w:lineRule="auto"/>
        <w:rPr>
          <w:sz w:val="24"/>
          <w:szCs w:val="24"/>
          <w:lang w:val="en-US"/>
        </w:rPr>
      </w:pPr>
      <w:r w:rsidRPr="001F11A2">
        <w:rPr>
          <w:sz w:val="24"/>
          <w:szCs w:val="24"/>
          <w:lang w:val="en-US"/>
        </w:rPr>
        <w:t>ndalim të transmetimit të mëtejshëm, me përjashtime të kufizuara;</w:t>
      </w:r>
    </w:p>
    <w:p w14:paraId="4129F8F6" w14:textId="1D10B495" w:rsidR="001F11A2" w:rsidRPr="00B0667A" w:rsidRDefault="001F11A2" w:rsidP="004D5FC8">
      <w:pPr>
        <w:widowControl/>
        <w:numPr>
          <w:ilvl w:val="0"/>
          <w:numId w:val="14"/>
        </w:numPr>
        <w:autoSpaceDE/>
        <w:autoSpaceDN/>
        <w:spacing w:line="276" w:lineRule="auto"/>
        <w:rPr>
          <w:sz w:val="24"/>
          <w:szCs w:val="24"/>
          <w:lang w:val="en-US"/>
        </w:rPr>
      </w:pPr>
      <w:r w:rsidRPr="001F11A2">
        <w:rPr>
          <w:sz w:val="24"/>
          <w:szCs w:val="24"/>
          <w:lang w:val="en-US"/>
        </w:rPr>
        <w:t>detyrimin për politika të brendshme dhe auditim kur kërkohet.</w:t>
      </w:r>
    </w:p>
    <w:p w14:paraId="0240DA73" w14:textId="77777777" w:rsidR="001F11A2" w:rsidRPr="001F11A2" w:rsidRDefault="001F11A2" w:rsidP="00E83544">
      <w:pPr>
        <w:widowControl/>
        <w:autoSpaceDE/>
        <w:autoSpaceDN/>
        <w:spacing w:line="276" w:lineRule="auto"/>
        <w:outlineLvl w:val="0"/>
        <w:rPr>
          <w:b/>
          <w:bCs/>
          <w:kern w:val="36"/>
          <w:sz w:val="24"/>
          <w:szCs w:val="24"/>
          <w:lang w:val="en-US"/>
        </w:rPr>
      </w:pPr>
      <w:r w:rsidRPr="001F11A2">
        <w:rPr>
          <w:b/>
          <w:bCs/>
          <w:kern w:val="36"/>
          <w:sz w:val="24"/>
          <w:szCs w:val="24"/>
          <w:lang w:val="en-US"/>
        </w:rPr>
        <w:t>KREU VII</w:t>
      </w:r>
    </w:p>
    <w:p w14:paraId="0D092288" w14:textId="77777777" w:rsidR="001F11A2" w:rsidRPr="001F11A2" w:rsidRDefault="001F11A2" w:rsidP="00E83544">
      <w:pPr>
        <w:widowControl/>
        <w:autoSpaceDE/>
        <w:autoSpaceDN/>
        <w:spacing w:line="276" w:lineRule="auto"/>
        <w:outlineLvl w:val="1"/>
        <w:rPr>
          <w:b/>
          <w:bCs/>
          <w:sz w:val="24"/>
          <w:szCs w:val="24"/>
          <w:lang w:val="en-US"/>
        </w:rPr>
      </w:pPr>
      <w:r w:rsidRPr="001F11A2">
        <w:rPr>
          <w:b/>
          <w:bCs/>
          <w:sz w:val="24"/>
          <w:szCs w:val="24"/>
          <w:lang w:val="en-US"/>
        </w:rPr>
        <w:t>Mbrojtja dhe ruajtja e të dhënave</w:t>
      </w:r>
    </w:p>
    <w:p w14:paraId="327E6A17" w14:textId="77777777" w:rsidR="001F11A2" w:rsidRPr="001F11A2" w:rsidRDefault="001F11A2" w:rsidP="00E83544">
      <w:pPr>
        <w:widowControl/>
        <w:autoSpaceDE/>
        <w:autoSpaceDN/>
        <w:spacing w:line="276" w:lineRule="auto"/>
        <w:outlineLvl w:val="2"/>
        <w:rPr>
          <w:b/>
          <w:bCs/>
          <w:sz w:val="24"/>
          <w:szCs w:val="24"/>
          <w:lang w:val="en-US"/>
        </w:rPr>
      </w:pPr>
      <w:r w:rsidRPr="001F11A2">
        <w:rPr>
          <w:b/>
          <w:bCs/>
          <w:sz w:val="24"/>
          <w:szCs w:val="24"/>
          <w:lang w:val="en-US"/>
        </w:rPr>
        <w:t>Neni 55 – Përpunimi i të dhënave personale</w:t>
      </w:r>
    </w:p>
    <w:p w14:paraId="36B8C50B" w14:textId="77777777" w:rsidR="001F11A2" w:rsidRPr="001F11A2" w:rsidRDefault="001F11A2" w:rsidP="00E83544">
      <w:pPr>
        <w:widowControl/>
        <w:autoSpaceDE/>
        <w:autoSpaceDN/>
        <w:spacing w:line="276" w:lineRule="auto"/>
        <w:rPr>
          <w:sz w:val="24"/>
          <w:szCs w:val="24"/>
          <w:lang w:val="en-US"/>
        </w:rPr>
      </w:pPr>
      <w:r w:rsidRPr="001F11A2">
        <w:rPr>
          <w:sz w:val="24"/>
          <w:szCs w:val="24"/>
          <w:lang w:val="en-US"/>
        </w:rPr>
        <w:t>Përcakton përpunimin e të dhënave në përputhje me legjislacionin për mbrojtjen e të dhënave personale.</w:t>
      </w:r>
      <w:r w:rsidRPr="001F11A2">
        <w:rPr>
          <w:sz w:val="24"/>
          <w:szCs w:val="24"/>
          <w:lang w:val="en-US"/>
        </w:rPr>
        <w:br/>
        <w:t>Lejon përpunimin e të dhënave sensitive dhe atyre penale kur është e nevojshme për AML/CFT, me masa të forta mbrojtëse.</w:t>
      </w:r>
      <w:r w:rsidRPr="001F11A2">
        <w:rPr>
          <w:sz w:val="24"/>
          <w:szCs w:val="24"/>
          <w:lang w:val="en-US"/>
        </w:rPr>
        <w:br/>
        <w:t>Lejon përdorimin e proceseve të automatizuara/AI me ndërhyrje të detyrueshme njerëzore dhe të drejtë kundërshtimi.</w:t>
      </w:r>
    </w:p>
    <w:p w14:paraId="696C19A3" w14:textId="77777777" w:rsidR="001F11A2" w:rsidRPr="001F11A2" w:rsidRDefault="001F11A2" w:rsidP="00E83544">
      <w:pPr>
        <w:widowControl/>
        <w:autoSpaceDE/>
        <w:autoSpaceDN/>
        <w:spacing w:line="276" w:lineRule="auto"/>
        <w:outlineLvl w:val="2"/>
        <w:rPr>
          <w:b/>
          <w:bCs/>
          <w:sz w:val="24"/>
          <w:szCs w:val="24"/>
          <w:lang w:val="en-US"/>
        </w:rPr>
      </w:pPr>
      <w:r w:rsidRPr="001F11A2">
        <w:rPr>
          <w:b/>
          <w:bCs/>
          <w:sz w:val="24"/>
          <w:szCs w:val="24"/>
          <w:lang w:val="en-US"/>
        </w:rPr>
        <w:t>Neni 56 – Ruajtja e të dhënave</w:t>
      </w:r>
    </w:p>
    <w:p w14:paraId="73207441" w14:textId="77777777" w:rsidR="001F11A2" w:rsidRPr="001F11A2" w:rsidRDefault="001F11A2" w:rsidP="00E83544">
      <w:pPr>
        <w:widowControl/>
        <w:autoSpaceDE/>
        <w:autoSpaceDN/>
        <w:spacing w:line="276" w:lineRule="auto"/>
        <w:rPr>
          <w:sz w:val="24"/>
          <w:szCs w:val="24"/>
          <w:lang w:val="en-US"/>
        </w:rPr>
      </w:pPr>
      <w:r w:rsidRPr="001F11A2">
        <w:rPr>
          <w:sz w:val="24"/>
          <w:szCs w:val="24"/>
          <w:lang w:val="en-US"/>
        </w:rPr>
        <w:t>Detyron ruajtjen për 5 vjet të dokumentacionit CDD, raporteve dhe të dhënave të transaksioneve.</w:t>
      </w:r>
      <w:r w:rsidRPr="001F11A2">
        <w:rPr>
          <w:sz w:val="24"/>
          <w:szCs w:val="24"/>
          <w:lang w:val="en-US"/>
        </w:rPr>
        <w:br/>
        <w:t>Lejon zgjatje deri në 5 vite shtesë me kërkesë të autoriteteve.</w:t>
      </w:r>
      <w:r w:rsidRPr="001F11A2">
        <w:rPr>
          <w:sz w:val="24"/>
          <w:szCs w:val="24"/>
          <w:lang w:val="en-US"/>
        </w:rPr>
        <w:br/>
        <w:t>Parashikon rregulla për referenca në vend të kopjeve dhe ruajtje të posaçme për procedime në vijim.</w:t>
      </w:r>
    </w:p>
    <w:p w14:paraId="3F18CCFC" w14:textId="77777777" w:rsidR="001F11A2" w:rsidRPr="001F11A2" w:rsidRDefault="001F11A2" w:rsidP="00E83544">
      <w:pPr>
        <w:widowControl/>
        <w:autoSpaceDE/>
        <w:autoSpaceDN/>
        <w:spacing w:line="276" w:lineRule="auto"/>
        <w:outlineLvl w:val="2"/>
        <w:rPr>
          <w:b/>
          <w:bCs/>
          <w:sz w:val="24"/>
          <w:szCs w:val="24"/>
          <w:lang w:val="en-US"/>
        </w:rPr>
      </w:pPr>
      <w:r w:rsidRPr="001F11A2">
        <w:rPr>
          <w:b/>
          <w:bCs/>
          <w:sz w:val="24"/>
          <w:szCs w:val="24"/>
          <w:lang w:val="en-US"/>
        </w:rPr>
        <w:t>Neni 57 – Sigurimi i të dhënave për autoritetet</w:t>
      </w:r>
    </w:p>
    <w:p w14:paraId="0E90093E" w14:textId="24EC7EDD" w:rsidR="001F11A2" w:rsidRPr="001F11A2" w:rsidRDefault="001F11A2" w:rsidP="00E83544">
      <w:pPr>
        <w:widowControl/>
        <w:autoSpaceDE/>
        <w:autoSpaceDN/>
        <w:spacing w:line="276" w:lineRule="auto"/>
        <w:rPr>
          <w:sz w:val="24"/>
          <w:szCs w:val="24"/>
          <w:lang w:val="en-US"/>
        </w:rPr>
      </w:pPr>
      <w:r w:rsidRPr="001F11A2">
        <w:rPr>
          <w:sz w:val="24"/>
          <w:szCs w:val="24"/>
          <w:lang w:val="en-US"/>
        </w:rPr>
        <w:t>Detyron subjektet të kenë sisteme për përgjigje të shpejtë dhe të sigurt ndaj kërkesave të AIF dhe autoriteteve të tjera kompetente.</w:t>
      </w:r>
    </w:p>
    <w:p w14:paraId="46BF3E34" w14:textId="77777777" w:rsidR="001F11A2" w:rsidRPr="001F11A2" w:rsidRDefault="001F11A2" w:rsidP="00E83544">
      <w:pPr>
        <w:widowControl/>
        <w:autoSpaceDE/>
        <w:autoSpaceDN/>
        <w:spacing w:line="276" w:lineRule="auto"/>
        <w:outlineLvl w:val="0"/>
        <w:rPr>
          <w:b/>
          <w:bCs/>
          <w:kern w:val="36"/>
          <w:sz w:val="24"/>
          <w:szCs w:val="24"/>
          <w:lang w:val="en-US"/>
        </w:rPr>
      </w:pPr>
      <w:r w:rsidRPr="001F11A2">
        <w:rPr>
          <w:b/>
          <w:bCs/>
          <w:kern w:val="36"/>
          <w:sz w:val="24"/>
          <w:szCs w:val="24"/>
          <w:lang w:val="en-US"/>
        </w:rPr>
        <w:t>KREU VIII</w:t>
      </w:r>
    </w:p>
    <w:p w14:paraId="31C230F3" w14:textId="77777777" w:rsidR="001F11A2" w:rsidRPr="001F11A2" w:rsidRDefault="001F11A2" w:rsidP="00E83544">
      <w:pPr>
        <w:widowControl/>
        <w:autoSpaceDE/>
        <w:autoSpaceDN/>
        <w:spacing w:line="276" w:lineRule="auto"/>
        <w:outlineLvl w:val="1"/>
        <w:rPr>
          <w:b/>
          <w:bCs/>
          <w:sz w:val="24"/>
          <w:szCs w:val="24"/>
          <w:lang w:val="en-US"/>
        </w:rPr>
      </w:pPr>
      <w:r w:rsidRPr="001F11A2">
        <w:rPr>
          <w:b/>
          <w:bCs/>
          <w:sz w:val="24"/>
          <w:szCs w:val="24"/>
          <w:lang w:val="en-US"/>
        </w:rPr>
        <w:t>Instrumentet anonime</w:t>
      </w:r>
    </w:p>
    <w:p w14:paraId="01DCAEE0" w14:textId="77777777" w:rsidR="001F11A2" w:rsidRPr="001F11A2" w:rsidRDefault="001F11A2" w:rsidP="00E83544">
      <w:pPr>
        <w:widowControl/>
        <w:autoSpaceDE/>
        <w:autoSpaceDN/>
        <w:spacing w:line="276" w:lineRule="auto"/>
        <w:outlineLvl w:val="2"/>
        <w:rPr>
          <w:b/>
          <w:bCs/>
          <w:sz w:val="24"/>
          <w:szCs w:val="24"/>
          <w:lang w:val="en-US"/>
        </w:rPr>
      </w:pPr>
      <w:r w:rsidRPr="001F11A2">
        <w:rPr>
          <w:b/>
          <w:bCs/>
          <w:sz w:val="24"/>
          <w:szCs w:val="24"/>
          <w:lang w:val="en-US"/>
        </w:rPr>
        <w:t>Neni 58 – Llogaritë anonime dhe aksionet e prurësit</w:t>
      </w:r>
    </w:p>
    <w:p w14:paraId="0A2D7DA0" w14:textId="77777777" w:rsidR="001F11A2" w:rsidRPr="001F11A2" w:rsidRDefault="001F11A2" w:rsidP="00E83544">
      <w:pPr>
        <w:widowControl/>
        <w:autoSpaceDE/>
        <w:autoSpaceDN/>
        <w:spacing w:line="276" w:lineRule="auto"/>
        <w:rPr>
          <w:sz w:val="24"/>
          <w:szCs w:val="24"/>
          <w:lang w:val="en-US"/>
        </w:rPr>
      </w:pPr>
      <w:r w:rsidRPr="001F11A2">
        <w:rPr>
          <w:sz w:val="24"/>
          <w:szCs w:val="24"/>
          <w:lang w:val="en-US"/>
        </w:rPr>
        <w:t>Ndalon llogaritë anonime dhe instrumentet që rrisin anonimitetin.</w:t>
      </w:r>
      <w:r w:rsidRPr="001F11A2">
        <w:rPr>
          <w:sz w:val="24"/>
          <w:szCs w:val="24"/>
          <w:lang w:val="en-US"/>
        </w:rPr>
        <w:br/>
        <w:t>Detyron konvertimin e aksioneve në formë mbajtësi brenda afateve të përcaktuara, me pezullim të të drejtave dhe anulim në rast mosrespektimi.</w:t>
      </w:r>
    </w:p>
    <w:p w14:paraId="0E392A16" w14:textId="77777777" w:rsidR="001F11A2" w:rsidRPr="001F11A2" w:rsidRDefault="001F11A2" w:rsidP="00E83544">
      <w:pPr>
        <w:widowControl/>
        <w:autoSpaceDE/>
        <w:autoSpaceDN/>
        <w:spacing w:line="276" w:lineRule="auto"/>
        <w:outlineLvl w:val="2"/>
        <w:rPr>
          <w:b/>
          <w:bCs/>
          <w:sz w:val="24"/>
          <w:szCs w:val="24"/>
          <w:lang w:val="en-US"/>
        </w:rPr>
      </w:pPr>
      <w:r w:rsidRPr="001F11A2">
        <w:rPr>
          <w:b/>
          <w:bCs/>
          <w:sz w:val="24"/>
          <w:szCs w:val="24"/>
          <w:lang w:val="en-US"/>
        </w:rPr>
        <w:t>Neni 59 – Kufijtë e pagesave në para</w:t>
      </w:r>
    </w:p>
    <w:p w14:paraId="0832A5B0" w14:textId="1FCBA9BF" w:rsidR="001F11A2" w:rsidRPr="001F11A2" w:rsidRDefault="001F11A2" w:rsidP="00E83544">
      <w:pPr>
        <w:widowControl/>
        <w:autoSpaceDE/>
        <w:autoSpaceDN/>
        <w:spacing w:line="276" w:lineRule="auto"/>
        <w:rPr>
          <w:sz w:val="24"/>
          <w:szCs w:val="24"/>
          <w:lang w:val="en-US"/>
        </w:rPr>
      </w:pPr>
      <w:r w:rsidRPr="001F11A2">
        <w:rPr>
          <w:sz w:val="24"/>
          <w:szCs w:val="24"/>
          <w:lang w:val="en-US"/>
        </w:rPr>
        <w:t>Vendos kufi 10 000 euro për pagesat cash në transaksione tregtare.</w:t>
      </w:r>
      <w:r w:rsidRPr="001F11A2">
        <w:rPr>
          <w:sz w:val="24"/>
          <w:szCs w:val="24"/>
          <w:lang w:val="en-US"/>
        </w:rPr>
        <w:br/>
        <w:t>Lejon prag më të ulët me akt nënligjor.</w:t>
      </w:r>
      <w:r w:rsidRPr="001F11A2">
        <w:rPr>
          <w:sz w:val="24"/>
          <w:szCs w:val="24"/>
          <w:lang w:val="en-US"/>
        </w:rPr>
        <w:br/>
        <w:t>Parashikon përjashtime të kufizuara dhe sanksione për shkelje.</w:t>
      </w:r>
      <w:r w:rsidRPr="001F11A2">
        <w:rPr>
          <w:sz w:val="24"/>
          <w:szCs w:val="24"/>
          <w:lang w:val="en-US"/>
        </w:rPr>
        <w:br/>
        <w:t>Lejon pezullim të përkohshëm në rast force madhore.</w:t>
      </w:r>
    </w:p>
    <w:p w14:paraId="1A0AFC8C" w14:textId="77777777" w:rsidR="001F11A2" w:rsidRPr="001F11A2" w:rsidRDefault="001F11A2" w:rsidP="00E83544">
      <w:pPr>
        <w:widowControl/>
        <w:autoSpaceDE/>
        <w:autoSpaceDN/>
        <w:spacing w:line="276" w:lineRule="auto"/>
        <w:jc w:val="both"/>
        <w:outlineLvl w:val="0"/>
        <w:rPr>
          <w:b/>
          <w:bCs/>
          <w:kern w:val="36"/>
          <w:sz w:val="24"/>
          <w:szCs w:val="24"/>
          <w:lang w:val="en-US"/>
        </w:rPr>
      </w:pPr>
      <w:r w:rsidRPr="001F11A2">
        <w:rPr>
          <w:b/>
          <w:bCs/>
          <w:kern w:val="36"/>
          <w:sz w:val="24"/>
          <w:szCs w:val="24"/>
          <w:lang w:val="en-US"/>
        </w:rPr>
        <w:t>KREU IX</w:t>
      </w:r>
    </w:p>
    <w:p w14:paraId="328755C3" w14:textId="77777777" w:rsidR="001F11A2" w:rsidRPr="001F11A2" w:rsidRDefault="001F11A2" w:rsidP="00E83544">
      <w:pPr>
        <w:widowControl/>
        <w:autoSpaceDE/>
        <w:autoSpaceDN/>
        <w:spacing w:line="276" w:lineRule="auto"/>
        <w:jc w:val="both"/>
        <w:outlineLvl w:val="1"/>
        <w:rPr>
          <w:b/>
          <w:bCs/>
          <w:sz w:val="24"/>
          <w:szCs w:val="24"/>
          <w:lang w:val="en-US"/>
        </w:rPr>
      </w:pPr>
      <w:r w:rsidRPr="001F11A2">
        <w:rPr>
          <w:b/>
          <w:bCs/>
          <w:sz w:val="24"/>
          <w:szCs w:val="24"/>
          <w:lang w:val="en-US"/>
        </w:rPr>
        <w:t>Dispozita përfundimtare</w:t>
      </w:r>
    </w:p>
    <w:p w14:paraId="0CF1D796" w14:textId="77777777" w:rsidR="001F11A2" w:rsidRPr="001F11A2" w:rsidRDefault="001F11A2" w:rsidP="00E83544">
      <w:pPr>
        <w:widowControl/>
        <w:autoSpaceDE/>
        <w:autoSpaceDN/>
        <w:spacing w:line="276" w:lineRule="auto"/>
        <w:jc w:val="both"/>
        <w:outlineLvl w:val="2"/>
        <w:rPr>
          <w:b/>
          <w:bCs/>
          <w:sz w:val="24"/>
          <w:szCs w:val="24"/>
          <w:lang w:val="en-US"/>
        </w:rPr>
      </w:pPr>
      <w:r w:rsidRPr="001F11A2">
        <w:rPr>
          <w:b/>
          <w:bCs/>
          <w:sz w:val="24"/>
          <w:szCs w:val="24"/>
          <w:lang w:val="en-US"/>
        </w:rPr>
        <w:t>Neni 60 – Bashkëpunimi me EPPO</w:t>
      </w:r>
    </w:p>
    <w:p w14:paraId="34E83C62" w14:textId="77777777" w:rsidR="001F11A2" w:rsidRPr="001F11A2" w:rsidRDefault="001F11A2" w:rsidP="00E83544">
      <w:pPr>
        <w:widowControl/>
        <w:autoSpaceDE/>
        <w:autoSpaceDN/>
        <w:spacing w:line="276" w:lineRule="auto"/>
        <w:jc w:val="both"/>
        <w:rPr>
          <w:sz w:val="24"/>
          <w:szCs w:val="24"/>
          <w:lang w:val="en-US"/>
        </w:rPr>
      </w:pPr>
      <w:r w:rsidRPr="001F11A2">
        <w:rPr>
          <w:sz w:val="24"/>
          <w:szCs w:val="24"/>
          <w:lang w:val="en-US"/>
        </w:rPr>
        <w:t>Rregullon shkëmbimin e informacionit dhe analizave ndërmjet AIF dhe EPPO, në përputhje me kuadrin ligjor dhe parimet e konfidencialitetit.</w:t>
      </w:r>
    </w:p>
    <w:p w14:paraId="4C61397E" w14:textId="77777777" w:rsidR="001F11A2" w:rsidRPr="001F11A2" w:rsidRDefault="001F11A2" w:rsidP="00E83544">
      <w:pPr>
        <w:widowControl/>
        <w:autoSpaceDE/>
        <w:autoSpaceDN/>
        <w:spacing w:line="276" w:lineRule="auto"/>
        <w:jc w:val="both"/>
        <w:outlineLvl w:val="2"/>
        <w:rPr>
          <w:b/>
          <w:bCs/>
          <w:sz w:val="24"/>
          <w:szCs w:val="24"/>
          <w:lang w:val="en-US"/>
        </w:rPr>
      </w:pPr>
      <w:r w:rsidRPr="001F11A2">
        <w:rPr>
          <w:b/>
          <w:bCs/>
          <w:sz w:val="24"/>
          <w:szCs w:val="24"/>
          <w:lang w:val="en-US"/>
        </w:rPr>
        <w:t>Neni 61 – Kërkesat për informacion drejtuar EPPO</w:t>
      </w:r>
    </w:p>
    <w:p w14:paraId="48E771F6" w14:textId="77777777" w:rsidR="001F11A2" w:rsidRPr="001F11A2" w:rsidRDefault="001F11A2" w:rsidP="00E83544">
      <w:pPr>
        <w:widowControl/>
        <w:autoSpaceDE/>
        <w:autoSpaceDN/>
        <w:spacing w:line="276" w:lineRule="auto"/>
        <w:jc w:val="both"/>
        <w:rPr>
          <w:sz w:val="24"/>
          <w:szCs w:val="24"/>
          <w:lang w:val="en-US"/>
        </w:rPr>
      </w:pPr>
      <w:r w:rsidRPr="001F11A2">
        <w:rPr>
          <w:sz w:val="24"/>
          <w:szCs w:val="24"/>
          <w:lang w:val="en-US"/>
        </w:rPr>
        <w:lastRenderedPageBreak/>
        <w:t>Parashikon detyrimin e EPPO për t’iu përgjigjur kërkesave të AIF, me mundësi shtyrjeje për arsye hetimore.</w:t>
      </w:r>
    </w:p>
    <w:p w14:paraId="720BC660" w14:textId="77777777" w:rsidR="001F11A2" w:rsidRPr="001F11A2" w:rsidRDefault="001F11A2" w:rsidP="00E83544">
      <w:pPr>
        <w:widowControl/>
        <w:autoSpaceDE/>
        <w:autoSpaceDN/>
        <w:spacing w:line="276" w:lineRule="auto"/>
        <w:jc w:val="both"/>
        <w:outlineLvl w:val="2"/>
        <w:rPr>
          <w:b/>
          <w:bCs/>
          <w:sz w:val="24"/>
          <w:szCs w:val="24"/>
          <w:lang w:val="en-US"/>
        </w:rPr>
      </w:pPr>
      <w:r w:rsidRPr="001F11A2">
        <w:rPr>
          <w:b/>
          <w:bCs/>
          <w:sz w:val="24"/>
          <w:szCs w:val="24"/>
          <w:lang w:val="en-US"/>
        </w:rPr>
        <w:t>Neni 62 – Bashkëpunimi me OLAF</w:t>
      </w:r>
    </w:p>
    <w:p w14:paraId="48C6532D" w14:textId="77777777" w:rsidR="001F11A2" w:rsidRPr="001F11A2" w:rsidRDefault="001F11A2" w:rsidP="00E83544">
      <w:pPr>
        <w:widowControl/>
        <w:autoSpaceDE/>
        <w:autoSpaceDN/>
        <w:spacing w:line="276" w:lineRule="auto"/>
        <w:jc w:val="both"/>
        <w:rPr>
          <w:sz w:val="24"/>
          <w:szCs w:val="24"/>
          <w:lang w:val="en-US"/>
        </w:rPr>
      </w:pPr>
      <w:r w:rsidRPr="001F11A2">
        <w:rPr>
          <w:sz w:val="24"/>
          <w:szCs w:val="24"/>
          <w:lang w:val="en-US"/>
        </w:rPr>
        <w:t>Rregullon transmetimin e informacionit dhe analizave në rast mashtrimi/korrupsioni që prek interesat financiare të BE.</w:t>
      </w:r>
    </w:p>
    <w:p w14:paraId="7B71BA63" w14:textId="77777777" w:rsidR="001F11A2" w:rsidRPr="001F11A2" w:rsidRDefault="001F11A2" w:rsidP="00E83544">
      <w:pPr>
        <w:widowControl/>
        <w:autoSpaceDE/>
        <w:autoSpaceDN/>
        <w:spacing w:line="276" w:lineRule="auto"/>
        <w:jc w:val="both"/>
        <w:outlineLvl w:val="2"/>
        <w:rPr>
          <w:b/>
          <w:bCs/>
          <w:sz w:val="24"/>
          <w:szCs w:val="24"/>
          <w:lang w:val="en-US"/>
        </w:rPr>
      </w:pPr>
      <w:r w:rsidRPr="001F11A2">
        <w:rPr>
          <w:b/>
          <w:bCs/>
          <w:sz w:val="24"/>
          <w:szCs w:val="24"/>
          <w:lang w:val="en-US"/>
        </w:rPr>
        <w:t>Neni 63 – Kërkesat për informacion drejtuar OLAF</w:t>
      </w:r>
    </w:p>
    <w:p w14:paraId="55086E63" w14:textId="77777777" w:rsidR="001F11A2" w:rsidRPr="001F11A2" w:rsidRDefault="001F11A2" w:rsidP="00E83544">
      <w:pPr>
        <w:widowControl/>
        <w:autoSpaceDE/>
        <w:autoSpaceDN/>
        <w:spacing w:line="276" w:lineRule="auto"/>
        <w:jc w:val="both"/>
        <w:rPr>
          <w:sz w:val="24"/>
          <w:szCs w:val="24"/>
          <w:lang w:val="en-US"/>
        </w:rPr>
      </w:pPr>
      <w:r w:rsidRPr="001F11A2">
        <w:rPr>
          <w:sz w:val="24"/>
          <w:szCs w:val="24"/>
          <w:lang w:val="en-US"/>
        </w:rPr>
        <w:t>Përcakton procedurën e përgjigjes nga OLAF dhe mundësinë e refuzimit për arsye hetimore.</w:t>
      </w:r>
    </w:p>
    <w:p w14:paraId="3F7FA0B6" w14:textId="77777777" w:rsidR="001F11A2" w:rsidRPr="001F11A2" w:rsidRDefault="001F11A2" w:rsidP="00E83544">
      <w:pPr>
        <w:widowControl/>
        <w:autoSpaceDE/>
        <w:autoSpaceDN/>
        <w:spacing w:line="276" w:lineRule="auto"/>
        <w:jc w:val="both"/>
        <w:outlineLvl w:val="2"/>
        <w:rPr>
          <w:b/>
          <w:bCs/>
          <w:sz w:val="24"/>
          <w:szCs w:val="24"/>
          <w:lang w:val="en-US"/>
        </w:rPr>
      </w:pPr>
      <w:r w:rsidRPr="001F11A2">
        <w:rPr>
          <w:b/>
          <w:bCs/>
          <w:sz w:val="24"/>
          <w:szCs w:val="24"/>
          <w:lang w:val="en-US"/>
        </w:rPr>
        <w:t>Neni 64 – Dispozita kalimtare</w:t>
      </w:r>
    </w:p>
    <w:p w14:paraId="1E452A4E" w14:textId="77777777" w:rsidR="001F11A2" w:rsidRPr="001F11A2" w:rsidRDefault="001F11A2" w:rsidP="00E83544">
      <w:pPr>
        <w:widowControl/>
        <w:autoSpaceDE/>
        <w:autoSpaceDN/>
        <w:spacing w:line="276" w:lineRule="auto"/>
        <w:jc w:val="both"/>
        <w:rPr>
          <w:sz w:val="24"/>
          <w:szCs w:val="24"/>
          <w:lang w:val="en-US"/>
        </w:rPr>
      </w:pPr>
      <w:r w:rsidRPr="001F11A2">
        <w:rPr>
          <w:sz w:val="24"/>
          <w:szCs w:val="24"/>
          <w:lang w:val="en-US"/>
        </w:rPr>
        <w:t>Përcakton:</w:t>
      </w:r>
    </w:p>
    <w:p w14:paraId="5E74B10D" w14:textId="77777777" w:rsidR="001F11A2" w:rsidRPr="001F11A2" w:rsidRDefault="001F11A2" w:rsidP="004D5FC8">
      <w:pPr>
        <w:widowControl/>
        <w:numPr>
          <w:ilvl w:val="0"/>
          <w:numId w:val="15"/>
        </w:numPr>
        <w:tabs>
          <w:tab w:val="clear" w:pos="720"/>
          <w:tab w:val="num" w:pos="450"/>
        </w:tabs>
        <w:autoSpaceDE/>
        <w:autoSpaceDN/>
        <w:spacing w:line="276" w:lineRule="auto"/>
        <w:ind w:left="0" w:firstLine="0"/>
        <w:jc w:val="both"/>
        <w:rPr>
          <w:sz w:val="24"/>
          <w:szCs w:val="24"/>
          <w:lang w:val="en-US"/>
        </w:rPr>
      </w:pPr>
      <w:r w:rsidRPr="001F11A2">
        <w:rPr>
          <w:sz w:val="24"/>
          <w:szCs w:val="24"/>
          <w:lang w:val="en-US"/>
        </w:rPr>
        <w:t>zbatimin e dispozitave të lidhura me Komisionin Evropian dhe AMLA pas aderimit;</w:t>
      </w:r>
    </w:p>
    <w:p w14:paraId="3DB91AD6" w14:textId="77777777" w:rsidR="001F11A2" w:rsidRPr="001F11A2" w:rsidRDefault="001F11A2" w:rsidP="004D5FC8">
      <w:pPr>
        <w:widowControl/>
        <w:numPr>
          <w:ilvl w:val="0"/>
          <w:numId w:val="15"/>
        </w:numPr>
        <w:tabs>
          <w:tab w:val="clear" w:pos="720"/>
          <w:tab w:val="num" w:pos="450"/>
        </w:tabs>
        <w:autoSpaceDE/>
        <w:autoSpaceDN/>
        <w:spacing w:line="276" w:lineRule="auto"/>
        <w:ind w:left="0" w:firstLine="0"/>
        <w:jc w:val="both"/>
        <w:rPr>
          <w:sz w:val="24"/>
          <w:szCs w:val="24"/>
          <w:lang w:val="en-US"/>
        </w:rPr>
      </w:pPr>
      <w:r w:rsidRPr="001F11A2">
        <w:rPr>
          <w:sz w:val="24"/>
          <w:szCs w:val="24"/>
          <w:lang w:val="en-US"/>
        </w:rPr>
        <w:t>vazhdimësinë e ligjit nr. 9917/2008 deri në hyrjen në fuqi;</w:t>
      </w:r>
    </w:p>
    <w:p w14:paraId="014758CA" w14:textId="77777777" w:rsidR="001F11A2" w:rsidRPr="001F11A2" w:rsidRDefault="001F11A2" w:rsidP="004D5FC8">
      <w:pPr>
        <w:widowControl/>
        <w:numPr>
          <w:ilvl w:val="0"/>
          <w:numId w:val="15"/>
        </w:numPr>
        <w:tabs>
          <w:tab w:val="clear" w:pos="720"/>
          <w:tab w:val="num" w:pos="450"/>
        </w:tabs>
        <w:autoSpaceDE/>
        <w:autoSpaceDN/>
        <w:spacing w:line="276" w:lineRule="auto"/>
        <w:ind w:left="0" w:firstLine="0"/>
        <w:rPr>
          <w:sz w:val="24"/>
          <w:szCs w:val="24"/>
          <w:lang w:val="en-US"/>
        </w:rPr>
      </w:pPr>
      <w:r w:rsidRPr="001F11A2">
        <w:rPr>
          <w:sz w:val="24"/>
          <w:szCs w:val="24"/>
          <w:lang w:val="en-US"/>
        </w:rPr>
        <w:t>vlefshmërinë e akteve nënligjore ekzistuese deri në zëvendësimin e tyre;</w:t>
      </w:r>
    </w:p>
    <w:p w14:paraId="057C9309" w14:textId="51C66F5C" w:rsidR="004836FC" w:rsidRPr="00B0667A" w:rsidRDefault="001F11A2" w:rsidP="004D5FC8">
      <w:pPr>
        <w:widowControl/>
        <w:numPr>
          <w:ilvl w:val="0"/>
          <w:numId w:val="15"/>
        </w:numPr>
        <w:tabs>
          <w:tab w:val="clear" w:pos="720"/>
          <w:tab w:val="num" w:pos="450"/>
        </w:tabs>
        <w:autoSpaceDE/>
        <w:autoSpaceDN/>
        <w:spacing w:line="276" w:lineRule="auto"/>
        <w:ind w:left="0" w:firstLine="0"/>
        <w:rPr>
          <w:sz w:val="24"/>
          <w:szCs w:val="24"/>
          <w:lang w:val="en-US"/>
        </w:rPr>
      </w:pPr>
      <w:r w:rsidRPr="001F11A2">
        <w:rPr>
          <w:sz w:val="24"/>
          <w:szCs w:val="24"/>
          <w:lang w:val="en-US"/>
        </w:rPr>
        <w:t>shfuqizimin e Pjesës II në ditën e anëtarësimit në BE.</w:t>
      </w:r>
    </w:p>
    <w:p w14:paraId="250A3EFD" w14:textId="77777777" w:rsidR="00613779" w:rsidRPr="00613779" w:rsidRDefault="00613779" w:rsidP="00E83544">
      <w:pPr>
        <w:pStyle w:val="BodyText"/>
        <w:tabs>
          <w:tab w:val="left" w:pos="4783"/>
        </w:tabs>
        <w:spacing w:line="276" w:lineRule="auto"/>
        <w:ind w:right="48"/>
        <w:rPr>
          <w:sz w:val="24"/>
          <w:szCs w:val="24"/>
          <w:lang w:val="en-US"/>
        </w:rPr>
      </w:pPr>
      <w:r w:rsidRPr="00613779">
        <w:rPr>
          <w:sz w:val="24"/>
          <w:szCs w:val="24"/>
          <w:lang w:val="en-US"/>
        </w:rPr>
        <w:t>Projektligji përmban pesë shtojca, të cilat janë pjesë integrale e tij dhe kanë për qëllim konkretizimin e qasjes së bazuar në rrezik, përcaktimin e faktorëve orientues për subjektet e detyruara dhe identifikimin e kategorive të mallrave dhe pasurive me rrezik të shtuar për pastrim parash dhe financim të terrorizmit.</w:t>
      </w:r>
    </w:p>
    <w:p w14:paraId="76C5E19E" w14:textId="77777777" w:rsidR="00C452DC" w:rsidRDefault="00C452DC" w:rsidP="00E83544">
      <w:pPr>
        <w:pStyle w:val="BodyText"/>
        <w:tabs>
          <w:tab w:val="left" w:pos="4783"/>
        </w:tabs>
        <w:spacing w:line="276" w:lineRule="auto"/>
        <w:ind w:right="48"/>
        <w:rPr>
          <w:b/>
          <w:bCs/>
          <w:sz w:val="24"/>
          <w:szCs w:val="24"/>
          <w:lang w:val="en-US"/>
        </w:rPr>
      </w:pPr>
    </w:p>
    <w:p w14:paraId="151F282F" w14:textId="25D4FBA0" w:rsidR="00613779" w:rsidRPr="00613779" w:rsidRDefault="00613779" w:rsidP="00E83544">
      <w:pPr>
        <w:pStyle w:val="BodyText"/>
        <w:tabs>
          <w:tab w:val="left" w:pos="4783"/>
        </w:tabs>
        <w:spacing w:line="276" w:lineRule="auto"/>
        <w:ind w:right="48"/>
        <w:rPr>
          <w:sz w:val="24"/>
          <w:szCs w:val="24"/>
          <w:lang w:val="en-US"/>
        </w:rPr>
      </w:pPr>
      <w:r w:rsidRPr="00613779">
        <w:rPr>
          <w:b/>
          <w:bCs/>
          <w:sz w:val="24"/>
          <w:szCs w:val="24"/>
          <w:lang w:val="en-US"/>
        </w:rPr>
        <w:t>Shtojca I</w:t>
      </w:r>
      <w:r w:rsidRPr="00613779">
        <w:rPr>
          <w:sz w:val="24"/>
          <w:szCs w:val="24"/>
          <w:lang w:val="en-US"/>
        </w:rPr>
        <w:t xml:space="preserve"> përcakton listën treguese të variablave të rrezikut që subjektet e detyruara duhet të marrin në konsideratë gjatë hartimit të vlerësimit të brendshëm të rrezikut dhe në përcaktimin e masave të vigjilencës së duhur ndaj klientit. Këto variabla përfshijnë elemente që lidhen me profilin e klientit dhe të pronarit përfitues, juridiksionet përkatëse, karakteristikat e produktit, shërbimit ose transaksionit, si dhe kanalet e shpërndarjes. Shtojca shërben si bazë metodologjike për zbatimin e qasjes së bazuar në rrezik, në përputhje me standardet ndërkombëtare dhe acquis të Bashkimit Evropian.</w:t>
      </w:r>
    </w:p>
    <w:p w14:paraId="6755565C" w14:textId="77777777" w:rsidR="00613779" w:rsidRPr="00613779" w:rsidRDefault="00613779" w:rsidP="00E83544">
      <w:pPr>
        <w:pStyle w:val="BodyText"/>
        <w:tabs>
          <w:tab w:val="left" w:pos="4783"/>
        </w:tabs>
        <w:spacing w:line="276" w:lineRule="auto"/>
        <w:ind w:right="48"/>
        <w:rPr>
          <w:sz w:val="24"/>
          <w:szCs w:val="24"/>
          <w:lang w:val="en-US"/>
        </w:rPr>
      </w:pPr>
      <w:r w:rsidRPr="00613779">
        <w:rPr>
          <w:b/>
          <w:bCs/>
          <w:sz w:val="24"/>
          <w:szCs w:val="24"/>
          <w:lang w:val="en-US"/>
        </w:rPr>
        <w:t>Shtojca II</w:t>
      </w:r>
      <w:r w:rsidRPr="00613779">
        <w:rPr>
          <w:sz w:val="24"/>
          <w:szCs w:val="24"/>
          <w:lang w:val="en-US"/>
        </w:rPr>
        <w:t xml:space="preserve"> paraqet një listë joshteruese të faktorëve që mund të tregojnë një nivel potencialisht më të ulët rreziku. Këta faktorë lidhen me kategori të caktuara klientësh (si shoqëritë publike të listuara apo administratat publike), produkte financiare me karakteristika të kufizuara rreziku (p.sh. produkte pensioni ose sigurime me prime të ulëta), si dhe juridiksione që disponojnë sisteme efektive për luftën kundër pastrimit të parave dhe financimit të terrorizmit. Kjo shtojcë orienton subjektet e detyruara në justifikimin e aplikimit të masave të vigjilencës së thjeshtuar, kur kjo është e lejueshme sipas ligjit.</w:t>
      </w:r>
    </w:p>
    <w:p w14:paraId="4FDEE59B" w14:textId="77777777" w:rsidR="00613779" w:rsidRPr="00613779" w:rsidRDefault="00613779" w:rsidP="00E83544">
      <w:pPr>
        <w:pStyle w:val="BodyText"/>
        <w:tabs>
          <w:tab w:val="left" w:pos="4783"/>
        </w:tabs>
        <w:spacing w:line="276" w:lineRule="auto"/>
        <w:ind w:right="48"/>
        <w:rPr>
          <w:sz w:val="24"/>
          <w:szCs w:val="24"/>
          <w:lang w:val="en-US"/>
        </w:rPr>
      </w:pPr>
      <w:r w:rsidRPr="00613779">
        <w:rPr>
          <w:b/>
          <w:bCs/>
          <w:sz w:val="24"/>
          <w:szCs w:val="24"/>
          <w:lang w:val="en-US"/>
        </w:rPr>
        <w:t>Shtojca III</w:t>
      </w:r>
      <w:r w:rsidRPr="00613779">
        <w:rPr>
          <w:sz w:val="24"/>
          <w:szCs w:val="24"/>
          <w:lang w:val="en-US"/>
        </w:rPr>
        <w:t xml:space="preserve"> përcakton faktorët që sinjalizojnë rrezik potencialisht më të lartë dhe që kërkojnë zbatimin e masave të vigjilencës së zgjeruar. Këtu përfshihen rrethana të pazakonta të marrëdhënies së biznesit, struktura pronësie të ndërlikuara ose pa arsyetim ekonomik të dukshëm, përdorimi intensiv i parasë në dorë, produkte ose mekanizma që favorizojnë anonimitetin, si dhe lidhjet me juridiksione të identifikuara si me mangësi serioze në sistemet AML/CFT ose nën sanksione ndërkombëtare. Shtojca forcon dimensionin parandalues të ligjit duke orientuar subjektet drejt kontrollit të shtuar në situata me ekspozim të lartë rreziku.</w:t>
      </w:r>
    </w:p>
    <w:p w14:paraId="351B5183" w14:textId="77777777" w:rsidR="00613779" w:rsidRPr="00613779" w:rsidRDefault="00613779" w:rsidP="00E83544">
      <w:pPr>
        <w:pStyle w:val="BodyText"/>
        <w:tabs>
          <w:tab w:val="left" w:pos="4783"/>
        </w:tabs>
        <w:spacing w:line="276" w:lineRule="auto"/>
        <w:ind w:right="48"/>
        <w:rPr>
          <w:sz w:val="24"/>
          <w:szCs w:val="24"/>
          <w:lang w:val="en-US"/>
        </w:rPr>
      </w:pPr>
      <w:r w:rsidRPr="00613779">
        <w:rPr>
          <w:b/>
          <w:bCs/>
          <w:sz w:val="24"/>
          <w:szCs w:val="24"/>
          <w:lang w:val="en-US"/>
        </w:rPr>
        <w:t>Shtojca IV</w:t>
      </w:r>
      <w:r w:rsidRPr="00613779">
        <w:rPr>
          <w:sz w:val="24"/>
          <w:szCs w:val="24"/>
          <w:lang w:val="en-US"/>
        </w:rPr>
        <w:t xml:space="preserve"> përcakton kategoritë e mallrave me vlerë të lartë që, për shkak të natyrës dhe vlerës së tyre, paraqesin rrezik të shtuar për përdorim në skema pastrimi parash. Këto përfshijnë bizhuteri dhe artikuj prej metalesh të çmuara, ora me vlerë të lartë, mjete motorike, mjete fluturuese dhe mjete lundruese mbi pragjet e përcaktuara monetare. Përcaktimi i këtyre kategorive synon rritjen e transparencës dhe forcimin e detyrimeve të raportimit për </w:t>
      </w:r>
      <w:r w:rsidRPr="00613779">
        <w:rPr>
          <w:sz w:val="24"/>
          <w:szCs w:val="24"/>
          <w:lang w:val="en-US"/>
        </w:rPr>
        <w:lastRenderedPageBreak/>
        <w:t>transaksionet që i përfshijnë.</w:t>
      </w:r>
    </w:p>
    <w:p w14:paraId="7412DF23" w14:textId="77777777" w:rsidR="00613779" w:rsidRPr="00613779" w:rsidRDefault="00613779" w:rsidP="00E83544">
      <w:pPr>
        <w:pStyle w:val="BodyText"/>
        <w:tabs>
          <w:tab w:val="left" w:pos="4783"/>
        </w:tabs>
        <w:spacing w:line="276" w:lineRule="auto"/>
        <w:ind w:right="48"/>
        <w:rPr>
          <w:sz w:val="24"/>
          <w:szCs w:val="24"/>
          <w:lang w:val="en-US"/>
        </w:rPr>
      </w:pPr>
      <w:r w:rsidRPr="00613779">
        <w:rPr>
          <w:b/>
          <w:bCs/>
          <w:sz w:val="24"/>
          <w:szCs w:val="24"/>
          <w:lang w:val="en-US"/>
        </w:rPr>
        <w:t>Shtojca V</w:t>
      </w:r>
      <w:r w:rsidRPr="00613779">
        <w:rPr>
          <w:sz w:val="24"/>
          <w:szCs w:val="24"/>
          <w:lang w:val="en-US"/>
        </w:rPr>
        <w:t xml:space="preserve"> liston metalet dhe gurët e çmuar që konsiderohen me rrezik të veçantë për qëllime të këtij ligji. Përfshirja e tyre synon të adresojë ekspozimin ndaj pastrimit të parave në sektorët e tregtimit të metaleve dhe gurëve të çmuar, në përputhje me praktikat dhe standardet ndërkombëtare.</w:t>
      </w:r>
    </w:p>
    <w:p w14:paraId="1AF6AD22" w14:textId="34C79330" w:rsidR="00AE4159" w:rsidRPr="00090E82" w:rsidRDefault="00613779" w:rsidP="00090E82">
      <w:pPr>
        <w:pStyle w:val="BodyText"/>
        <w:tabs>
          <w:tab w:val="left" w:pos="4783"/>
        </w:tabs>
        <w:spacing w:line="276" w:lineRule="auto"/>
        <w:ind w:right="48"/>
        <w:rPr>
          <w:sz w:val="24"/>
          <w:szCs w:val="24"/>
          <w:lang w:val="en-US"/>
        </w:rPr>
      </w:pPr>
      <w:r w:rsidRPr="00613779">
        <w:rPr>
          <w:sz w:val="24"/>
          <w:szCs w:val="24"/>
          <w:lang w:val="en-US"/>
        </w:rPr>
        <w:t>Në tërësi, shtojcat e projektligjit operacionalizojnë dispozitat materiale të tij, duke siguruar qartësi normative, harmonizim me legjislacionin e Bashkimit Evropian dhe zbatim efektiv të qasjes së bazuar në rrezik nga subjektet e detyruara.</w:t>
      </w:r>
    </w:p>
    <w:p w14:paraId="4A2E3727" w14:textId="617344B4" w:rsidR="00613779" w:rsidRPr="00613779" w:rsidRDefault="00613779" w:rsidP="00E83544">
      <w:pPr>
        <w:widowControl/>
        <w:tabs>
          <w:tab w:val="left" w:pos="360"/>
        </w:tabs>
        <w:autoSpaceDE/>
        <w:autoSpaceDN/>
        <w:spacing w:line="276" w:lineRule="auto"/>
        <w:rPr>
          <w:rFonts w:eastAsia="Calibri"/>
          <w:b/>
          <w:sz w:val="24"/>
          <w:szCs w:val="24"/>
        </w:rPr>
      </w:pPr>
      <w:r w:rsidRPr="00613779">
        <w:rPr>
          <w:rFonts w:eastAsia="Calibri"/>
          <w:b/>
          <w:sz w:val="24"/>
          <w:szCs w:val="24"/>
        </w:rPr>
        <w:t>Pjesa I</w:t>
      </w:r>
      <w:r w:rsidR="005552C8">
        <w:rPr>
          <w:rFonts w:eastAsia="Calibri"/>
          <w:b/>
          <w:sz w:val="24"/>
          <w:szCs w:val="24"/>
        </w:rPr>
        <w:t>II.</w:t>
      </w:r>
    </w:p>
    <w:p w14:paraId="5082D02E" w14:textId="54D1751D" w:rsidR="005552C8" w:rsidRPr="00940CE9" w:rsidRDefault="005552C8" w:rsidP="00E83544">
      <w:pPr>
        <w:spacing w:line="276" w:lineRule="auto"/>
        <w:rPr>
          <w:b/>
          <w:sz w:val="24"/>
          <w:szCs w:val="24"/>
        </w:rPr>
      </w:pPr>
      <w:r>
        <w:rPr>
          <w:b/>
          <w:sz w:val="24"/>
          <w:szCs w:val="24"/>
        </w:rPr>
        <w:t>M</w:t>
      </w:r>
      <w:r w:rsidRPr="00940CE9">
        <w:rPr>
          <w:b/>
          <w:sz w:val="24"/>
          <w:szCs w:val="24"/>
        </w:rPr>
        <w:t>asa mbi zbatimin e rregullores (be) 2023/1113 të parlamentit evropian dhe këshillit të datës 31 maj 2023 “</w:t>
      </w:r>
      <w:r>
        <w:rPr>
          <w:b/>
          <w:sz w:val="24"/>
          <w:szCs w:val="24"/>
        </w:rPr>
        <w:t>M</w:t>
      </w:r>
      <w:r w:rsidRPr="00940CE9">
        <w:rPr>
          <w:b/>
          <w:sz w:val="24"/>
          <w:szCs w:val="24"/>
        </w:rPr>
        <w:t>bi informacionin që shoqëron transfertat e fondeve dhe disa kriproasete”</w:t>
      </w:r>
    </w:p>
    <w:p w14:paraId="595B83B2" w14:textId="77777777" w:rsidR="004A7A2A" w:rsidRPr="004A7A2A" w:rsidRDefault="004A7A2A" w:rsidP="00E83544">
      <w:pPr>
        <w:pStyle w:val="BodyText"/>
        <w:tabs>
          <w:tab w:val="left" w:pos="4783"/>
        </w:tabs>
        <w:spacing w:line="276" w:lineRule="auto"/>
        <w:ind w:right="48"/>
        <w:rPr>
          <w:b/>
          <w:bCs/>
          <w:sz w:val="24"/>
          <w:szCs w:val="24"/>
          <w:lang w:val="en-US"/>
        </w:rPr>
      </w:pPr>
      <w:r w:rsidRPr="004A7A2A">
        <w:rPr>
          <w:b/>
          <w:bCs/>
          <w:sz w:val="24"/>
          <w:szCs w:val="24"/>
          <w:lang w:val="en-US"/>
        </w:rPr>
        <w:t>KREU I – Objekti, fusha e zbatimit dhe përkufizimet</w:t>
      </w:r>
    </w:p>
    <w:p w14:paraId="4CAB8721" w14:textId="0BC4593F"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1 – Objekti</w:t>
      </w:r>
    </w:p>
    <w:p w14:paraId="2325F44D" w14:textId="00E27C39"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Ky nen përcakton dy shtylla të Pjesës III:</w:t>
      </w:r>
    </w:p>
    <w:p w14:paraId="39C1DE38" w14:textId="06A084C2" w:rsidR="004A7A2A" w:rsidRPr="004A7A2A" w:rsidRDefault="004A7A2A" w:rsidP="00E83544">
      <w:pPr>
        <w:pStyle w:val="BodyText"/>
        <w:tabs>
          <w:tab w:val="left" w:pos="4783"/>
        </w:tabs>
        <w:spacing w:line="276" w:lineRule="auto"/>
        <w:ind w:right="48"/>
        <w:rPr>
          <w:bCs/>
          <w:sz w:val="24"/>
          <w:szCs w:val="24"/>
          <w:lang w:val="en-US"/>
        </w:rPr>
      </w:pPr>
      <w:r w:rsidRPr="004A7A2A">
        <w:rPr>
          <w:bCs/>
          <w:sz w:val="24"/>
          <w:szCs w:val="24"/>
          <w:lang w:val="en-US"/>
        </w:rPr>
        <w:t>“Rregulli i shoqërimit të transfertës me informacion” (pagues/përfitues) për transfertat e fondeve dhe kriptoaseteve, me qëllim parandalim-zbulim-hetim të PP/FT, kur të paktën një PSP/CASP është i licencuar, i regjistruar ose vepron në Shqipëri.</w:t>
      </w:r>
    </w:p>
    <w:p w14:paraId="368CB732" w14:textId="560F35C5" w:rsidR="004A7A2A" w:rsidRPr="004A7A2A" w:rsidRDefault="004A7A2A" w:rsidP="00E83544">
      <w:pPr>
        <w:pStyle w:val="BodyText"/>
        <w:tabs>
          <w:tab w:val="left" w:pos="4783"/>
        </w:tabs>
        <w:spacing w:line="276" w:lineRule="auto"/>
        <w:ind w:right="48"/>
        <w:rPr>
          <w:bCs/>
          <w:sz w:val="24"/>
          <w:szCs w:val="24"/>
          <w:lang w:val="en-US"/>
        </w:rPr>
      </w:pPr>
      <w:r w:rsidRPr="004A7A2A">
        <w:rPr>
          <w:bCs/>
          <w:sz w:val="24"/>
          <w:szCs w:val="24"/>
          <w:lang w:val="en-US"/>
        </w:rPr>
        <w:t>“Pajtueshmëria me masat kufizuese”: kërkon politika, procedura dhe kontrolle të brendshme te PSP/CASP për zbatimin e masave kufizuese (sanksione) në lidhje me transfertat.</w:t>
      </w:r>
    </w:p>
    <w:p w14:paraId="371A7EE8" w14:textId="5711AE4D" w:rsidR="004A7A2A" w:rsidRPr="004A7A2A" w:rsidRDefault="004A7A2A" w:rsidP="00E83544">
      <w:pPr>
        <w:pStyle w:val="BodyText"/>
        <w:tabs>
          <w:tab w:val="left" w:pos="4783"/>
        </w:tabs>
        <w:spacing w:line="276" w:lineRule="auto"/>
        <w:ind w:right="48"/>
        <w:rPr>
          <w:b/>
          <w:bCs/>
          <w:sz w:val="24"/>
          <w:szCs w:val="24"/>
          <w:lang w:val="en-US"/>
        </w:rPr>
      </w:pPr>
      <w:r w:rsidRPr="004A7A2A">
        <w:rPr>
          <w:b/>
          <w:bCs/>
          <w:sz w:val="24"/>
          <w:szCs w:val="24"/>
          <w:lang w:val="en-US"/>
        </w:rPr>
        <w:t>Neni 2 – Fusha e zbatimit</w:t>
      </w:r>
    </w:p>
    <w:p w14:paraId="60F572D2" w14:textId="5C589B6C" w:rsidR="004A7A2A" w:rsidRPr="004A7A2A" w:rsidRDefault="004A7A2A" w:rsidP="00E83544">
      <w:pPr>
        <w:pStyle w:val="BodyText"/>
        <w:tabs>
          <w:tab w:val="left" w:pos="4783"/>
        </w:tabs>
        <w:spacing w:line="276" w:lineRule="auto"/>
        <w:ind w:right="48"/>
        <w:rPr>
          <w:bCs/>
          <w:sz w:val="24"/>
          <w:szCs w:val="24"/>
          <w:lang w:val="en-US"/>
        </w:rPr>
      </w:pPr>
      <w:r w:rsidRPr="004A7A2A">
        <w:rPr>
          <w:bCs/>
          <w:sz w:val="24"/>
          <w:szCs w:val="24"/>
          <w:lang w:val="en-US"/>
        </w:rPr>
        <w:t>Përcakton qartë kur rregullat zbatohen dhe kur jo:</w:t>
      </w:r>
    </w:p>
    <w:p w14:paraId="75544BD5" w14:textId="4E4F5F7E" w:rsidR="004A7A2A" w:rsidRPr="004A7A2A" w:rsidRDefault="004A7A2A" w:rsidP="00E83544">
      <w:pPr>
        <w:pStyle w:val="BodyText"/>
        <w:tabs>
          <w:tab w:val="left" w:pos="4783"/>
        </w:tabs>
        <w:spacing w:line="276" w:lineRule="auto"/>
        <w:ind w:right="48"/>
        <w:rPr>
          <w:bCs/>
          <w:sz w:val="24"/>
          <w:szCs w:val="24"/>
          <w:lang w:val="en-US"/>
        </w:rPr>
      </w:pPr>
      <w:r w:rsidRPr="004A7A2A">
        <w:rPr>
          <w:bCs/>
          <w:sz w:val="24"/>
          <w:szCs w:val="24"/>
          <w:lang w:val="en-US"/>
        </w:rPr>
        <w:t>Zbatohen për transferta fondesh dhe transferta kriptoasetesh (edhe përmes kripto-ATM), nëse një hallkë e zinxhirit (PSP/CASP) është e licencuar/vepron në Shqipëri.</w:t>
      </w:r>
    </w:p>
    <w:p w14:paraId="763A788F" w14:textId="208EADF8" w:rsidR="004A7A2A" w:rsidRPr="004A7A2A" w:rsidRDefault="004A7A2A" w:rsidP="00E83544">
      <w:pPr>
        <w:pStyle w:val="BodyText"/>
        <w:tabs>
          <w:tab w:val="left" w:pos="4783"/>
        </w:tabs>
        <w:spacing w:line="276" w:lineRule="auto"/>
        <w:ind w:right="48"/>
        <w:rPr>
          <w:bCs/>
          <w:sz w:val="24"/>
          <w:szCs w:val="24"/>
          <w:lang w:val="en-US"/>
        </w:rPr>
      </w:pPr>
      <w:r w:rsidRPr="004A7A2A">
        <w:rPr>
          <w:bCs/>
          <w:sz w:val="24"/>
          <w:szCs w:val="24"/>
          <w:lang w:val="en-US"/>
        </w:rPr>
        <w:t>Përjashton shërbime që nuk konsiderohen shërbime pagese sipas ligjit për pagesat.</w:t>
      </w:r>
    </w:p>
    <w:p w14:paraId="16ED9493" w14:textId="1CB4D00C" w:rsidR="004A7A2A" w:rsidRPr="004A7A2A" w:rsidRDefault="004A7A2A" w:rsidP="00E83544">
      <w:pPr>
        <w:pStyle w:val="BodyText"/>
        <w:tabs>
          <w:tab w:val="left" w:pos="4783"/>
        </w:tabs>
        <w:spacing w:line="276" w:lineRule="auto"/>
        <w:ind w:right="48"/>
        <w:rPr>
          <w:bCs/>
          <w:sz w:val="24"/>
          <w:szCs w:val="24"/>
          <w:lang w:val="en-US"/>
        </w:rPr>
      </w:pPr>
      <w:r w:rsidRPr="004A7A2A">
        <w:rPr>
          <w:bCs/>
          <w:sz w:val="24"/>
          <w:szCs w:val="24"/>
          <w:lang w:val="en-US"/>
        </w:rPr>
        <w:t>Përjashton disa transferta me kartë/telefon/pajisje elektronike kur përdoren vetëm për pagesë mallrash/shërbimesh dhe identifikuesi shoqëron transfertën; por e ri-fut zbatimin kur këto mjete përdoren për P2P konsumator-konsumator jashtë qëllimit tregtar.</w:t>
      </w:r>
    </w:p>
    <w:p w14:paraId="71BC6954" w14:textId="5F9E24BD"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Përjashton “ofrues teknikë” (konvertim dokumentesh, sisteme mesazhesh/klering/shlyerje) kur s’bëjnë veprimtari tjetër.</w:t>
      </w:r>
    </w:p>
    <w:p w14:paraId="7CD23785" w14:textId="50F45255"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Përcakton përjashtime specifike për transferta fondesh (p.sh. tërheqje cash, pagesa taksash/gjobash, PSP-PSP për llogari të vet, imazhe çeqesh) dhe për transferta kripto (CASP-CASP për llogari të vet; P2P pa CASP).</w:t>
      </w:r>
    </w:p>
    <w:p w14:paraId="17E7F010" w14:textId="48076164"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Saktëson se tokenët e parasë elektronike trajtohen si kripto-asete për këtë pjesë.</w:t>
      </w:r>
    </w:p>
    <w:p w14:paraId="3DAC9808" w14:textId="44AAEAF2"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Lejon KM, mbi bazë vlerësimi risku, të përjashtojë transferta të brendshme drejt llogarive që pranojnë pagesa vetëm për mallra/shërbime, me kushte të gjurmueshmërisë dhe prag ≤ 1 000 EUR / 100 000 lek.</w:t>
      </w:r>
    </w:p>
    <w:p w14:paraId="43FE199F" w14:textId="5E30235A"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3 – Përkufizime</w:t>
      </w:r>
    </w:p>
    <w:p w14:paraId="0B7FFB18" w14:textId="6C042D8A" w:rsidR="004A7A2A" w:rsidRPr="004A7A2A" w:rsidRDefault="004A7A2A" w:rsidP="00E83544">
      <w:pPr>
        <w:pStyle w:val="BodyText"/>
        <w:tabs>
          <w:tab w:val="left" w:pos="4783"/>
        </w:tabs>
        <w:spacing w:line="276" w:lineRule="auto"/>
        <w:ind w:right="48"/>
        <w:rPr>
          <w:bCs/>
          <w:sz w:val="24"/>
          <w:szCs w:val="24"/>
          <w:lang w:val="en-US"/>
        </w:rPr>
      </w:pPr>
      <w:r w:rsidRPr="004A7A2A">
        <w:rPr>
          <w:bCs/>
          <w:sz w:val="24"/>
          <w:szCs w:val="24"/>
          <w:lang w:val="en-US"/>
        </w:rPr>
        <w:t>Jep “fjalorin” e domosdoshëm operacional: PP/FT (me referencë te Kodi Penal), pagues/përfitues, PSP dhe PSP ndërmjetës, llogari pagese, “fonde/pasuri”, “transferim fondesh” (me forma tipike), “transfertë kriptoasete” dhe termat teknike (batch, identifikues unik, P2P kripto, kripto-aset, CASP, CASP ndërmjetës, kripto-ATM, adresë DLT, llogari kripto, adresë vetë-hostuar, LEI, DLT). Ky nen bën të mundur zbatimin uniform dhe shmang boshllëqet interpretative.</w:t>
      </w:r>
    </w:p>
    <w:p w14:paraId="47D083F6" w14:textId="77777777"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lastRenderedPageBreak/>
        <w:t>KREU II – Detyrimet e ofruesve të shërbimeve të pagesave</w:t>
      </w:r>
    </w:p>
    <w:p w14:paraId="6DF59656" w14:textId="54EBDF50"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4 – Informacioni që shoqëron transferimet e fondeve</w:t>
      </w:r>
    </w:p>
    <w:p w14:paraId="59DC6EC4" w14:textId="77C90E5B" w:rsidR="004A7A2A" w:rsidRPr="004A7A2A" w:rsidRDefault="004A7A2A" w:rsidP="00E83544">
      <w:pPr>
        <w:pStyle w:val="BodyText"/>
        <w:tabs>
          <w:tab w:val="left" w:pos="4783"/>
        </w:tabs>
        <w:spacing w:line="276" w:lineRule="auto"/>
        <w:ind w:right="48"/>
        <w:rPr>
          <w:bCs/>
          <w:sz w:val="24"/>
          <w:szCs w:val="24"/>
          <w:lang w:val="en-US"/>
        </w:rPr>
      </w:pPr>
      <w:r w:rsidRPr="004A7A2A">
        <w:rPr>
          <w:bCs/>
          <w:sz w:val="24"/>
          <w:szCs w:val="24"/>
          <w:lang w:val="en-US"/>
        </w:rPr>
        <w:t>Vendos “setin minimal” të të dhënave që duhet të shoqërojnë çdo transfertë:</w:t>
      </w:r>
    </w:p>
    <w:p w14:paraId="1B03F78F" w14:textId="7738B104" w:rsidR="004A7A2A" w:rsidRPr="004A7A2A" w:rsidRDefault="004A7A2A" w:rsidP="00E83544">
      <w:pPr>
        <w:pStyle w:val="BodyText"/>
        <w:tabs>
          <w:tab w:val="left" w:pos="4783"/>
        </w:tabs>
        <w:spacing w:line="276" w:lineRule="auto"/>
        <w:ind w:right="48"/>
        <w:rPr>
          <w:bCs/>
          <w:sz w:val="24"/>
          <w:szCs w:val="24"/>
          <w:lang w:val="en-US"/>
        </w:rPr>
      </w:pPr>
      <w:r w:rsidRPr="004A7A2A">
        <w:rPr>
          <w:bCs/>
          <w:sz w:val="24"/>
          <w:szCs w:val="24"/>
          <w:lang w:val="en-US"/>
        </w:rPr>
        <w:t>për paguesin: emër/mbiemër, llogaria, adresa + element identifikues, dhe (kur ka fushë) LEI/identifikues i barasvlershëm.</w:t>
      </w:r>
    </w:p>
    <w:p w14:paraId="023CDAEE" w14:textId="77777777" w:rsidR="004A7A2A" w:rsidRPr="004A7A2A" w:rsidRDefault="004A7A2A" w:rsidP="00E83544">
      <w:pPr>
        <w:pStyle w:val="BodyText"/>
        <w:tabs>
          <w:tab w:val="left" w:pos="4783"/>
        </w:tabs>
        <w:spacing w:line="276" w:lineRule="auto"/>
        <w:ind w:right="48"/>
        <w:rPr>
          <w:bCs/>
          <w:sz w:val="24"/>
          <w:szCs w:val="24"/>
          <w:lang w:val="en-US"/>
        </w:rPr>
      </w:pPr>
      <w:r w:rsidRPr="004A7A2A">
        <w:rPr>
          <w:bCs/>
          <w:sz w:val="24"/>
          <w:szCs w:val="24"/>
          <w:lang w:val="en-US"/>
        </w:rPr>
        <w:t>për përfituesin: emër ose emërtim, llogari, dhe (kur ka fushë) LEI/identifikues i barasvlershëm.</w:t>
      </w:r>
    </w:p>
    <w:p w14:paraId="73A795DA" w14:textId="77777777" w:rsidR="004A7A2A" w:rsidRPr="004A7A2A" w:rsidRDefault="004A7A2A" w:rsidP="00E83544">
      <w:pPr>
        <w:pStyle w:val="BodyText"/>
        <w:tabs>
          <w:tab w:val="left" w:pos="4783"/>
        </w:tabs>
        <w:spacing w:line="276" w:lineRule="auto"/>
        <w:ind w:right="48"/>
        <w:rPr>
          <w:bCs/>
          <w:sz w:val="24"/>
          <w:szCs w:val="24"/>
          <w:lang w:val="en-US"/>
        </w:rPr>
      </w:pPr>
      <w:r w:rsidRPr="004A7A2A">
        <w:rPr>
          <w:bCs/>
          <w:sz w:val="24"/>
          <w:szCs w:val="24"/>
          <w:lang w:val="en-US"/>
        </w:rPr>
        <w:t>Nëse nuk ka llogari (transfer pa llogari), përdoret identifikues unik transaksioni.</w:t>
      </w:r>
    </w:p>
    <w:p w14:paraId="757384AC" w14:textId="363F92F7" w:rsidR="004A7A2A" w:rsidRPr="004A7A2A" w:rsidRDefault="004A7A2A" w:rsidP="00E83544">
      <w:pPr>
        <w:pStyle w:val="BodyText"/>
        <w:tabs>
          <w:tab w:val="left" w:pos="4783"/>
        </w:tabs>
        <w:spacing w:line="276" w:lineRule="auto"/>
        <w:ind w:right="48"/>
        <w:rPr>
          <w:bCs/>
          <w:sz w:val="24"/>
          <w:szCs w:val="24"/>
          <w:lang w:val="en-US"/>
        </w:rPr>
      </w:pPr>
      <w:r w:rsidRPr="004A7A2A">
        <w:rPr>
          <w:bCs/>
          <w:sz w:val="24"/>
          <w:szCs w:val="24"/>
          <w:lang w:val="en-US"/>
        </w:rPr>
        <w:t>Kërkon verifikim të saktësisë së të dhënave para ekzekutimit, sipas rregullave AML/CFT, dhe ndalon ekzekutimin pa përputhshmëri (me përjashtimet e neneve 5–6).</w:t>
      </w:r>
    </w:p>
    <w:p w14:paraId="3720B42B" w14:textId="77E2D973"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5 – Transferimet e fondeve në nivel vendi</w:t>
      </w:r>
    </w:p>
    <w:p w14:paraId="7CAC93E2" w14:textId="777777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Lehtëson kërkesat për transfertat “brenda” kur të gjithë PSP-të në zinxhir veprojnë në Shqipëri: mjafton llogaria e paguesit dhe përfituesit (ose identifikuesi unik).</w:t>
      </w:r>
    </w:p>
    <w:p w14:paraId="68C636E8" w14:textId="54BD055D"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Por ruan mekanizmin e “gjurmueshmërisë mbi kërkesë”: brenda 3 ditëve pune PSP i paguesit duhet të vërë në dispozicion të dhëna shtesë kur kërkohen, me pragje:</w:t>
      </w:r>
    </w:p>
    <w:p w14:paraId="72FF4406" w14:textId="678AA8F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mbi 1 000 EUR/100 000 lek: informacion sipas nenit 4;</w:t>
      </w:r>
    </w:p>
    <w:p w14:paraId="45E18015" w14:textId="777777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 prag: të paktën emrat dhe llogaritë/identifikuesi.</w:t>
      </w:r>
    </w:p>
    <w:p w14:paraId="2983EE33" w14:textId="286142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Verifikimi për transfertat e vogla nuk kërkohet, përveç rasteve cash/para elektronike anonime ose dyshime AML/CFT.</w:t>
      </w:r>
    </w:p>
    <w:p w14:paraId="095F3BEF" w14:textId="4D80ED83"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6 – Transferimet e fondeve me jashtë</w:t>
      </w:r>
    </w:p>
    <w:p w14:paraId="258AF15B" w14:textId="777777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Rregullon transfertat “ndërkufitare” dhe veçanërisht transfertat në grup: lejon që jo çdo transfertë individuale të mbajë gjithë setin e të dhënave, për sa kohë batch-i e përmban setin e plotë dhe çdo transfertë individuale ruan të paktën llogarinë/identifikuesin unik.</w:t>
      </w:r>
    </w:p>
    <w:p w14:paraId="39D9AC2D" w14:textId="3FF5EF5D"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Për transfertat e vogla (≤ 1 000 EUR/100 000 lek) nga PSP jashtë Shqipërisë, kërkon të paktën emrat + llogaritë/identifikuesin, dhe heq verifikimin përveç rasteve me cash/anonimitet ose dyshime.</w:t>
      </w:r>
    </w:p>
    <w:p w14:paraId="6EAEFED4" w14:textId="77777777"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Seksioni 2 – PSP i përfituesit</w:t>
      </w:r>
    </w:p>
    <w:p w14:paraId="3A9EF3CC" w14:textId="66249600"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7 – Identifikimi i mungesës së informacionit</w:t>
      </w:r>
    </w:p>
    <w:p w14:paraId="7EFBB69E" w14:textId="777777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Detyron PSP e përfituesit të ketë procedura për të zbuluar mungesa ose formate jo të pranueshme të të dhënave (në mesazhe/sistem shlyerjeje).</w:t>
      </w:r>
    </w:p>
    <w:p w14:paraId="3A58B963" w14:textId="79FAFCF1"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Vendos edhe verifikimin e përfituesit për transfertat mbi 1 000 EUR/100 000 lek para kreditimit; ndërsa për transfertat e vogla e kufizon verifikimin vetëm te rastet cash/anonime ose dyshime.</w:t>
      </w:r>
    </w:p>
    <w:p w14:paraId="63C0CF0E" w14:textId="249B6EEB"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8 – Trajtimi i transfertave me informacion të munguar/paplotë</w:t>
      </w:r>
    </w:p>
    <w:p w14:paraId="76D432A9" w14:textId="777777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Kërkon vendimmarrje të bazuar në risk: PSP e përfituesit ose e refuzon transfertën, ose kërkon të dhënat para kreditimit/vënies në dispozicion.</w:t>
      </w:r>
    </w:p>
    <w:p w14:paraId="69FB9E5E" w14:textId="070EF3D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Kur një PSP tjetër “dështion” në mënyrë të përsëritur, PSP e përfituesit duhet të marrë masa graduale (paralajmërime/afate) ose të refuzojë drejtpërdrejt, dhe të raportojë rastet te autoriteti mbikëqyrës AML/CFT.</w:t>
      </w:r>
    </w:p>
    <w:p w14:paraId="51B8A4EA" w14:textId="2CC6A602"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9 – Vlerësimi dhe raportimi</w:t>
      </w:r>
    </w:p>
    <w:p w14:paraId="7146C684" w14:textId="63AD3F9E"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E bën mungesën/paplotësinë e informacionit faktor risku për dyshim AML/CFT dhe detyron raportim pa vonesë kur krijohen dyshime.</w:t>
      </w:r>
    </w:p>
    <w:p w14:paraId="433AABAA" w14:textId="77777777"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Seksioni 3 – PSP ndërmjetës</w:t>
      </w:r>
    </w:p>
    <w:p w14:paraId="58C21175" w14:textId="5BDB6953"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10 – Mbajtja/transmetimi i informacionit në zinxhir</w:t>
      </w:r>
    </w:p>
    <w:p w14:paraId="1EE3A5E6" w14:textId="3F3B668A"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 xml:space="preserve">Kërkon që informacioni i marrë për pagues/përfitues të përcillet dhe të ruhet i plotë dhe i </w:t>
      </w:r>
      <w:r w:rsidRPr="004A7A2A">
        <w:rPr>
          <w:bCs/>
          <w:sz w:val="24"/>
          <w:szCs w:val="24"/>
          <w:lang w:val="en-US"/>
        </w:rPr>
        <w:lastRenderedPageBreak/>
        <w:t>pandryshuar përgjatë gjithë zinxhirit të pagesës (integritet i të dhënave).</w:t>
      </w:r>
    </w:p>
    <w:p w14:paraId="6C647F6F" w14:textId="0B6483C0"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11 – Identifikimi i mungesës së informacionit</w:t>
      </w:r>
    </w:p>
    <w:p w14:paraId="63D314E1" w14:textId="06672D24"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Detyron PSP ndërmjetës të ketë kontrolle për fushat e detyrueshme dhe të zbulojë mungesat sipas skenarëve: transferta të brendshme, me jashtë, dhe batch.</w:t>
      </w:r>
    </w:p>
    <w:p w14:paraId="0C6D82C1" w14:textId="2A1F1420"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12 – Trajtimi i transfertave me mungesa</w:t>
      </w:r>
    </w:p>
    <w:p w14:paraId="3E5E7836" w14:textId="58EC9043"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E njëjta logjikë risk-based: refuzim ose kërkesë për informacion para/pas ekzekutimit; masa ndaj shkelësve të përsëritur; raportim te autoriteti kompetent.</w:t>
      </w:r>
    </w:p>
    <w:p w14:paraId="4B610964" w14:textId="0553CC05"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13 – Vlerësimi dhe raportimi</w:t>
      </w:r>
    </w:p>
    <w:p w14:paraId="64B22D5F" w14:textId="777777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E kthen mungesën e informacionit në indikator risku dhe vendos detyrimin e raportimit AML/CFT kur lind dyshimi.</w:t>
      </w:r>
    </w:p>
    <w:p w14:paraId="228392DE" w14:textId="77777777" w:rsidR="004A7A2A" w:rsidRPr="004A7A2A" w:rsidRDefault="004A7A2A" w:rsidP="00E83544">
      <w:pPr>
        <w:pStyle w:val="BodyText"/>
        <w:tabs>
          <w:tab w:val="left" w:pos="4783"/>
        </w:tabs>
        <w:spacing w:line="276" w:lineRule="auto"/>
        <w:ind w:right="48"/>
        <w:jc w:val="left"/>
        <w:rPr>
          <w:bCs/>
          <w:sz w:val="24"/>
          <w:szCs w:val="24"/>
          <w:lang w:val="en-US"/>
        </w:rPr>
      </w:pPr>
    </w:p>
    <w:p w14:paraId="2CA62411" w14:textId="77777777"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KREU III – Detyrimet e ofruesve të shërbimeve të kriptoaseteve (CASP)</w:t>
      </w:r>
    </w:p>
    <w:p w14:paraId="4C373878" w14:textId="7AC69EB9"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14 – Informacioni që shoqëron transfertat e kriptoaseteve</w:t>
      </w:r>
    </w:p>
    <w:p w14:paraId="7D7E323A" w14:textId="777777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Vendos “travel rule” për kripto: informacion për paguesin dhe përfituesin (emra, adresa DLT/llogari kripto, adresë + elemente identifikimi, NUIS kur ka fushë).</w:t>
      </w:r>
    </w:p>
    <w:p w14:paraId="6D59C4B7" w14:textId="777777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Parashikon transmetim të sigurt para ose gjatë transfertës, dhe saktëson se informacioni nuk ka pse të futet domosdoshmërisht në vetë transaksionin DLT, për sa kohë është i disponueshëm për autoritetet.</w:t>
      </w:r>
    </w:p>
    <w:p w14:paraId="27DCA52E" w14:textId="777777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Krijon regjim të veçantë për adresat vetë-hostuara: marrje/ruajtje të dhënash dhe, mbi 1 000 EUR/100 000 lek, masa për të vlerësuar nëse adresa kontrollohet nga paguesi.</w:t>
      </w:r>
    </w:p>
    <w:p w14:paraId="56B9A38F" w14:textId="777777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Vendos verifikim të saktësisë para transfertës dhe ndalim inicimi pa pajtueshmëri.</w:t>
      </w:r>
    </w:p>
    <w:p w14:paraId="2AC49A97" w14:textId="77777777" w:rsidR="004A7A2A" w:rsidRPr="004A7A2A" w:rsidRDefault="004A7A2A" w:rsidP="00E83544">
      <w:pPr>
        <w:pStyle w:val="BodyText"/>
        <w:tabs>
          <w:tab w:val="left" w:pos="4783"/>
        </w:tabs>
        <w:spacing w:line="276" w:lineRule="auto"/>
        <w:ind w:right="48"/>
        <w:jc w:val="left"/>
        <w:rPr>
          <w:bCs/>
          <w:sz w:val="24"/>
          <w:szCs w:val="24"/>
          <w:lang w:val="en-US"/>
        </w:rPr>
      </w:pPr>
    </w:p>
    <w:p w14:paraId="5678B0E9" w14:textId="30C4274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Neni 15 – Transfertat në grup të kriptoaseteve</w:t>
      </w:r>
    </w:p>
    <w:p w14:paraId="631B3582" w14:textId="15A6D2E0"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rPr>
        <w:t>Lejon batch-in: jo çdo transfertë individuale të mbajë gjithë setin, për sa kohë transferta në grup e ka setin e plotë dhe çdo transfertë individuale ka identifikuesin/elementet minimale të gjurmueshmërisë (adresë/llogari/ID).</w:t>
      </w:r>
    </w:p>
    <w:p w14:paraId="25E0A474" w14:textId="77777777"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Seksioni 2 – CASP i përfituesit</w:t>
      </w:r>
    </w:p>
    <w:p w14:paraId="6273583A" w14:textId="7023A33C"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16 – Identifikimi i mungesës së informacionit dhe verifikimi</w:t>
      </w:r>
    </w:p>
    <w:p w14:paraId="7E0C98DC" w14:textId="777777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Kërkon procedura për të zbuluar nëse të dhënat e nenit 14 janë dhënë.</w:t>
      </w:r>
    </w:p>
    <w:p w14:paraId="4451306D" w14:textId="777777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Për transferime nga/te adresa vetë-hostuara, kërkon marrje e ruajtje e të dhënave dhe, mbi prag, vlerësim i zotërimit/kontrollit të adresës nga përfituesi.</w:t>
      </w:r>
    </w:p>
    <w:p w14:paraId="2B177D6F" w14:textId="31C83F78"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Përpara vënies në dispozicion të kripto-aseteve, kërkon verifikim të përfituesit, me të njëjtat logjika “verifikim i kryer” si në AML/CFT.</w:t>
      </w:r>
    </w:p>
    <w:p w14:paraId="42CEE63E" w14:textId="4827DA1F"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17 – Trajtimi i transfertave me informacion të munguar/paplotë</w:t>
      </w:r>
    </w:p>
    <w:p w14:paraId="1663B969" w14:textId="777777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Vendos opsionet: ekzekutim/refuzim/kthim/pezullim, me logjikë risk-based.</w:t>
      </w:r>
    </w:p>
    <w:p w14:paraId="0ACC9F4E" w14:textId="777777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Në mungesë të informacionit, CASP i përfituesit ose refuzon/kthejnë asetet, ose kërkon informacion para disponimit.</w:t>
      </w:r>
    </w:p>
    <w:p w14:paraId="3E24D27A" w14:textId="6A37B3A3"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Kur shkelja është e përsëritur, parashikon masa graduale ose refuzim/ndërprerje marrëdhënieje, plus raportim te autoriteti mbikëqyrës.</w:t>
      </w:r>
    </w:p>
    <w:p w14:paraId="3C66F24F" w14:textId="75F35445"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18 – Vlerësimi dhe raportimi</w:t>
      </w:r>
    </w:p>
    <w:p w14:paraId="546A91D8" w14:textId="777777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E bën mungesën/paplotësinë faktor risku dhe detyron raportim AML/CFT kur lind dyshimi.</w:t>
      </w:r>
    </w:p>
    <w:p w14:paraId="176A00CF" w14:textId="77777777" w:rsidR="004A7A2A" w:rsidRPr="004A7A2A" w:rsidRDefault="004A7A2A" w:rsidP="00E83544">
      <w:pPr>
        <w:pStyle w:val="BodyText"/>
        <w:tabs>
          <w:tab w:val="left" w:pos="4783"/>
        </w:tabs>
        <w:spacing w:line="276" w:lineRule="auto"/>
        <w:ind w:right="48"/>
        <w:jc w:val="left"/>
        <w:rPr>
          <w:bCs/>
          <w:sz w:val="24"/>
          <w:szCs w:val="24"/>
          <w:lang w:val="en-US"/>
        </w:rPr>
      </w:pPr>
    </w:p>
    <w:p w14:paraId="58ADC9E8" w14:textId="77777777"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Seksioni 3 – CASP ndërmjetës</w:t>
      </w:r>
    </w:p>
    <w:p w14:paraId="74E8688E" w14:textId="12F4D607"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19 – Mbajtja e informacioneve në zinxhir</w:t>
      </w:r>
    </w:p>
    <w:p w14:paraId="04172DF5" w14:textId="02C123CC"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lastRenderedPageBreak/>
        <w:t>Kërkon që të dhënat të përcillen bashkë me transfertën, të ruhen dhe të vihen në dispozicion të autoriteteve kur kërkohen.</w:t>
      </w:r>
    </w:p>
    <w:p w14:paraId="39E91872" w14:textId="55C380DD"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20 – Identifikimi i mungesës së informacionit</w:t>
      </w:r>
    </w:p>
    <w:p w14:paraId="5EFB0576" w14:textId="11303DD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Detyron monitorim/procedura për të zbuluar mungesat e elementeve kyçe (a, b, c të nenit 14) edhe në rastet me adresa vetë-hostuara.</w:t>
      </w:r>
    </w:p>
    <w:p w14:paraId="2233B884" w14:textId="48339293"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21 – Trajtimi i transfertave me mungesa</w:t>
      </w:r>
    </w:p>
    <w:p w14:paraId="1E879C1F" w14:textId="086E794D" w:rsidR="004A7A2A" w:rsidRPr="00E83544"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Risk-based: refuzim/kthim ose kërkesë për informacion para finalizimit; masa ndaj shkelësve të përsëritur; raportim te autoriteti kompetent.</w:t>
      </w:r>
    </w:p>
    <w:p w14:paraId="7E6DB55B" w14:textId="7D8AE7A4"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22 – Vlerësimi dhe raportimi</w:t>
      </w:r>
    </w:p>
    <w:p w14:paraId="32F42FF5" w14:textId="0AD9BD71"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E njëjta logjikë: mungesa e informacionit si indikator risku dhe raportim AML/CFT kur ka dyshime.</w:t>
      </w:r>
    </w:p>
    <w:p w14:paraId="4B8B50B2" w14:textId="77777777" w:rsidR="00AF7503" w:rsidRDefault="00AF7503" w:rsidP="00E83544">
      <w:pPr>
        <w:pStyle w:val="BodyText"/>
        <w:tabs>
          <w:tab w:val="left" w:pos="4783"/>
        </w:tabs>
        <w:spacing w:line="276" w:lineRule="auto"/>
        <w:ind w:right="48"/>
        <w:jc w:val="left"/>
        <w:rPr>
          <w:b/>
          <w:bCs/>
          <w:sz w:val="24"/>
          <w:szCs w:val="24"/>
          <w:lang w:val="en-US"/>
        </w:rPr>
      </w:pPr>
    </w:p>
    <w:p w14:paraId="5CE0917C" w14:textId="4DD6FBEB"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KREU IV – Masa të përbashkëta</w:t>
      </w:r>
    </w:p>
    <w:p w14:paraId="07F05242" w14:textId="54E58167"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23 – Politika/procedura/kontrolle për masat kufizuese</w:t>
      </w:r>
    </w:p>
    <w:p w14:paraId="24B7DCA4" w14:textId="64D99944" w:rsidR="004A7A2A" w:rsidRPr="004A7A2A" w:rsidRDefault="004A7A2A" w:rsidP="00E83544">
      <w:pPr>
        <w:pStyle w:val="BodyText"/>
        <w:tabs>
          <w:tab w:val="left" w:pos="4783"/>
        </w:tabs>
        <w:spacing w:line="276" w:lineRule="auto"/>
        <w:ind w:right="48"/>
        <w:rPr>
          <w:bCs/>
          <w:sz w:val="24"/>
          <w:szCs w:val="24"/>
          <w:lang w:val="en-US"/>
        </w:rPr>
      </w:pPr>
      <w:r w:rsidRPr="004A7A2A">
        <w:rPr>
          <w:bCs/>
          <w:sz w:val="24"/>
          <w:szCs w:val="24"/>
          <w:lang w:val="en-US"/>
        </w:rPr>
        <w:t>Detyron PSP dhe CASP të kenë arkitekturë të brendshme pajtueshmërie për sanksionet/masat kufizuese gjatë transfertave. Autoriteti mbikëqyrës nxjerr kërkesa minimale (akte nënligjore/udhëzime).</w:t>
      </w:r>
    </w:p>
    <w:p w14:paraId="3C983BE5" w14:textId="77777777"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KREU V – Informacionet, mbrojtja dhe ruajtja e të dhënave</w:t>
      </w:r>
    </w:p>
    <w:p w14:paraId="78ECC7F6" w14:textId="03A22BF5"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24 – Dhënia e informacioneve</w:t>
      </w:r>
    </w:p>
    <w:p w14:paraId="1C03E4D2" w14:textId="5E455591" w:rsidR="004A7A2A" w:rsidRPr="00CD6840"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Vendos detyrim përgjigjeje të plotë dhe pa vonesë ndaj kërkesave të autoriteteve kompetente; lejon përdorimin e pikës qendrore të kontaktit kur ekziston; kërkon respektim të procedurave ligjore.</w:t>
      </w:r>
    </w:p>
    <w:p w14:paraId="068ECAA0" w14:textId="7F7CF9D1"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25 – Mbrojtja e të dhënave</w:t>
      </w:r>
    </w:p>
    <w:p w14:paraId="2EC84B1D" w14:textId="4686EF8C"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Vendos kornizë “privacy + AML”: përpunimi sipas ligjit për të dhënat personale; parime proporcionaliteti, minimizimi, integriteti/konfidencialiteti; ndalim i përdorimit tregtar; transparencë ndaj klientëve të rinj; sigurim që përcjellja e të dhënave në transfertë të jetë në përputhje me ligjin.</w:t>
      </w:r>
    </w:p>
    <w:p w14:paraId="09AB0C9E" w14:textId="7888C062"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26 – Ruajtja e informacioneve</w:t>
      </w:r>
    </w:p>
    <w:p w14:paraId="020FB3A9" w14:textId="777777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Vendos afatin standard: 5 vite ruajtje për informacionet kryesore (PSP: nenet 4–7; CASP: nenet 14–16).</w:t>
      </w:r>
    </w:p>
    <w:p w14:paraId="2F6C1EF5" w14:textId="777777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Pas afatit: fshirje ose anonimizim.</w:t>
      </w:r>
    </w:p>
    <w:p w14:paraId="61EC5833" w14:textId="777777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Lejon zgjatje vetëm kur parashikohet shprehimisht dhe është e domosdoshme/proporcionale, me kufi shtesë deri 5 vite.</w:t>
      </w:r>
    </w:p>
    <w:p w14:paraId="04569F7D" w14:textId="7F5E1350"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Në hetime/procese gjyqësore: lejon ruajtje deri në mbyllje të procedurave, me kufijtë e përcaktuar.</w:t>
      </w:r>
    </w:p>
    <w:p w14:paraId="1ABE5560" w14:textId="31495A60"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27 – Bashkëpunimi ndërmjet autoriteteve</w:t>
      </w:r>
    </w:p>
    <w:p w14:paraId="692D6071" w14:textId="40C5CD34"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Kornizon shkëmbimin e informacionit brenda dhe jashtë vendit: vetëm në përputhje me AML/CFT, mbrojtjen e të dhënave dhe marrëveshjet ndërkombëtare të ratifikuara.</w:t>
      </w:r>
    </w:p>
    <w:p w14:paraId="0CD9BEFF" w14:textId="77777777"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KREU VI – Sanksionet dhe monitorimi</w:t>
      </w:r>
    </w:p>
    <w:p w14:paraId="27AA81A3" w14:textId="7E12FEC1"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28 – Sanksionet dhe masat administrative</w:t>
      </w:r>
    </w:p>
    <w:p w14:paraId="533C13DE" w14:textId="77777777"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Sanksionet vendosen nga autoritetet mbikëqyrëse kur shkeljet nuk janë penale, sipas legjislacionit AML/CFT; mund të aplikohen edhe ndaj drejtuesve/individëve përgjegjës.</w:t>
      </w:r>
    </w:p>
    <w:p w14:paraId="37B3D97C" w14:textId="30EAF500"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Parashikon koordinim mes autoriteteve, përgjegjësi të personave juridikë dhe mënyra ushtrimi kompetencash (drejtpërdrejt, bashkëpunim, delegim, ose përmes gjykatës).</w:t>
      </w:r>
    </w:p>
    <w:p w14:paraId="07F9A86E" w14:textId="661CE891"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lastRenderedPageBreak/>
        <w:t>Neni 29 – Dispozita specifike</w:t>
      </w:r>
    </w:p>
    <w:p w14:paraId="33C1CC40" w14:textId="39C42A86"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Liston shkeljet tipike që kërkojnë masa efektive/proporcionale/parandaluese:</w:t>
      </w:r>
    </w:p>
    <w:p w14:paraId="31C55CE6" w14:textId="35A02CA0"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mos-zbatim i përsëritur/sistematik i detyrimit të “shoqërimit me informacion” (PSP/CASP);</w:t>
      </w:r>
    </w:p>
    <w:p w14:paraId="6D844540" w14:textId="5CDCB6B6"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mos-ruajtje e të dhënave;</w:t>
      </w:r>
    </w:p>
    <w:p w14:paraId="68E79A26" w14:textId="1A5A53FD"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mos-zbatim i procedurave risk-based (refuzim/pezullim/kthim);</w:t>
      </w:r>
    </w:p>
    <w:p w14:paraId="73D1404E" w14:textId="1654CBA8"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raste të rënda te ndërmjetësit (PSP/CASP).</w:t>
      </w:r>
    </w:p>
    <w:p w14:paraId="4979C7CF" w14:textId="4E15AF17"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30 – Publikimi i sanksioneve</w:t>
      </w:r>
    </w:p>
    <w:p w14:paraId="0C3C4EDB" w14:textId="24F07A63"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Vendos parimin e transparencës: publikim pa vonesë i masave/sanksioneve, me elemente mbi shkeljen dhe, kur është e nevojshme e proporcionale, edhe identitetin e përgjegjësve (vlerësim rast-pas-rasti).</w:t>
      </w:r>
    </w:p>
    <w:p w14:paraId="0E84229C" w14:textId="5717D295"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31 – Zbatimi i sanksioneve</w:t>
      </w:r>
    </w:p>
    <w:p w14:paraId="240F98B2" w14:textId="3893F238"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Përcakton kriteret e përgjithshme për llojin/masën e sanksionit, rregullat e publikimit (proporcionalitet, të dhëna personale, sekret profesional) dhe ekzekutimin sipas legjislacionit për kundërvajtje administrative.</w:t>
      </w:r>
    </w:p>
    <w:p w14:paraId="0D0DA3A2" w14:textId="47F674F8"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32 – Raportimi i shkeljeve</w:t>
      </w:r>
    </w:p>
    <w:p w14:paraId="614045BD" w14:textId="6DDBBF26" w:rsidR="004A7A2A" w:rsidRPr="0075341D"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Kërkon mekanizma “whistleblowing”: autoritetet krijojnë kanale për raportime me konfidencialitet dhe mbrojtje nga hakmarrja; subjektet miratojnë procedura të brendshme, kanale të sigurta e të pavarura, edhe raportim anonim kur është e përshtatshme, në përputhje me ligjin për sinjalizuesit dhe të dhënat personale.</w:t>
      </w:r>
    </w:p>
    <w:p w14:paraId="6342B849" w14:textId="54F23BF0"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33 – Monitorimi</w:t>
      </w:r>
    </w:p>
    <w:p w14:paraId="7628DBBE" w14:textId="425A08F2"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Vendos monitorim të vazhdueshëm nga autoritetet mbikëqyrëse dhe masa korrigjuese; nxit raportimin e shkeljeve; kërkon raport periodik mbi zbatimin të paktën çdo 3 vjet, me analizë të rasteve ndërkufitare kur aplikohet.</w:t>
      </w:r>
    </w:p>
    <w:p w14:paraId="188305AE" w14:textId="77777777"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KREU VII – Kompetencat zbatuese</w:t>
      </w:r>
    </w:p>
    <w:p w14:paraId="71B7A400" w14:textId="6BF24AF7"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34 – Procedura e Komitetit</w:t>
      </w:r>
    </w:p>
    <w:p w14:paraId="11CD11C9" w14:textId="1315F785" w:rsidR="004A7A2A" w:rsidRPr="0075341D"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Autoritetet mbikëqyrëse nxjerrin aktet nënligjore për zbatim; kur duhet koordinim, çështjet trajtohen në mekanizmat kombëtarë të koordinimit AML/CFT; aktet miratohen sipas procedurave administrative.</w:t>
      </w:r>
    </w:p>
    <w:p w14:paraId="635B1D74" w14:textId="4932CB55"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35 – Marrëveshjet me vende/territore të huaja</w:t>
      </w:r>
    </w:p>
    <w:p w14:paraId="5EE7F711" w14:textId="4CC5675B" w:rsidR="004A7A2A" w:rsidRPr="004A7A2A" w:rsidRDefault="004A7A2A" w:rsidP="00E83544">
      <w:pPr>
        <w:pStyle w:val="BodyText"/>
        <w:tabs>
          <w:tab w:val="left" w:pos="4783"/>
        </w:tabs>
        <w:spacing w:line="276" w:lineRule="auto"/>
        <w:ind w:right="48"/>
        <w:jc w:val="left"/>
        <w:rPr>
          <w:bCs/>
          <w:sz w:val="24"/>
          <w:szCs w:val="24"/>
          <w:lang w:val="en-US"/>
        </w:rPr>
      </w:pPr>
      <w:r w:rsidRPr="004A7A2A">
        <w:rPr>
          <w:bCs/>
          <w:sz w:val="24"/>
          <w:szCs w:val="24"/>
          <w:lang w:val="en-US"/>
        </w:rPr>
        <w:t>Lejon marrëveshje që trajtojnë transferta me një vend/territor si “të brendshme”, por vetëm nëse plotësohen kushte të forta (bashkim/zonë monetare ose marrëveshje monetare; pjesëmarrje në sistemet e pagesave; rregulla barasvlershme AML). Përjashtimet s’mund të ulin standardet AML/CFT.</w:t>
      </w:r>
    </w:p>
    <w:p w14:paraId="03FE41D6" w14:textId="77777777"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KREU IX – Dispozita të tjera</w:t>
      </w:r>
    </w:p>
    <w:p w14:paraId="7931991F" w14:textId="3CAF6168" w:rsidR="004A7A2A" w:rsidRPr="004A7A2A" w:rsidRDefault="004A7A2A" w:rsidP="00E83544">
      <w:pPr>
        <w:pStyle w:val="BodyText"/>
        <w:tabs>
          <w:tab w:val="left" w:pos="4783"/>
        </w:tabs>
        <w:spacing w:line="276" w:lineRule="auto"/>
        <w:ind w:right="48"/>
        <w:jc w:val="left"/>
        <w:rPr>
          <w:b/>
          <w:bCs/>
          <w:sz w:val="24"/>
          <w:szCs w:val="24"/>
          <w:lang w:val="en-US"/>
        </w:rPr>
      </w:pPr>
      <w:r w:rsidRPr="004A7A2A">
        <w:rPr>
          <w:b/>
          <w:bCs/>
          <w:sz w:val="24"/>
          <w:szCs w:val="24"/>
          <w:lang w:val="en-US"/>
        </w:rPr>
        <w:t>Neni 36 – Udhëzimet dhe aktet zbatuese</w:t>
      </w:r>
    </w:p>
    <w:p w14:paraId="1973D501" w14:textId="7ECC397D" w:rsidR="00C452DC" w:rsidRPr="004A7A2A" w:rsidRDefault="004A7A2A" w:rsidP="00E83544">
      <w:pPr>
        <w:pStyle w:val="BodyText"/>
        <w:tabs>
          <w:tab w:val="left" w:pos="4783"/>
        </w:tabs>
        <w:spacing w:line="276" w:lineRule="auto"/>
        <w:ind w:right="48"/>
        <w:rPr>
          <w:bCs/>
          <w:sz w:val="24"/>
          <w:szCs w:val="24"/>
          <w:lang w:val="en-US"/>
        </w:rPr>
      </w:pPr>
      <w:r w:rsidRPr="004A7A2A">
        <w:rPr>
          <w:bCs/>
          <w:sz w:val="24"/>
          <w:szCs w:val="24"/>
          <w:lang w:val="en-US"/>
        </w:rPr>
        <w:t>Detajon fushat ku autoritetet nxjerrin udhëzime/akte: zbatimi i neneve kyçe për PSP (7,8,11,12), për CASP (14–17, 19–22), aspektet teknike (debitime direkte, PISP), dhe mbikëqyrja risk-based e CASP. Parashikon konsultim periodik për zgjidhje teknike ndërvepruese dhe publikim sipas ligjit.</w:t>
      </w:r>
    </w:p>
    <w:p w14:paraId="7B118F83" w14:textId="0EE8AA4B" w:rsidR="004A7A2A" w:rsidRPr="004A7A2A" w:rsidRDefault="004A7A2A" w:rsidP="00E83544">
      <w:pPr>
        <w:pStyle w:val="BodyText"/>
        <w:tabs>
          <w:tab w:val="left" w:pos="4783"/>
        </w:tabs>
        <w:spacing w:line="276" w:lineRule="auto"/>
        <w:ind w:right="48"/>
        <w:rPr>
          <w:b/>
          <w:bCs/>
          <w:sz w:val="24"/>
          <w:szCs w:val="24"/>
          <w:lang w:val="en-US"/>
        </w:rPr>
      </w:pPr>
      <w:r w:rsidRPr="004A7A2A">
        <w:rPr>
          <w:b/>
          <w:bCs/>
          <w:sz w:val="24"/>
          <w:szCs w:val="24"/>
          <w:lang w:val="en-US"/>
        </w:rPr>
        <w:t>Neni 37 – Përputhshmëria me legjislacionin AML/CFT</w:t>
      </w:r>
    </w:p>
    <w:p w14:paraId="17FCEDD7" w14:textId="5087B66E" w:rsidR="004A7A2A" w:rsidRPr="004A7A2A" w:rsidRDefault="004A7A2A" w:rsidP="00E83544">
      <w:pPr>
        <w:pStyle w:val="BodyText"/>
        <w:tabs>
          <w:tab w:val="left" w:pos="4783"/>
        </w:tabs>
        <w:spacing w:line="276" w:lineRule="auto"/>
        <w:ind w:right="48"/>
        <w:rPr>
          <w:bCs/>
          <w:sz w:val="24"/>
          <w:szCs w:val="24"/>
          <w:lang w:val="en-US"/>
        </w:rPr>
      </w:pPr>
      <w:r w:rsidRPr="004A7A2A">
        <w:rPr>
          <w:bCs/>
          <w:sz w:val="24"/>
          <w:szCs w:val="24"/>
          <w:lang w:val="en-US"/>
        </w:rPr>
        <w:t xml:space="preserve">Ky nen vendos rregullin e koherencës: zbatimi i kësaj pjese bëhet gjithmonë në harmoni me ligjin bazë për parandalimin e pastrimit të parave dhe financimit të terrorizmit, në mënyrë që kërkesat për “travel rule”, verifikim, raportim dhe ruajtje të të dhënave të mos krijojnë standarde paralele ose kontradiktore. Po ashtu, saktëson se termat kyç të kriptoaseteve (CASP, </w:t>
      </w:r>
      <w:r w:rsidRPr="004A7A2A">
        <w:rPr>
          <w:bCs/>
          <w:sz w:val="24"/>
          <w:szCs w:val="24"/>
          <w:lang w:val="en-US"/>
        </w:rPr>
        <w:lastRenderedPageBreak/>
        <w:t>adresa vetë-hostuara, marrëdhënie korrespondente) interpretohen sipas këtij ligji dhe, kur është e nevojshme, edhe sipas legjislacionit sektorial, ndërsa autoritetet mbikëqyrëse ngarkohen të nxjerrin aktet zbatuese brenda kompetencave të tyre.</w:t>
      </w:r>
    </w:p>
    <w:p w14:paraId="07FFA427" w14:textId="0ED9B1D3" w:rsidR="004A7A2A" w:rsidRPr="004A7A2A" w:rsidRDefault="004A7A2A" w:rsidP="00E83544">
      <w:pPr>
        <w:pStyle w:val="BodyText"/>
        <w:tabs>
          <w:tab w:val="left" w:pos="4783"/>
        </w:tabs>
        <w:spacing w:line="276" w:lineRule="auto"/>
        <w:ind w:right="48"/>
        <w:rPr>
          <w:b/>
          <w:bCs/>
          <w:sz w:val="24"/>
          <w:szCs w:val="24"/>
          <w:lang w:val="en-US"/>
        </w:rPr>
      </w:pPr>
      <w:r w:rsidRPr="004A7A2A">
        <w:rPr>
          <w:b/>
          <w:bCs/>
          <w:sz w:val="24"/>
          <w:szCs w:val="24"/>
          <w:lang w:val="en-US"/>
        </w:rPr>
        <w:t>Neni 38 – Dispozita kalimtare</w:t>
      </w:r>
    </w:p>
    <w:p w14:paraId="4C59BAAD" w14:textId="375CE4EF" w:rsidR="00E83544" w:rsidRPr="00975C14" w:rsidRDefault="004A7A2A" w:rsidP="00E83544">
      <w:pPr>
        <w:pStyle w:val="BodyText"/>
        <w:tabs>
          <w:tab w:val="left" w:pos="4783"/>
        </w:tabs>
        <w:spacing w:line="276" w:lineRule="auto"/>
        <w:ind w:right="48"/>
        <w:rPr>
          <w:bCs/>
          <w:sz w:val="24"/>
          <w:szCs w:val="24"/>
          <w:lang w:val="en-US"/>
        </w:rPr>
      </w:pPr>
      <w:r w:rsidRPr="004A7A2A">
        <w:rPr>
          <w:bCs/>
          <w:sz w:val="24"/>
          <w:szCs w:val="24"/>
          <w:lang w:val="en-US"/>
        </w:rPr>
        <w:t>Ky nen rregullon fazën e tranzicionit: i jep autoriteteve mbikëqyrëse afat 6 muaj nga hyrja në fuqi për të miratuar aktet nënligjore të nevojshme që ligji të jetë i zbatueshëm praktikisht. Paralelisht, përcakton një klauzolë shfuqizimi automatik: Pjesa III pushon së zbatuari në datën e anëtarësimit të Shqipërisë në Bashkimin Evropian, duke nënkuptuar zëvendësimin/absorbimin e saj nga kuadri përkatës i BE-së në atë moment.</w:t>
      </w:r>
    </w:p>
    <w:p w14:paraId="3F9714FD" w14:textId="41A0AEAB" w:rsidR="002B1840" w:rsidRPr="002B1840" w:rsidRDefault="002B1840" w:rsidP="00E83544">
      <w:pPr>
        <w:pStyle w:val="BodyText"/>
        <w:tabs>
          <w:tab w:val="left" w:pos="4783"/>
        </w:tabs>
        <w:spacing w:line="276" w:lineRule="auto"/>
        <w:ind w:right="48"/>
        <w:rPr>
          <w:b/>
          <w:bCs/>
          <w:sz w:val="24"/>
          <w:szCs w:val="24"/>
          <w:lang w:val="en-US"/>
        </w:rPr>
      </w:pPr>
      <w:r w:rsidRPr="002B1840">
        <w:rPr>
          <w:b/>
          <w:bCs/>
          <w:sz w:val="24"/>
          <w:szCs w:val="24"/>
          <w:lang w:val="en-US"/>
        </w:rPr>
        <w:t>PJESA IV</w:t>
      </w:r>
    </w:p>
    <w:p w14:paraId="4F033970" w14:textId="41A5B4C3" w:rsidR="002B1840" w:rsidRPr="002B1840" w:rsidRDefault="002B1840" w:rsidP="00E83544">
      <w:pPr>
        <w:pStyle w:val="BodyText"/>
        <w:tabs>
          <w:tab w:val="left" w:pos="4783"/>
        </w:tabs>
        <w:spacing w:line="276" w:lineRule="auto"/>
        <w:ind w:right="48"/>
        <w:rPr>
          <w:b/>
          <w:bCs/>
          <w:sz w:val="24"/>
          <w:szCs w:val="24"/>
        </w:rPr>
      </w:pPr>
      <w:r w:rsidRPr="002B1840">
        <w:rPr>
          <w:b/>
          <w:bCs/>
          <w:sz w:val="24"/>
          <w:szCs w:val="24"/>
        </w:rPr>
        <w:t xml:space="preserve">Mbi masat për zbatimin e </w:t>
      </w:r>
    </w:p>
    <w:p w14:paraId="6AAC463E" w14:textId="6596C82A" w:rsidR="002B1840" w:rsidRPr="002B1840" w:rsidRDefault="002B1840" w:rsidP="00E83544">
      <w:pPr>
        <w:pStyle w:val="BodyText"/>
        <w:tabs>
          <w:tab w:val="left" w:pos="4783"/>
        </w:tabs>
        <w:spacing w:line="276" w:lineRule="auto"/>
        <w:ind w:right="48"/>
        <w:rPr>
          <w:b/>
          <w:bCs/>
          <w:sz w:val="24"/>
          <w:szCs w:val="24"/>
        </w:rPr>
      </w:pPr>
      <w:r w:rsidRPr="002B1840">
        <w:rPr>
          <w:b/>
          <w:bCs/>
          <w:sz w:val="24"/>
          <w:szCs w:val="24"/>
        </w:rPr>
        <w:t>Rregullores të be 2018/1672 të parlamentit evropian dhe e këshillit, e datës 23 tetor 2018</w:t>
      </w:r>
      <w:r>
        <w:rPr>
          <w:b/>
          <w:bCs/>
          <w:sz w:val="24"/>
          <w:szCs w:val="24"/>
        </w:rPr>
        <w:t xml:space="preserve"> </w:t>
      </w:r>
      <w:r w:rsidRPr="002B1840">
        <w:rPr>
          <w:b/>
          <w:bCs/>
          <w:sz w:val="24"/>
          <w:szCs w:val="24"/>
        </w:rPr>
        <w:t>“Mbi kontrollin e parasë fizike që hyjnë ose dalin nga Republika e Shqipërisë</w:t>
      </w:r>
      <w:r>
        <w:rPr>
          <w:b/>
          <w:bCs/>
          <w:sz w:val="24"/>
          <w:szCs w:val="24"/>
        </w:rPr>
        <w:t>”</w:t>
      </w:r>
      <w:r w:rsidRPr="002B1840">
        <w:rPr>
          <w:b/>
          <w:bCs/>
          <w:sz w:val="24"/>
          <w:szCs w:val="24"/>
          <w:lang w:val="en-US"/>
        </w:rPr>
        <w:t xml:space="preserve"> </w:t>
      </w:r>
    </w:p>
    <w:p w14:paraId="6A0A0580" w14:textId="1B280DF6" w:rsidR="002B1840" w:rsidRPr="002B1840" w:rsidRDefault="002B1840" w:rsidP="00E83544">
      <w:pPr>
        <w:pStyle w:val="BodyText"/>
        <w:tabs>
          <w:tab w:val="left" w:pos="4783"/>
        </w:tabs>
        <w:spacing w:line="276" w:lineRule="auto"/>
        <w:ind w:right="48"/>
        <w:rPr>
          <w:b/>
          <w:bCs/>
          <w:sz w:val="24"/>
          <w:szCs w:val="24"/>
          <w:lang w:val="en-US"/>
        </w:rPr>
      </w:pPr>
      <w:r w:rsidRPr="002B1840">
        <w:rPr>
          <w:b/>
          <w:bCs/>
          <w:sz w:val="24"/>
          <w:szCs w:val="24"/>
          <w:lang w:val="en-US"/>
        </w:rPr>
        <w:t>Neni 1 – Fusha e zbatimit</w:t>
      </w:r>
    </w:p>
    <w:p w14:paraId="1E7AD6BB" w14:textId="31B1491D" w:rsidR="002B1840" w:rsidRPr="002B1840" w:rsidRDefault="002B1840" w:rsidP="00E83544">
      <w:pPr>
        <w:pStyle w:val="BodyText"/>
        <w:tabs>
          <w:tab w:val="left" w:pos="4783"/>
        </w:tabs>
        <w:spacing w:line="276" w:lineRule="auto"/>
        <w:ind w:right="48"/>
        <w:rPr>
          <w:sz w:val="24"/>
          <w:szCs w:val="24"/>
          <w:lang w:val="en-US"/>
        </w:rPr>
      </w:pPr>
      <w:r w:rsidRPr="002B1840">
        <w:rPr>
          <w:sz w:val="24"/>
          <w:szCs w:val="24"/>
          <w:lang w:val="en-US"/>
        </w:rPr>
        <w:t xml:space="preserve">Ky nen vendos parimin bazë të Pjesës IV: krijimin e një </w:t>
      </w:r>
      <w:r w:rsidRPr="002B1840">
        <w:rPr>
          <w:bCs/>
          <w:sz w:val="24"/>
          <w:szCs w:val="24"/>
          <w:lang w:val="en-US"/>
        </w:rPr>
        <w:t>sistemi kontrolli</w:t>
      </w:r>
      <w:r w:rsidRPr="002B1840">
        <w:rPr>
          <w:sz w:val="24"/>
          <w:szCs w:val="24"/>
          <w:lang w:val="en-US"/>
        </w:rPr>
        <w:t xml:space="preserve"> për “paranë cash” që </w:t>
      </w:r>
      <w:r w:rsidRPr="002B1840">
        <w:rPr>
          <w:bCs/>
          <w:sz w:val="24"/>
          <w:szCs w:val="24"/>
          <w:lang w:val="en-US"/>
        </w:rPr>
        <w:t>hyn ose del</w:t>
      </w:r>
      <w:r w:rsidRPr="002B1840">
        <w:rPr>
          <w:sz w:val="24"/>
          <w:szCs w:val="24"/>
          <w:lang w:val="en-US"/>
        </w:rPr>
        <w:t xml:space="preserve"> nga territori i Republikës së Shqipërisë. Qëllimi praktik është rritja e gjurmueshmërisë dhe parandalimi i përdorimit të parasë fizike për pastrim parash/financim terrorizmi.</w:t>
      </w:r>
    </w:p>
    <w:p w14:paraId="698C7E86" w14:textId="77777777" w:rsidR="002B1840" w:rsidRPr="0056618D" w:rsidRDefault="002B1840" w:rsidP="00E83544">
      <w:pPr>
        <w:pStyle w:val="BodyText"/>
        <w:tabs>
          <w:tab w:val="left" w:pos="4783"/>
        </w:tabs>
        <w:spacing w:line="276" w:lineRule="auto"/>
        <w:ind w:right="48"/>
        <w:rPr>
          <w:b/>
          <w:bCs/>
          <w:sz w:val="24"/>
          <w:szCs w:val="24"/>
          <w:lang w:val="en-US"/>
        </w:rPr>
      </w:pPr>
      <w:r w:rsidRPr="0056618D">
        <w:rPr>
          <w:b/>
          <w:bCs/>
          <w:sz w:val="24"/>
          <w:szCs w:val="24"/>
          <w:lang w:val="en-US"/>
        </w:rPr>
        <w:t>Neni 2 – Përkufizime</w:t>
      </w:r>
    </w:p>
    <w:p w14:paraId="4DDEDC88" w14:textId="77777777" w:rsidR="002B1840" w:rsidRPr="002B1840" w:rsidRDefault="002B1840" w:rsidP="00E83544">
      <w:pPr>
        <w:pStyle w:val="BodyText"/>
        <w:tabs>
          <w:tab w:val="left" w:pos="4783"/>
        </w:tabs>
        <w:spacing w:line="276" w:lineRule="auto"/>
        <w:ind w:right="48"/>
        <w:rPr>
          <w:sz w:val="24"/>
          <w:szCs w:val="24"/>
          <w:lang w:val="en-US"/>
        </w:rPr>
      </w:pPr>
      <w:r w:rsidRPr="002B1840">
        <w:rPr>
          <w:sz w:val="24"/>
          <w:szCs w:val="24"/>
          <w:lang w:val="en-US"/>
        </w:rPr>
        <w:t>Ky nen përcakton terminologjinë kyçe për zbatim uniform:</w:t>
      </w:r>
    </w:p>
    <w:p w14:paraId="79BF1EED" w14:textId="77777777" w:rsidR="002B1840" w:rsidRPr="002B1840" w:rsidRDefault="002B1840" w:rsidP="004D5FC8">
      <w:pPr>
        <w:pStyle w:val="BodyText"/>
        <w:numPr>
          <w:ilvl w:val="0"/>
          <w:numId w:val="16"/>
        </w:numPr>
        <w:tabs>
          <w:tab w:val="clear" w:pos="720"/>
          <w:tab w:val="num" w:pos="360"/>
          <w:tab w:val="left" w:pos="4783"/>
        </w:tabs>
        <w:spacing w:line="276" w:lineRule="auto"/>
        <w:ind w:left="0" w:right="48" w:firstLine="0"/>
        <w:rPr>
          <w:sz w:val="24"/>
          <w:szCs w:val="24"/>
          <w:lang w:val="en-US"/>
        </w:rPr>
      </w:pPr>
      <w:r w:rsidRPr="002B1840">
        <w:rPr>
          <w:bCs/>
          <w:sz w:val="24"/>
          <w:szCs w:val="24"/>
          <w:lang w:val="en-US"/>
        </w:rPr>
        <w:t>“Para cash”</w:t>
      </w:r>
      <w:r w:rsidRPr="002B1840">
        <w:rPr>
          <w:sz w:val="24"/>
          <w:szCs w:val="24"/>
          <w:lang w:val="en-US"/>
        </w:rPr>
        <w:t xml:space="preserve"> zgjerohet përtej kartëmonedhave/monedhave dhe përfshin: instrumente të negociueshme të mbajtësit, metale/gurë të çmuar e sende me vlerë/antikë, mallra ruajtës vlere me likuiditet të lartë, dhe karta me parapagesë.</w:t>
      </w:r>
    </w:p>
    <w:p w14:paraId="34125BEA" w14:textId="77777777" w:rsidR="002B1840" w:rsidRPr="002B1840" w:rsidRDefault="002B1840" w:rsidP="004D5FC8">
      <w:pPr>
        <w:pStyle w:val="BodyText"/>
        <w:numPr>
          <w:ilvl w:val="0"/>
          <w:numId w:val="16"/>
        </w:numPr>
        <w:tabs>
          <w:tab w:val="clear" w:pos="720"/>
          <w:tab w:val="num" w:pos="360"/>
          <w:tab w:val="left" w:pos="4783"/>
        </w:tabs>
        <w:spacing w:line="276" w:lineRule="auto"/>
        <w:ind w:left="0" w:right="48" w:firstLine="0"/>
        <w:rPr>
          <w:sz w:val="24"/>
          <w:szCs w:val="24"/>
          <w:lang w:val="en-US"/>
        </w:rPr>
      </w:pPr>
      <w:r w:rsidRPr="002B1840">
        <w:rPr>
          <w:sz w:val="24"/>
          <w:szCs w:val="24"/>
          <w:lang w:val="en-US"/>
        </w:rPr>
        <w:t xml:space="preserve">Saktësohen kuptimet e </w:t>
      </w:r>
      <w:r w:rsidRPr="002B1840">
        <w:rPr>
          <w:bCs/>
          <w:sz w:val="24"/>
          <w:szCs w:val="24"/>
          <w:lang w:val="en-US"/>
        </w:rPr>
        <w:t>“monedhës”</w:t>
      </w:r>
      <w:r w:rsidRPr="002B1840">
        <w:rPr>
          <w:sz w:val="24"/>
          <w:szCs w:val="24"/>
          <w:lang w:val="en-US"/>
        </w:rPr>
        <w:t xml:space="preserve">, </w:t>
      </w:r>
      <w:r w:rsidRPr="002B1840">
        <w:rPr>
          <w:bCs/>
          <w:sz w:val="24"/>
          <w:szCs w:val="24"/>
          <w:lang w:val="en-US"/>
        </w:rPr>
        <w:t>“instrumenteve të negociueshme të mbajtësit”</w:t>
      </w:r>
      <w:r w:rsidRPr="002B1840">
        <w:rPr>
          <w:sz w:val="24"/>
          <w:szCs w:val="24"/>
          <w:lang w:val="en-US"/>
        </w:rPr>
        <w:t xml:space="preserve">, </w:t>
      </w:r>
      <w:r w:rsidRPr="002B1840">
        <w:rPr>
          <w:bCs/>
          <w:sz w:val="24"/>
          <w:szCs w:val="24"/>
          <w:lang w:val="en-US"/>
        </w:rPr>
        <w:t>“parave të pashoqëruara”</w:t>
      </w:r>
      <w:r w:rsidRPr="002B1840">
        <w:rPr>
          <w:sz w:val="24"/>
          <w:szCs w:val="24"/>
          <w:lang w:val="en-US"/>
        </w:rPr>
        <w:t xml:space="preserve">, </w:t>
      </w:r>
      <w:r w:rsidRPr="002B1840">
        <w:rPr>
          <w:bCs/>
          <w:sz w:val="24"/>
          <w:szCs w:val="24"/>
          <w:lang w:val="en-US"/>
        </w:rPr>
        <w:t>“mbajtësit”</w:t>
      </w:r>
      <w:r w:rsidRPr="002B1840">
        <w:rPr>
          <w:sz w:val="24"/>
          <w:szCs w:val="24"/>
          <w:lang w:val="en-US"/>
        </w:rPr>
        <w:t>, si dhe konceptet funksionale: “hyn/del nga Shqipëria”, “autoritetet kompetente”, “veprimtari kriminale”.</w:t>
      </w:r>
    </w:p>
    <w:p w14:paraId="6C6B5131" w14:textId="660D7B6E" w:rsidR="002B1840" w:rsidRPr="0056618D" w:rsidRDefault="002B1840" w:rsidP="004D5FC8">
      <w:pPr>
        <w:pStyle w:val="BodyText"/>
        <w:numPr>
          <w:ilvl w:val="0"/>
          <w:numId w:val="16"/>
        </w:numPr>
        <w:tabs>
          <w:tab w:val="clear" w:pos="720"/>
          <w:tab w:val="num" w:pos="360"/>
          <w:tab w:val="left" w:pos="4783"/>
        </w:tabs>
        <w:spacing w:line="276" w:lineRule="auto"/>
        <w:ind w:left="0" w:right="48" w:firstLine="0"/>
        <w:rPr>
          <w:sz w:val="24"/>
          <w:szCs w:val="24"/>
          <w:lang w:val="en-US"/>
        </w:rPr>
      </w:pPr>
      <w:r w:rsidRPr="002B1840">
        <w:rPr>
          <w:sz w:val="24"/>
          <w:szCs w:val="24"/>
          <w:lang w:val="en-US"/>
        </w:rPr>
        <w:t xml:space="preserve">Për metalet/gurët e çmuar/sendet me vlerë/antikët, bëhet referim te përkufizimet në Pjesët II dhe III, për </w:t>
      </w:r>
      <w:r w:rsidRPr="002B1840">
        <w:rPr>
          <w:bCs/>
          <w:sz w:val="24"/>
          <w:szCs w:val="24"/>
          <w:lang w:val="en-US"/>
        </w:rPr>
        <w:t>koherencë legjislative</w:t>
      </w:r>
      <w:r w:rsidRPr="002B1840">
        <w:rPr>
          <w:sz w:val="24"/>
          <w:szCs w:val="24"/>
          <w:lang w:val="en-US"/>
        </w:rPr>
        <w:t>.</w:t>
      </w:r>
    </w:p>
    <w:p w14:paraId="6C16BA10" w14:textId="77777777" w:rsidR="002B1840" w:rsidRPr="0056618D" w:rsidRDefault="002B1840" w:rsidP="00E83544">
      <w:pPr>
        <w:pStyle w:val="BodyText"/>
        <w:tabs>
          <w:tab w:val="left" w:pos="4783"/>
        </w:tabs>
        <w:spacing w:line="276" w:lineRule="auto"/>
        <w:ind w:right="48"/>
        <w:rPr>
          <w:b/>
          <w:bCs/>
          <w:sz w:val="24"/>
          <w:szCs w:val="24"/>
          <w:lang w:val="en-US"/>
        </w:rPr>
      </w:pPr>
      <w:r w:rsidRPr="0056618D">
        <w:rPr>
          <w:b/>
          <w:bCs/>
          <w:sz w:val="24"/>
          <w:szCs w:val="24"/>
          <w:lang w:val="en-US"/>
        </w:rPr>
        <w:t>Neni 3 – Detyrimi për të deklaruar paratë cash të shoqëruara</w:t>
      </w:r>
    </w:p>
    <w:p w14:paraId="3EECDBFE" w14:textId="77777777" w:rsidR="002B1840" w:rsidRPr="002B1840" w:rsidRDefault="002B1840" w:rsidP="00E83544">
      <w:pPr>
        <w:pStyle w:val="BodyText"/>
        <w:tabs>
          <w:tab w:val="left" w:pos="4783"/>
        </w:tabs>
        <w:spacing w:line="276" w:lineRule="auto"/>
        <w:ind w:right="48"/>
        <w:rPr>
          <w:sz w:val="24"/>
          <w:szCs w:val="24"/>
          <w:lang w:val="en-US"/>
        </w:rPr>
      </w:pPr>
      <w:r w:rsidRPr="002B1840">
        <w:rPr>
          <w:sz w:val="24"/>
          <w:szCs w:val="24"/>
          <w:lang w:val="en-US"/>
        </w:rPr>
        <w:t xml:space="preserve">Ky nen vendos detyrimin kryesor të deklarimit për </w:t>
      </w:r>
      <w:r w:rsidRPr="002B1840">
        <w:rPr>
          <w:bCs/>
          <w:sz w:val="24"/>
          <w:szCs w:val="24"/>
          <w:lang w:val="en-US"/>
        </w:rPr>
        <w:t>paratë e shoqëruara</w:t>
      </w:r>
      <w:r w:rsidRPr="002B1840">
        <w:rPr>
          <w:sz w:val="24"/>
          <w:szCs w:val="24"/>
          <w:lang w:val="en-US"/>
        </w:rPr>
        <w:t xml:space="preserve"> (cash me mbajtës):</w:t>
      </w:r>
    </w:p>
    <w:p w14:paraId="1FC07392" w14:textId="77777777" w:rsidR="002B1840" w:rsidRPr="002B1840" w:rsidRDefault="002B1840" w:rsidP="004D5FC8">
      <w:pPr>
        <w:pStyle w:val="BodyText"/>
        <w:numPr>
          <w:ilvl w:val="0"/>
          <w:numId w:val="17"/>
        </w:numPr>
        <w:tabs>
          <w:tab w:val="clear" w:pos="720"/>
          <w:tab w:val="num" w:pos="450"/>
          <w:tab w:val="left" w:pos="630"/>
          <w:tab w:val="left" w:pos="4783"/>
        </w:tabs>
        <w:spacing w:line="276" w:lineRule="auto"/>
        <w:ind w:left="0" w:right="48" w:firstLine="0"/>
        <w:rPr>
          <w:sz w:val="24"/>
          <w:szCs w:val="24"/>
          <w:lang w:val="en-US"/>
        </w:rPr>
      </w:pPr>
      <w:r w:rsidRPr="002B1840">
        <w:rPr>
          <w:bCs/>
          <w:sz w:val="24"/>
          <w:szCs w:val="24"/>
          <w:lang w:val="en-US"/>
        </w:rPr>
        <w:t>Pragu</w:t>
      </w:r>
      <w:r w:rsidRPr="002B1840">
        <w:rPr>
          <w:sz w:val="24"/>
          <w:szCs w:val="24"/>
          <w:lang w:val="en-US"/>
        </w:rPr>
        <w:t xml:space="preserve">: nga </w:t>
      </w:r>
      <w:r w:rsidRPr="002B1840">
        <w:rPr>
          <w:bCs/>
          <w:sz w:val="24"/>
          <w:szCs w:val="24"/>
          <w:lang w:val="en-US"/>
        </w:rPr>
        <w:t>10 000 euro</w:t>
      </w:r>
      <w:r w:rsidRPr="002B1840">
        <w:rPr>
          <w:sz w:val="24"/>
          <w:szCs w:val="24"/>
          <w:lang w:val="en-US"/>
        </w:rPr>
        <w:t xml:space="preserve"> (ose kundërvlera).</w:t>
      </w:r>
    </w:p>
    <w:p w14:paraId="351E68C7" w14:textId="77777777" w:rsidR="002B1840" w:rsidRPr="002B1840" w:rsidRDefault="002B1840" w:rsidP="004D5FC8">
      <w:pPr>
        <w:pStyle w:val="BodyText"/>
        <w:numPr>
          <w:ilvl w:val="0"/>
          <w:numId w:val="17"/>
        </w:numPr>
        <w:tabs>
          <w:tab w:val="clear" w:pos="720"/>
          <w:tab w:val="num" w:pos="450"/>
          <w:tab w:val="left" w:pos="630"/>
          <w:tab w:val="left" w:pos="4783"/>
        </w:tabs>
        <w:spacing w:line="276" w:lineRule="auto"/>
        <w:ind w:left="0" w:right="48" w:firstLine="0"/>
        <w:rPr>
          <w:sz w:val="24"/>
          <w:szCs w:val="24"/>
          <w:lang w:val="en-US"/>
        </w:rPr>
      </w:pPr>
      <w:r w:rsidRPr="002B1840">
        <w:rPr>
          <w:sz w:val="24"/>
          <w:szCs w:val="24"/>
          <w:lang w:val="en-US"/>
        </w:rPr>
        <w:t>Detyrimi realizohet vetëm nëse: (i) deklarata është e saktë dhe e plotë, dhe (ii) paraja bëhet e disponueshme për kontroll.</w:t>
      </w:r>
    </w:p>
    <w:p w14:paraId="6AA671BB" w14:textId="77777777" w:rsidR="002B1840" w:rsidRPr="002B1840" w:rsidRDefault="002B1840" w:rsidP="004D5FC8">
      <w:pPr>
        <w:pStyle w:val="BodyText"/>
        <w:numPr>
          <w:ilvl w:val="0"/>
          <w:numId w:val="17"/>
        </w:numPr>
        <w:tabs>
          <w:tab w:val="clear" w:pos="720"/>
          <w:tab w:val="num" w:pos="450"/>
          <w:tab w:val="left" w:pos="630"/>
          <w:tab w:val="left" w:pos="4783"/>
        </w:tabs>
        <w:spacing w:line="276" w:lineRule="auto"/>
        <w:ind w:left="0" w:right="48" w:firstLine="0"/>
        <w:rPr>
          <w:sz w:val="24"/>
          <w:szCs w:val="24"/>
          <w:lang w:val="en-US"/>
        </w:rPr>
      </w:pPr>
      <w:r w:rsidRPr="002B1840">
        <w:rPr>
          <w:sz w:val="24"/>
          <w:szCs w:val="24"/>
          <w:lang w:val="en-US"/>
        </w:rPr>
        <w:t xml:space="preserve">Përcaktohet </w:t>
      </w:r>
      <w:r w:rsidRPr="002B1840">
        <w:rPr>
          <w:bCs/>
          <w:sz w:val="24"/>
          <w:szCs w:val="24"/>
          <w:lang w:val="en-US"/>
        </w:rPr>
        <w:t>përmbajtja minimale</w:t>
      </w:r>
      <w:r w:rsidRPr="002B1840">
        <w:rPr>
          <w:sz w:val="24"/>
          <w:szCs w:val="24"/>
          <w:lang w:val="en-US"/>
        </w:rPr>
        <w:t xml:space="preserve"> e deklaratës: identiteti/kontaktet e mbajtësit, pronarit, marrësit të synuar (kur është e mundur), natyra/sasia/vlera, origjina ekonomike, qëllimi, rruga dhe mjeti i transportit.</w:t>
      </w:r>
    </w:p>
    <w:p w14:paraId="7CD39911" w14:textId="6A5D8A2F" w:rsidR="002B1840" w:rsidRPr="0056618D" w:rsidRDefault="002B1840" w:rsidP="004D5FC8">
      <w:pPr>
        <w:pStyle w:val="BodyText"/>
        <w:numPr>
          <w:ilvl w:val="0"/>
          <w:numId w:val="17"/>
        </w:numPr>
        <w:tabs>
          <w:tab w:val="clear" w:pos="720"/>
          <w:tab w:val="num" w:pos="450"/>
          <w:tab w:val="left" w:pos="630"/>
          <w:tab w:val="left" w:pos="4783"/>
        </w:tabs>
        <w:spacing w:line="276" w:lineRule="auto"/>
        <w:ind w:left="0" w:right="48" w:firstLine="0"/>
        <w:rPr>
          <w:sz w:val="24"/>
          <w:szCs w:val="24"/>
          <w:lang w:val="en-US"/>
        </w:rPr>
      </w:pPr>
      <w:r w:rsidRPr="002B1840">
        <w:rPr>
          <w:sz w:val="24"/>
          <w:szCs w:val="24"/>
          <w:lang w:val="en-US"/>
        </w:rPr>
        <w:t xml:space="preserve">Parashikohet forma </w:t>
      </w:r>
      <w:r w:rsidRPr="002B1840">
        <w:rPr>
          <w:bCs/>
          <w:sz w:val="24"/>
          <w:szCs w:val="24"/>
          <w:lang w:val="en-US"/>
        </w:rPr>
        <w:t>me shkrim ose elektronike</w:t>
      </w:r>
      <w:r w:rsidRPr="002B1840">
        <w:rPr>
          <w:sz w:val="24"/>
          <w:szCs w:val="24"/>
          <w:lang w:val="en-US"/>
        </w:rPr>
        <w:t>, përmes formularit standard (i miratuar me akt nënligjor), dhe e drejta për kopje të miratuar sipas kërkesës.</w:t>
      </w:r>
    </w:p>
    <w:p w14:paraId="5CA409C6" w14:textId="77777777" w:rsidR="002B1840" w:rsidRPr="0056618D" w:rsidRDefault="002B1840" w:rsidP="00E83544">
      <w:pPr>
        <w:pStyle w:val="BodyText"/>
        <w:tabs>
          <w:tab w:val="left" w:pos="4783"/>
        </w:tabs>
        <w:spacing w:line="276" w:lineRule="auto"/>
        <w:ind w:right="48"/>
        <w:rPr>
          <w:b/>
          <w:bCs/>
          <w:sz w:val="24"/>
          <w:szCs w:val="24"/>
          <w:lang w:val="en-US"/>
        </w:rPr>
      </w:pPr>
      <w:r w:rsidRPr="0056618D">
        <w:rPr>
          <w:b/>
          <w:bCs/>
          <w:sz w:val="24"/>
          <w:szCs w:val="24"/>
          <w:lang w:val="en-US"/>
        </w:rPr>
        <w:t>Neni 4 – Detyrimi për të njoftuar paratë cash të pashoqëruara</w:t>
      </w:r>
    </w:p>
    <w:p w14:paraId="1C17E0A6" w14:textId="77777777" w:rsidR="002B1840" w:rsidRPr="002B1840" w:rsidRDefault="002B1840" w:rsidP="00E83544">
      <w:pPr>
        <w:pStyle w:val="BodyText"/>
        <w:tabs>
          <w:tab w:val="left" w:pos="4783"/>
        </w:tabs>
        <w:spacing w:line="276" w:lineRule="auto"/>
        <w:ind w:right="48"/>
        <w:rPr>
          <w:sz w:val="24"/>
          <w:szCs w:val="24"/>
          <w:lang w:val="en-US"/>
        </w:rPr>
      </w:pPr>
      <w:r w:rsidRPr="002B1840">
        <w:rPr>
          <w:sz w:val="24"/>
          <w:szCs w:val="24"/>
          <w:lang w:val="en-US"/>
        </w:rPr>
        <w:t xml:space="preserve">Ky nen rregullon </w:t>
      </w:r>
      <w:r w:rsidRPr="002B1840">
        <w:rPr>
          <w:bCs/>
          <w:sz w:val="24"/>
          <w:szCs w:val="24"/>
          <w:lang w:val="en-US"/>
        </w:rPr>
        <w:t>paratë “pa mbajtës”</w:t>
      </w:r>
      <w:r w:rsidRPr="002B1840">
        <w:rPr>
          <w:sz w:val="24"/>
          <w:szCs w:val="24"/>
          <w:lang w:val="en-US"/>
        </w:rPr>
        <w:t xml:space="preserve"> (p.sh. dërgesa), duke krijuar një regjim “deklarate informuese”:</w:t>
      </w:r>
    </w:p>
    <w:p w14:paraId="5B121379" w14:textId="77777777" w:rsidR="002B1840" w:rsidRPr="002B1840" w:rsidRDefault="002B1840" w:rsidP="004D5FC8">
      <w:pPr>
        <w:pStyle w:val="BodyText"/>
        <w:numPr>
          <w:ilvl w:val="0"/>
          <w:numId w:val="18"/>
        </w:numPr>
        <w:tabs>
          <w:tab w:val="clear" w:pos="720"/>
          <w:tab w:val="num" w:pos="540"/>
          <w:tab w:val="left" w:pos="4783"/>
        </w:tabs>
        <w:spacing w:line="276" w:lineRule="auto"/>
        <w:ind w:left="0" w:right="48" w:firstLine="0"/>
        <w:rPr>
          <w:sz w:val="24"/>
          <w:szCs w:val="24"/>
          <w:lang w:val="en-US"/>
        </w:rPr>
      </w:pPr>
      <w:r w:rsidRPr="002B1840">
        <w:rPr>
          <w:bCs/>
          <w:sz w:val="24"/>
          <w:szCs w:val="24"/>
          <w:lang w:val="en-US"/>
        </w:rPr>
        <w:t>Pragu</w:t>
      </w:r>
      <w:r w:rsidRPr="002B1840">
        <w:rPr>
          <w:sz w:val="24"/>
          <w:szCs w:val="24"/>
          <w:lang w:val="en-US"/>
        </w:rPr>
        <w:t xml:space="preserve">: nga </w:t>
      </w:r>
      <w:r w:rsidRPr="002B1840">
        <w:rPr>
          <w:bCs/>
          <w:sz w:val="24"/>
          <w:szCs w:val="24"/>
          <w:lang w:val="en-US"/>
        </w:rPr>
        <w:t>10 000 euro</w:t>
      </w:r>
      <w:r w:rsidRPr="002B1840">
        <w:rPr>
          <w:sz w:val="24"/>
          <w:szCs w:val="24"/>
          <w:lang w:val="en-US"/>
        </w:rPr>
        <w:t xml:space="preserve"> (ose më shumë).</w:t>
      </w:r>
    </w:p>
    <w:p w14:paraId="5F81FA9F" w14:textId="77777777" w:rsidR="002B1840" w:rsidRPr="002B1840" w:rsidRDefault="002B1840" w:rsidP="004D5FC8">
      <w:pPr>
        <w:pStyle w:val="BodyText"/>
        <w:numPr>
          <w:ilvl w:val="0"/>
          <w:numId w:val="18"/>
        </w:numPr>
        <w:tabs>
          <w:tab w:val="clear" w:pos="720"/>
          <w:tab w:val="num" w:pos="540"/>
          <w:tab w:val="left" w:pos="4783"/>
        </w:tabs>
        <w:spacing w:line="276" w:lineRule="auto"/>
        <w:ind w:left="0" w:right="48" w:firstLine="0"/>
        <w:rPr>
          <w:sz w:val="24"/>
          <w:szCs w:val="24"/>
          <w:lang w:val="en-US"/>
        </w:rPr>
      </w:pPr>
      <w:r w:rsidRPr="002B1840">
        <w:rPr>
          <w:sz w:val="24"/>
          <w:szCs w:val="24"/>
          <w:lang w:val="en-US"/>
        </w:rPr>
        <w:t xml:space="preserve">Autoriteti doganor mund të kërkojë deklaratë informuese nga dërguesi/marrësi ose përfaqësuesi brenda </w:t>
      </w:r>
      <w:r w:rsidRPr="002B1840">
        <w:rPr>
          <w:bCs/>
          <w:sz w:val="24"/>
          <w:szCs w:val="24"/>
          <w:lang w:val="en-US"/>
        </w:rPr>
        <w:t>30 ditësh</w:t>
      </w:r>
      <w:r w:rsidRPr="002B1840">
        <w:rPr>
          <w:sz w:val="24"/>
          <w:szCs w:val="24"/>
          <w:lang w:val="en-US"/>
        </w:rPr>
        <w:t xml:space="preserve">, dhe mund të </w:t>
      </w:r>
      <w:r w:rsidRPr="002B1840">
        <w:rPr>
          <w:bCs/>
          <w:sz w:val="24"/>
          <w:szCs w:val="24"/>
          <w:lang w:val="en-US"/>
        </w:rPr>
        <w:t>bllokojë</w:t>
      </w:r>
      <w:r w:rsidRPr="002B1840">
        <w:rPr>
          <w:sz w:val="24"/>
          <w:szCs w:val="24"/>
          <w:lang w:val="en-US"/>
        </w:rPr>
        <w:t xml:space="preserve"> paratë deri në dorëzimin e deklaratës.</w:t>
      </w:r>
    </w:p>
    <w:p w14:paraId="187894A9" w14:textId="77777777" w:rsidR="002B1840" w:rsidRPr="002B1840" w:rsidRDefault="002B1840" w:rsidP="004D5FC8">
      <w:pPr>
        <w:pStyle w:val="BodyText"/>
        <w:numPr>
          <w:ilvl w:val="0"/>
          <w:numId w:val="18"/>
        </w:numPr>
        <w:tabs>
          <w:tab w:val="clear" w:pos="720"/>
          <w:tab w:val="num" w:pos="540"/>
          <w:tab w:val="left" w:pos="4783"/>
        </w:tabs>
        <w:spacing w:line="276" w:lineRule="auto"/>
        <w:ind w:left="0" w:right="48" w:firstLine="0"/>
        <w:rPr>
          <w:sz w:val="24"/>
          <w:szCs w:val="24"/>
          <w:lang w:val="en-US"/>
        </w:rPr>
      </w:pPr>
      <w:r w:rsidRPr="002B1840">
        <w:rPr>
          <w:sz w:val="24"/>
          <w:szCs w:val="24"/>
          <w:lang w:val="en-US"/>
        </w:rPr>
        <w:lastRenderedPageBreak/>
        <w:t>Përcaktohet përmbajtja: deklaruesi, pronari, dërguesi, marrësi/marrësi i synuar, natyra/sasia/vlera, origjina ekonomike, qëllimi.</w:t>
      </w:r>
    </w:p>
    <w:p w14:paraId="43D5AA10" w14:textId="2DB05FFF" w:rsidR="002B1840" w:rsidRPr="0056618D" w:rsidRDefault="002B1840" w:rsidP="004D5FC8">
      <w:pPr>
        <w:pStyle w:val="BodyText"/>
        <w:numPr>
          <w:ilvl w:val="0"/>
          <w:numId w:val="18"/>
        </w:numPr>
        <w:tabs>
          <w:tab w:val="clear" w:pos="720"/>
          <w:tab w:val="num" w:pos="540"/>
          <w:tab w:val="left" w:pos="4783"/>
        </w:tabs>
        <w:spacing w:line="276" w:lineRule="auto"/>
        <w:ind w:left="0" w:right="48" w:firstLine="0"/>
        <w:rPr>
          <w:sz w:val="24"/>
          <w:szCs w:val="24"/>
          <w:lang w:val="en-US"/>
        </w:rPr>
      </w:pPr>
      <w:r w:rsidRPr="002B1840">
        <w:rPr>
          <w:sz w:val="24"/>
          <w:szCs w:val="24"/>
          <w:lang w:val="en-US"/>
        </w:rPr>
        <w:t>Parashikohet forma me shkrim/elektronike dhe kopja e miratuar sipas kërkesës.</w:t>
      </w:r>
    </w:p>
    <w:p w14:paraId="76EA1295" w14:textId="77777777" w:rsidR="002B1840" w:rsidRPr="0056618D" w:rsidRDefault="002B1840" w:rsidP="00E83544">
      <w:pPr>
        <w:pStyle w:val="BodyText"/>
        <w:tabs>
          <w:tab w:val="left" w:pos="4783"/>
        </w:tabs>
        <w:spacing w:line="276" w:lineRule="auto"/>
        <w:ind w:right="48"/>
        <w:rPr>
          <w:b/>
          <w:bCs/>
          <w:sz w:val="24"/>
          <w:szCs w:val="24"/>
          <w:lang w:val="en-US"/>
        </w:rPr>
      </w:pPr>
      <w:r w:rsidRPr="0056618D">
        <w:rPr>
          <w:b/>
          <w:bCs/>
          <w:sz w:val="24"/>
          <w:szCs w:val="24"/>
          <w:lang w:val="en-US"/>
        </w:rPr>
        <w:t>Neni 5 – Kompetencat e autoriteteve doganore</w:t>
      </w:r>
    </w:p>
    <w:p w14:paraId="0CD7D81E" w14:textId="77777777" w:rsidR="002B1840" w:rsidRPr="002B1840" w:rsidRDefault="002B1840" w:rsidP="00E83544">
      <w:pPr>
        <w:pStyle w:val="BodyText"/>
        <w:tabs>
          <w:tab w:val="left" w:pos="4783"/>
        </w:tabs>
        <w:spacing w:line="276" w:lineRule="auto"/>
        <w:ind w:right="48"/>
        <w:rPr>
          <w:sz w:val="24"/>
          <w:szCs w:val="24"/>
          <w:lang w:val="en-US"/>
        </w:rPr>
      </w:pPr>
      <w:r w:rsidRPr="002B1840">
        <w:rPr>
          <w:sz w:val="24"/>
          <w:szCs w:val="24"/>
          <w:lang w:val="en-US"/>
        </w:rPr>
        <w:t>Ky nen fuqizon doganat për zbatim efektiv:</w:t>
      </w:r>
    </w:p>
    <w:p w14:paraId="4F8A9F49" w14:textId="77777777" w:rsidR="002B1840" w:rsidRPr="002B1840" w:rsidRDefault="002B1840" w:rsidP="004D5FC8">
      <w:pPr>
        <w:pStyle w:val="BodyText"/>
        <w:numPr>
          <w:ilvl w:val="0"/>
          <w:numId w:val="19"/>
        </w:numPr>
        <w:tabs>
          <w:tab w:val="clear" w:pos="720"/>
          <w:tab w:val="num" w:pos="540"/>
          <w:tab w:val="left" w:pos="4783"/>
        </w:tabs>
        <w:spacing w:line="276" w:lineRule="auto"/>
        <w:ind w:left="0" w:right="48" w:firstLine="0"/>
        <w:rPr>
          <w:sz w:val="24"/>
          <w:szCs w:val="24"/>
          <w:lang w:val="en-US"/>
        </w:rPr>
      </w:pPr>
      <w:r w:rsidRPr="002B1840">
        <w:rPr>
          <w:bCs/>
          <w:sz w:val="24"/>
          <w:szCs w:val="24"/>
          <w:lang w:val="en-US"/>
        </w:rPr>
        <w:t>Kontrolle</w:t>
      </w:r>
      <w:r w:rsidRPr="002B1840">
        <w:rPr>
          <w:sz w:val="24"/>
          <w:szCs w:val="24"/>
          <w:lang w:val="en-US"/>
        </w:rPr>
        <w:t xml:space="preserve"> mbi individë/bagazhe/mjete transporti për paratë e shoqëruara.</w:t>
      </w:r>
    </w:p>
    <w:p w14:paraId="140D89B1" w14:textId="77777777" w:rsidR="002B1840" w:rsidRPr="002B1840" w:rsidRDefault="002B1840" w:rsidP="004D5FC8">
      <w:pPr>
        <w:pStyle w:val="BodyText"/>
        <w:numPr>
          <w:ilvl w:val="0"/>
          <w:numId w:val="19"/>
        </w:numPr>
        <w:tabs>
          <w:tab w:val="clear" w:pos="720"/>
          <w:tab w:val="num" w:pos="540"/>
          <w:tab w:val="left" w:pos="4783"/>
        </w:tabs>
        <w:spacing w:line="276" w:lineRule="auto"/>
        <w:ind w:left="0" w:right="48" w:firstLine="0"/>
        <w:rPr>
          <w:sz w:val="24"/>
          <w:szCs w:val="24"/>
          <w:lang w:val="en-US"/>
        </w:rPr>
      </w:pPr>
      <w:r w:rsidRPr="002B1840">
        <w:rPr>
          <w:bCs/>
          <w:sz w:val="24"/>
          <w:szCs w:val="24"/>
          <w:lang w:val="en-US"/>
        </w:rPr>
        <w:t>Kontrolle</w:t>
      </w:r>
      <w:r w:rsidRPr="002B1840">
        <w:rPr>
          <w:sz w:val="24"/>
          <w:szCs w:val="24"/>
          <w:lang w:val="en-US"/>
        </w:rPr>
        <w:t xml:space="preserve"> mbi dërgesa/kontejnerë/mjete transporti për paratë e pashoqëruara.</w:t>
      </w:r>
    </w:p>
    <w:p w14:paraId="6667FA6E" w14:textId="77777777" w:rsidR="002B1840" w:rsidRPr="002B1840" w:rsidRDefault="002B1840" w:rsidP="004D5FC8">
      <w:pPr>
        <w:pStyle w:val="BodyText"/>
        <w:numPr>
          <w:ilvl w:val="0"/>
          <w:numId w:val="19"/>
        </w:numPr>
        <w:tabs>
          <w:tab w:val="clear" w:pos="720"/>
          <w:tab w:val="num" w:pos="540"/>
          <w:tab w:val="left" w:pos="4783"/>
        </w:tabs>
        <w:spacing w:line="276" w:lineRule="auto"/>
        <w:ind w:left="0" w:right="48" w:firstLine="0"/>
        <w:rPr>
          <w:sz w:val="24"/>
          <w:szCs w:val="24"/>
          <w:lang w:val="en-US"/>
        </w:rPr>
      </w:pPr>
      <w:r w:rsidRPr="002B1840">
        <w:rPr>
          <w:sz w:val="24"/>
          <w:szCs w:val="24"/>
          <w:lang w:val="en-US"/>
        </w:rPr>
        <w:t xml:space="preserve">Në rast mosdeklarimi, doganat hartojnë </w:t>
      </w:r>
      <w:r w:rsidRPr="002B1840">
        <w:rPr>
          <w:bCs/>
          <w:sz w:val="24"/>
          <w:szCs w:val="24"/>
          <w:lang w:val="en-US"/>
        </w:rPr>
        <w:t>deklaratë ex officio</w:t>
      </w:r>
      <w:r w:rsidRPr="002B1840">
        <w:rPr>
          <w:sz w:val="24"/>
          <w:szCs w:val="24"/>
          <w:lang w:val="en-US"/>
        </w:rPr>
        <w:t xml:space="preserve"> (me sa më shumë të dhëna të mundshme sipas neneve 3 ose 4).</w:t>
      </w:r>
    </w:p>
    <w:p w14:paraId="3DFF3177" w14:textId="77777777" w:rsidR="002B1840" w:rsidRPr="002B1840" w:rsidRDefault="002B1840" w:rsidP="004D5FC8">
      <w:pPr>
        <w:pStyle w:val="BodyText"/>
        <w:numPr>
          <w:ilvl w:val="0"/>
          <w:numId w:val="19"/>
        </w:numPr>
        <w:tabs>
          <w:tab w:val="clear" w:pos="720"/>
          <w:tab w:val="num" w:pos="540"/>
          <w:tab w:val="left" w:pos="4783"/>
        </w:tabs>
        <w:spacing w:line="276" w:lineRule="auto"/>
        <w:ind w:left="0" w:right="48" w:firstLine="0"/>
        <w:rPr>
          <w:sz w:val="24"/>
          <w:szCs w:val="24"/>
          <w:lang w:val="en-US"/>
        </w:rPr>
      </w:pPr>
      <w:r w:rsidRPr="002B1840">
        <w:rPr>
          <w:sz w:val="24"/>
          <w:szCs w:val="24"/>
          <w:lang w:val="en-US"/>
        </w:rPr>
        <w:t xml:space="preserve">Kontrolli bazohet kryesisht në </w:t>
      </w:r>
      <w:r w:rsidRPr="002B1840">
        <w:rPr>
          <w:bCs/>
          <w:sz w:val="24"/>
          <w:szCs w:val="24"/>
          <w:lang w:val="en-US"/>
        </w:rPr>
        <w:t>analizë rreziku</w:t>
      </w:r>
      <w:r w:rsidRPr="002B1840">
        <w:rPr>
          <w:sz w:val="24"/>
          <w:szCs w:val="24"/>
          <w:lang w:val="en-US"/>
        </w:rPr>
        <w:t xml:space="preserve"> dhe brenda një kornize menaxhimi rreziku (me kritere që përcaktohen më tej në akte nënligjore).</w:t>
      </w:r>
    </w:p>
    <w:p w14:paraId="02198477" w14:textId="77777777" w:rsidR="002B1840" w:rsidRPr="002B1840" w:rsidRDefault="002B1840" w:rsidP="004D5FC8">
      <w:pPr>
        <w:pStyle w:val="BodyText"/>
        <w:numPr>
          <w:ilvl w:val="0"/>
          <w:numId w:val="19"/>
        </w:numPr>
        <w:tabs>
          <w:tab w:val="clear" w:pos="720"/>
          <w:tab w:val="num" w:pos="540"/>
          <w:tab w:val="left" w:pos="4783"/>
        </w:tabs>
        <w:spacing w:line="276" w:lineRule="auto"/>
        <w:ind w:left="0" w:right="48" w:firstLine="0"/>
        <w:rPr>
          <w:sz w:val="24"/>
          <w:szCs w:val="24"/>
          <w:lang w:val="en-US"/>
        </w:rPr>
      </w:pPr>
      <w:r w:rsidRPr="002B1840">
        <w:rPr>
          <w:sz w:val="24"/>
          <w:szCs w:val="24"/>
          <w:lang w:val="en-US"/>
        </w:rPr>
        <w:t>Sqarim funksional: kompetencat e këtij neni përdoren edhe për rastet e nenit 6.</w:t>
      </w:r>
    </w:p>
    <w:p w14:paraId="76AC94C3" w14:textId="03F4EBAC" w:rsidR="002B1840" w:rsidRPr="002B1840" w:rsidRDefault="002B1840" w:rsidP="00E83544">
      <w:pPr>
        <w:pStyle w:val="BodyText"/>
        <w:tabs>
          <w:tab w:val="num" w:pos="540"/>
          <w:tab w:val="left" w:pos="4783"/>
        </w:tabs>
        <w:spacing w:line="276" w:lineRule="auto"/>
        <w:ind w:right="48"/>
        <w:rPr>
          <w:sz w:val="24"/>
          <w:szCs w:val="24"/>
          <w:lang w:val="en-US"/>
        </w:rPr>
      </w:pPr>
      <w:r w:rsidRPr="002B1840">
        <w:rPr>
          <w:i/>
          <w:iCs/>
          <w:sz w:val="24"/>
          <w:szCs w:val="24"/>
          <w:lang w:val="en-US"/>
        </w:rPr>
        <w:t>Shënim teknik</w:t>
      </w:r>
      <w:r w:rsidRPr="002B1840">
        <w:rPr>
          <w:sz w:val="24"/>
          <w:szCs w:val="24"/>
          <w:lang w:val="en-US"/>
        </w:rPr>
        <w:t>: Në tekst ka referencë të tipit “neni 11/4” dhe “nenit 6”, që duket si gabim shënimi (duhet të jetë “neni 4”). Për relacion, mund të evidentohet si nevojë redaktimi.</w:t>
      </w:r>
    </w:p>
    <w:p w14:paraId="55D3E5AA" w14:textId="77777777" w:rsidR="002B1840" w:rsidRPr="0056618D" w:rsidRDefault="002B1840" w:rsidP="00E83544">
      <w:pPr>
        <w:pStyle w:val="BodyText"/>
        <w:tabs>
          <w:tab w:val="left" w:pos="4783"/>
        </w:tabs>
        <w:spacing w:line="276" w:lineRule="auto"/>
        <w:ind w:right="48"/>
        <w:rPr>
          <w:b/>
          <w:bCs/>
          <w:sz w:val="24"/>
          <w:szCs w:val="24"/>
          <w:lang w:val="en-US"/>
        </w:rPr>
      </w:pPr>
      <w:r w:rsidRPr="0056618D">
        <w:rPr>
          <w:b/>
          <w:bCs/>
          <w:sz w:val="24"/>
          <w:szCs w:val="24"/>
          <w:lang w:val="en-US"/>
        </w:rPr>
        <w:t>Neni 6 – Shumat nën prag me indicie veprimtarie kriminale</w:t>
      </w:r>
    </w:p>
    <w:p w14:paraId="3D1E8918" w14:textId="77777777" w:rsidR="002B1840" w:rsidRPr="002B1840" w:rsidRDefault="002B1840" w:rsidP="00E83544">
      <w:pPr>
        <w:pStyle w:val="BodyText"/>
        <w:tabs>
          <w:tab w:val="left" w:pos="4783"/>
        </w:tabs>
        <w:spacing w:line="276" w:lineRule="auto"/>
        <w:ind w:right="48"/>
        <w:rPr>
          <w:sz w:val="24"/>
          <w:szCs w:val="24"/>
          <w:lang w:val="en-US"/>
        </w:rPr>
      </w:pPr>
      <w:r w:rsidRPr="002B1840">
        <w:rPr>
          <w:sz w:val="24"/>
          <w:szCs w:val="24"/>
          <w:lang w:val="en-US"/>
        </w:rPr>
        <w:t xml:space="preserve">Ky nen mbulon rastet kur shuma është </w:t>
      </w:r>
      <w:r w:rsidRPr="002B1840">
        <w:rPr>
          <w:bCs/>
          <w:sz w:val="24"/>
          <w:szCs w:val="24"/>
          <w:lang w:val="en-US"/>
        </w:rPr>
        <w:t>nën 10 000 euro</w:t>
      </w:r>
      <w:r w:rsidRPr="002B1840">
        <w:rPr>
          <w:sz w:val="24"/>
          <w:szCs w:val="24"/>
          <w:lang w:val="en-US"/>
        </w:rPr>
        <w:t>, por ka tregues kriminalë:</w:t>
      </w:r>
    </w:p>
    <w:p w14:paraId="577E2B7E" w14:textId="77777777" w:rsidR="002B1840" w:rsidRPr="002B1840" w:rsidRDefault="002B1840" w:rsidP="004D5FC8">
      <w:pPr>
        <w:pStyle w:val="BodyText"/>
        <w:numPr>
          <w:ilvl w:val="0"/>
          <w:numId w:val="20"/>
        </w:numPr>
        <w:tabs>
          <w:tab w:val="left" w:pos="4783"/>
        </w:tabs>
        <w:spacing w:line="276" w:lineRule="auto"/>
        <w:ind w:right="48"/>
        <w:rPr>
          <w:sz w:val="24"/>
          <w:szCs w:val="24"/>
          <w:lang w:val="en-US"/>
        </w:rPr>
      </w:pPr>
      <w:r w:rsidRPr="002B1840">
        <w:rPr>
          <w:sz w:val="24"/>
          <w:szCs w:val="24"/>
          <w:lang w:val="en-US"/>
        </w:rPr>
        <w:t xml:space="preserve">Doganat regjistrojnë informacionin dhe të dhënat identifikuese për </w:t>
      </w:r>
      <w:r w:rsidRPr="002B1840">
        <w:rPr>
          <w:bCs/>
          <w:sz w:val="24"/>
          <w:szCs w:val="24"/>
          <w:lang w:val="en-US"/>
        </w:rPr>
        <w:t>cash të shoqëruara</w:t>
      </w:r>
      <w:r w:rsidRPr="002B1840">
        <w:rPr>
          <w:sz w:val="24"/>
          <w:szCs w:val="24"/>
          <w:lang w:val="en-US"/>
        </w:rPr>
        <w:t xml:space="preserve"> nën prag kur ka indicie lidhjeje me veprimtari kriminale.</w:t>
      </w:r>
    </w:p>
    <w:p w14:paraId="1E576F72" w14:textId="77777777" w:rsidR="002B1840" w:rsidRPr="002B1840" w:rsidRDefault="002B1840" w:rsidP="004D5FC8">
      <w:pPr>
        <w:pStyle w:val="BodyText"/>
        <w:numPr>
          <w:ilvl w:val="0"/>
          <w:numId w:val="20"/>
        </w:numPr>
        <w:tabs>
          <w:tab w:val="left" w:pos="4783"/>
        </w:tabs>
        <w:spacing w:line="276" w:lineRule="auto"/>
        <w:ind w:right="48"/>
        <w:rPr>
          <w:sz w:val="24"/>
          <w:szCs w:val="24"/>
          <w:lang w:val="en-US"/>
        </w:rPr>
      </w:pPr>
      <w:r w:rsidRPr="002B1840">
        <w:rPr>
          <w:sz w:val="24"/>
          <w:szCs w:val="24"/>
          <w:lang w:val="en-US"/>
        </w:rPr>
        <w:t xml:space="preserve">E njëjta logjikë për </w:t>
      </w:r>
      <w:r w:rsidRPr="002B1840">
        <w:rPr>
          <w:bCs/>
          <w:sz w:val="24"/>
          <w:szCs w:val="24"/>
          <w:lang w:val="en-US"/>
        </w:rPr>
        <w:t>cash të pashoqëruara</w:t>
      </w:r>
      <w:r w:rsidRPr="002B1840">
        <w:rPr>
          <w:sz w:val="24"/>
          <w:szCs w:val="24"/>
          <w:lang w:val="en-US"/>
        </w:rPr>
        <w:t xml:space="preserve"> nën prag.</w:t>
      </w:r>
    </w:p>
    <w:p w14:paraId="12EA98C0" w14:textId="05D20BF8" w:rsidR="002B1840" w:rsidRPr="0056618D" w:rsidRDefault="002B1840" w:rsidP="004D5FC8">
      <w:pPr>
        <w:pStyle w:val="BodyText"/>
        <w:numPr>
          <w:ilvl w:val="0"/>
          <w:numId w:val="20"/>
        </w:numPr>
        <w:tabs>
          <w:tab w:val="left" w:pos="4783"/>
        </w:tabs>
        <w:spacing w:line="276" w:lineRule="auto"/>
        <w:ind w:right="48"/>
        <w:rPr>
          <w:sz w:val="24"/>
          <w:szCs w:val="24"/>
          <w:lang w:val="en-US"/>
        </w:rPr>
      </w:pPr>
      <w:r w:rsidRPr="002B1840">
        <w:rPr>
          <w:sz w:val="24"/>
          <w:szCs w:val="24"/>
          <w:lang w:val="en-US"/>
        </w:rPr>
        <w:t>Qëllimi është të mos krijohet “zonë e lirë” për copëzim shumash (smurfing) ose transport të përsëritur nën prag.</w:t>
      </w:r>
    </w:p>
    <w:p w14:paraId="4CF2C109" w14:textId="77777777" w:rsidR="002B1840" w:rsidRPr="0056618D" w:rsidRDefault="002B1840" w:rsidP="00E83544">
      <w:pPr>
        <w:pStyle w:val="BodyText"/>
        <w:tabs>
          <w:tab w:val="left" w:pos="4783"/>
        </w:tabs>
        <w:spacing w:line="276" w:lineRule="auto"/>
        <w:ind w:right="48"/>
        <w:rPr>
          <w:b/>
          <w:bCs/>
          <w:sz w:val="24"/>
          <w:szCs w:val="24"/>
          <w:lang w:val="en-US"/>
        </w:rPr>
      </w:pPr>
      <w:r w:rsidRPr="0056618D">
        <w:rPr>
          <w:b/>
          <w:bCs/>
          <w:sz w:val="24"/>
          <w:szCs w:val="24"/>
          <w:lang w:val="en-US"/>
        </w:rPr>
        <w:t>Neni 7 – Ndalimi i përkohshëm (bllokimi) i parave cash</w:t>
      </w:r>
    </w:p>
    <w:p w14:paraId="17E45475" w14:textId="77777777" w:rsidR="002B1840" w:rsidRPr="002B1840" w:rsidRDefault="002B1840" w:rsidP="00E83544">
      <w:pPr>
        <w:pStyle w:val="BodyText"/>
        <w:tabs>
          <w:tab w:val="left" w:pos="4783"/>
        </w:tabs>
        <w:spacing w:line="276" w:lineRule="auto"/>
        <w:ind w:right="48"/>
        <w:rPr>
          <w:sz w:val="24"/>
          <w:szCs w:val="24"/>
          <w:lang w:val="en-US"/>
        </w:rPr>
      </w:pPr>
      <w:r w:rsidRPr="002B1840">
        <w:rPr>
          <w:sz w:val="24"/>
          <w:szCs w:val="24"/>
          <w:lang w:val="en-US"/>
        </w:rPr>
        <w:t xml:space="preserve">Ky nen parashikon masën administrative të </w:t>
      </w:r>
      <w:r w:rsidRPr="002B1840">
        <w:rPr>
          <w:bCs/>
          <w:sz w:val="24"/>
          <w:szCs w:val="24"/>
          <w:lang w:val="en-US"/>
        </w:rPr>
        <w:t>bllokimit të përkohshëm</w:t>
      </w:r>
      <w:r w:rsidRPr="002B1840">
        <w:rPr>
          <w:sz w:val="24"/>
          <w:szCs w:val="24"/>
          <w:lang w:val="en-US"/>
        </w:rPr>
        <w:t>:</w:t>
      </w:r>
    </w:p>
    <w:p w14:paraId="2D88CC58" w14:textId="77777777" w:rsidR="002B1840" w:rsidRPr="002B1840" w:rsidRDefault="002B1840" w:rsidP="004D5FC8">
      <w:pPr>
        <w:pStyle w:val="BodyText"/>
        <w:numPr>
          <w:ilvl w:val="0"/>
          <w:numId w:val="21"/>
        </w:numPr>
        <w:tabs>
          <w:tab w:val="left" w:pos="4783"/>
        </w:tabs>
        <w:spacing w:line="276" w:lineRule="auto"/>
        <w:ind w:right="48"/>
        <w:rPr>
          <w:sz w:val="24"/>
          <w:szCs w:val="24"/>
          <w:lang w:val="en-US"/>
        </w:rPr>
      </w:pPr>
      <w:r w:rsidRPr="002B1840">
        <w:rPr>
          <w:sz w:val="24"/>
          <w:szCs w:val="24"/>
          <w:lang w:val="en-US"/>
        </w:rPr>
        <w:t>Kushtet: (i) mosdeklarim sipas neneve 3 ose 4; ose (ii) tregues se cash lidhet me veprimtari kriminale, pavarësisht shumës.</w:t>
      </w:r>
    </w:p>
    <w:p w14:paraId="74141C84" w14:textId="77777777" w:rsidR="002B1840" w:rsidRPr="002B1840" w:rsidRDefault="002B1840" w:rsidP="004D5FC8">
      <w:pPr>
        <w:pStyle w:val="BodyText"/>
        <w:numPr>
          <w:ilvl w:val="0"/>
          <w:numId w:val="21"/>
        </w:numPr>
        <w:tabs>
          <w:tab w:val="left" w:pos="4783"/>
        </w:tabs>
        <w:spacing w:line="276" w:lineRule="auto"/>
        <w:ind w:right="48"/>
        <w:rPr>
          <w:sz w:val="24"/>
          <w:szCs w:val="24"/>
          <w:lang w:val="en-US"/>
        </w:rPr>
      </w:pPr>
      <w:r w:rsidRPr="002B1840">
        <w:rPr>
          <w:sz w:val="24"/>
          <w:szCs w:val="24"/>
          <w:lang w:val="en-US"/>
        </w:rPr>
        <w:t xml:space="preserve">Kërkohet </w:t>
      </w:r>
      <w:r w:rsidRPr="002B1840">
        <w:rPr>
          <w:bCs/>
          <w:sz w:val="24"/>
          <w:szCs w:val="24"/>
          <w:lang w:val="en-US"/>
        </w:rPr>
        <w:t>vendim administrativ</w:t>
      </w:r>
      <w:r w:rsidRPr="002B1840">
        <w:rPr>
          <w:sz w:val="24"/>
          <w:szCs w:val="24"/>
          <w:lang w:val="en-US"/>
        </w:rPr>
        <w:t>, me njoftim arsyetues ndaj personit përkatës (deklaruesi/ai që duhet të japë informacion).</w:t>
      </w:r>
    </w:p>
    <w:p w14:paraId="4296D7E8" w14:textId="77777777" w:rsidR="002B1840" w:rsidRPr="002B1840" w:rsidRDefault="002B1840" w:rsidP="004D5FC8">
      <w:pPr>
        <w:pStyle w:val="BodyText"/>
        <w:numPr>
          <w:ilvl w:val="0"/>
          <w:numId w:val="21"/>
        </w:numPr>
        <w:tabs>
          <w:tab w:val="left" w:pos="4783"/>
        </w:tabs>
        <w:spacing w:line="276" w:lineRule="auto"/>
        <w:ind w:right="48"/>
        <w:rPr>
          <w:sz w:val="24"/>
          <w:szCs w:val="24"/>
          <w:lang w:val="en-US"/>
        </w:rPr>
      </w:pPr>
      <w:r w:rsidRPr="002B1840">
        <w:rPr>
          <w:sz w:val="24"/>
          <w:szCs w:val="24"/>
          <w:lang w:val="en-US"/>
        </w:rPr>
        <w:t xml:space="preserve">Afatet: bllokimi fillestar deri </w:t>
      </w:r>
      <w:r w:rsidRPr="002B1840">
        <w:rPr>
          <w:bCs/>
          <w:sz w:val="24"/>
          <w:szCs w:val="24"/>
          <w:lang w:val="en-US"/>
        </w:rPr>
        <w:t>30 ditë</w:t>
      </w:r>
      <w:r w:rsidRPr="002B1840">
        <w:rPr>
          <w:sz w:val="24"/>
          <w:szCs w:val="24"/>
          <w:lang w:val="en-US"/>
        </w:rPr>
        <w:t xml:space="preserve">, me mundësi zgjatjeje deri </w:t>
      </w:r>
      <w:r w:rsidRPr="002B1840">
        <w:rPr>
          <w:bCs/>
          <w:sz w:val="24"/>
          <w:szCs w:val="24"/>
          <w:lang w:val="en-US"/>
        </w:rPr>
        <w:t>90 ditë</w:t>
      </w:r>
      <w:r w:rsidRPr="002B1840">
        <w:rPr>
          <w:sz w:val="24"/>
          <w:szCs w:val="24"/>
          <w:lang w:val="en-US"/>
        </w:rPr>
        <w:t xml:space="preserve"> pas vlerësimit të nevojës/proporcionalitetit.</w:t>
      </w:r>
    </w:p>
    <w:p w14:paraId="1CC7973E" w14:textId="1B8F70F9" w:rsidR="002B1840" w:rsidRPr="0056618D" w:rsidRDefault="002B1840" w:rsidP="004D5FC8">
      <w:pPr>
        <w:pStyle w:val="BodyText"/>
        <w:numPr>
          <w:ilvl w:val="0"/>
          <w:numId w:val="21"/>
        </w:numPr>
        <w:tabs>
          <w:tab w:val="left" w:pos="4783"/>
        </w:tabs>
        <w:spacing w:line="276" w:lineRule="auto"/>
        <w:ind w:right="48"/>
        <w:rPr>
          <w:sz w:val="24"/>
          <w:szCs w:val="24"/>
          <w:lang w:val="en-US"/>
        </w:rPr>
      </w:pPr>
      <w:r w:rsidRPr="002B1840">
        <w:rPr>
          <w:sz w:val="24"/>
          <w:szCs w:val="24"/>
          <w:lang w:val="en-US"/>
        </w:rPr>
        <w:t>Në mungesë vendimi për bllokim të mëtejshëm ose kur nuk justifikohet, cash i kthehet menjëherë personit përkatës.</w:t>
      </w:r>
    </w:p>
    <w:p w14:paraId="3001F7B9" w14:textId="77777777" w:rsidR="002B1840" w:rsidRPr="0056618D" w:rsidRDefault="002B1840" w:rsidP="00E83544">
      <w:pPr>
        <w:pStyle w:val="BodyText"/>
        <w:tabs>
          <w:tab w:val="left" w:pos="4783"/>
        </w:tabs>
        <w:spacing w:line="276" w:lineRule="auto"/>
        <w:ind w:right="48"/>
        <w:rPr>
          <w:b/>
          <w:bCs/>
          <w:sz w:val="24"/>
          <w:szCs w:val="24"/>
          <w:lang w:val="en-US"/>
        </w:rPr>
      </w:pPr>
      <w:r w:rsidRPr="0056618D">
        <w:rPr>
          <w:b/>
          <w:bCs/>
          <w:sz w:val="24"/>
          <w:szCs w:val="24"/>
          <w:lang w:val="en-US"/>
        </w:rPr>
        <w:t>Neni 8 – Fushatat informuese</w:t>
      </w:r>
    </w:p>
    <w:p w14:paraId="6842850B" w14:textId="03617AE3" w:rsidR="002B1840" w:rsidRPr="002B1840" w:rsidRDefault="002B1840" w:rsidP="00E83544">
      <w:pPr>
        <w:pStyle w:val="BodyText"/>
        <w:tabs>
          <w:tab w:val="left" w:pos="4783"/>
        </w:tabs>
        <w:spacing w:line="276" w:lineRule="auto"/>
        <w:ind w:right="48"/>
        <w:rPr>
          <w:sz w:val="24"/>
          <w:szCs w:val="24"/>
          <w:lang w:val="en-US"/>
        </w:rPr>
      </w:pPr>
      <w:r w:rsidRPr="002B1840">
        <w:rPr>
          <w:sz w:val="24"/>
          <w:szCs w:val="24"/>
          <w:lang w:val="en-US"/>
        </w:rPr>
        <w:t xml:space="preserve">Ky nen vendos detyrimin e doganave për </w:t>
      </w:r>
      <w:r w:rsidRPr="002B1840">
        <w:rPr>
          <w:bCs/>
          <w:sz w:val="24"/>
          <w:szCs w:val="24"/>
          <w:lang w:val="en-US"/>
        </w:rPr>
        <w:t>informim publik</w:t>
      </w:r>
      <w:r w:rsidRPr="002B1840">
        <w:rPr>
          <w:sz w:val="24"/>
          <w:szCs w:val="24"/>
          <w:lang w:val="en-US"/>
        </w:rPr>
        <w:t>: të sigurojnë që udhëtarët dhe subjektet që dërgojnë/marrin cash të pashoqëruar të njihen me të drejtat/detyrimet, përmes materialeve informuese të përshtatshme. Qëllimi është rritja e pajtueshmërisë vullnetare dhe ulja e shkeljeve nga mosnjohja.</w:t>
      </w:r>
    </w:p>
    <w:p w14:paraId="5AF6EBBC" w14:textId="77777777" w:rsidR="002B1840" w:rsidRPr="0056618D" w:rsidRDefault="002B1840" w:rsidP="00E83544">
      <w:pPr>
        <w:pStyle w:val="BodyText"/>
        <w:tabs>
          <w:tab w:val="left" w:pos="4783"/>
        </w:tabs>
        <w:spacing w:line="276" w:lineRule="auto"/>
        <w:ind w:right="48"/>
        <w:rPr>
          <w:b/>
          <w:bCs/>
          <w:sz w:val="24"/>
          <w:szCs w:val="24"/>
          <w:lang w:val="en-US"/>
        </w:rPr>
      </w:pPr>
      <w:r w:rsidRPr="0056618D">
        <w:rPr>
          <w:b/>
          <w:bCs/>
          <w:sz w:val="24"/>
          <w:szCs w:val="24"/>
          <w:lang w:val="en-US"/>
        </w:rPr>
        <w:t>Neni 9 – Dhënia e informacionit AIF-së</w:t>
      </w:r>
    </w:p>
    <w:p w14:paraId="4DBE64FC" w14:textId="77777777" w:rsidR="002B1840" w:rsidRPr="002B1840" w:rsidRDefault="002B1840" w:rsidP="00E83544">
      <w:pPr>
        <w:pStyle w:val="BodyText"/>
        <w:tabs>
          <w:tab w:val="left" w:pos="4783"/>
        </w:tabs>
        <w:spacing w:line="276" w:lineRule="auto"/>
        <w:ind w:right="48"/>
        <w:rPr>
          <w:sz w:val="24"/>
          <w:szCs w:val="24"/>
          <w:lang w:val="en-US"/>
        </w:rPr>
      </w:pPr>
      <w:r w:rsidRPr="002B1840">
        <w:rPr>
          <w:sz w:val="24"/>
          <w:szCs w:val="24"/>
          <w:lang w:val="en-US"/>
        </w:rPr>
        <w:t>Ky nen vendos kanalin formal të raportimit nga doganat te AIF:</w:t>
      </w:r>
    </w:p>
    <w:p w14:paraId="1C3501A6" w14:textId="77777777" w:rsidR="002B1840" w:rsidRPr="002B1840" w:rsidRDefault="002B1840" w:rsidP="004D5FC8">
      <w:pPr>
        <w:pStyle w:val="BodyText"/>
        <w:numPr>
          <w:ilvl w:val="0"/>
          <w:numId w:val="22"/>
        </w:numPr>
        <w:tabs>
          <w:tab w:val="left" w:pos="4783"/>
        </w:tabs>
        <w:spacing w:line="276" w:lineRule="auto"/>
        <w:ind w:right="48"/>
        <w:rPr>
          <w:sz w:val="24"/>
          <w:szCs w:val="24"/>
          <w:lang w:val="en-US"/>
        </w:rPr>
      </w:pPr>
      <w:r w:rsidRPr="002B1840">
        <w:rPr>
          <w:sz w:val="24"/>
          <w:szCs w:val="24"/>
          <w:lang w:val="en-US"/>
        </w:rPr>
        <w:t>Doganat regjistrojnë dhe dërgojnë në AIF informacionin e marrë sipas neneve 3, 4, 5(3) dhe 6.</w:t>
      </w:r>
    </w:p>
    <w:p w14:paraId="388CF893" w14:textId="77777777" w:rsidR="002B1840" w:rsidRPr="002B1840" w:rsidRDefault="002B1840" w:rsidP="004D5FC8">
      <w:pPr>
        <w:pStyle w:val="BodyText"/>
        <w:numPr>
          <w:ilvl w:val="0"/>
          <w:numId w:val="22"/>
        </w:numPr>
        <w:tabs>
          <w:tab w:val="left" w:pos="4783"/>
        </w:tabs>
        <w:spacing w:line="276" w:lineRule="auto"/>
        <w:ind w:right="48"/>
        <w:rPr>
          <w:sz w:val="24"/>
          <w:szCs w:val="24"/>
          <w:lang w:val="en-US"/>
        </w:rPr>
      </w:pPr>
      <w:r w:rsidRPr="002B1840">
        <w:rPr>
          <w:sz w:val="24"/>
          <w:szCs w:val="24"/>
          <w:lang w:val="en-US"/>
        </w:rPr>
        <w:t>AIF mund ta shkëmbejë këtë informacion me FIU-të homologe të vendeve të tjera, sipas rregullimit të përgjithshëm të shkëmbimit.</w:t>
      </w:r>
    </w:p>
    <w:p w14:paraId="24144689" w14:textId="3B731BE4" w:rsidR="002B1840" w:rsidRPr="0056618D" w:rsidRDefault="002B1840" w:rsidP="004D5FC8">
      <w:pPr>
        <w:pStyle w:val="BodyText"/>
        <w:numPr>
          <w:ilvl w:val="0"/>
          <w:numId w:val="22"/>
        </w:numPr>
        <w:tabs>
          <w:tab w:val="left" w:pos="4783"/>
        </w:tabs>
        <w:spacing w:line="276" w:lineRule="auto"/>
        <w:ind w:right="48"/>
        <w:rPr>
          <w:sz w:val="24"/>
          <w:szCs w:val="24"/>
          <w:lang w:val="en-US"/>
        </w:rPr>
      </w:pPr>
      <w:r w:rsidRPr="002B1840">
        <w:rPr>
          <w:sz w:val="24"/>
          <w:szCs w:val="24"/>
          <w:lang w:val="en-US"/>
        </w:rPr>
        <w:t xml:space="preserve">Afati maksimal: </w:t>
      </w:r>
      <w:r w:rsidRPr="002B1840">
        <w:rPr>
          <w:bCs/>
          <w:sz w:val="24"/>
          <w:szCs w:val="24"/>
          <w:lang w:val="en-US"/>
        </w:rPr>
        <w:t>jo më vonë se 15 ditë pune</w:t>
      </w:r>
      <w:r w:rsidRPr="002B1840">
        <w:rPr>
          <w:sz w:val="24"/>
          <w:szCs w:val="24"/>
          <w:lang w:val="en-US"/>
        </w:rPr>
        <w:t xml:space="preserve"> nga marrja e informacionit.</w:t>
      </w:r>
    </w:p>
    <w:p w14:paraId="38E2C498" w14:textId="77777777" w:rsidR="002B1840" w:rsidRPr="0056618D" w:rsidRDefault="002B1840" w:rsidP="00E83544">
      <w:pPr>
        <w:pStyle w:val="BodyText"/>
        <w:tabs>
          <w:tab w:val="left" w:pos="4783"/>
        </w:tabs>
        <w:spacing w:line="276" w:lineRule="auto"/>
        <w:ind w:right="48"/>
        <w:rPr>
          <w:b/>
          <w:bCs/>
          <w:sz w:val="24"/>
          <w:szCs w:val="24"/>
          <w:lang w:val="en-US"/>
        </w:rPr>
      </w:pPr>
      <w:r w:rsidRPr="0056618D">
        <w:rPr>
          <w:b/>
          <w:bCs/>
          <w:sz w:val="24"/>
          <w:szCs w:val="24"/>
          <w:lang w:val="en-US"/>
        </w:rPr>
        <w:t>Neni 10 – Shkëmbimi i informacionit midis autoriteteve kompetente</w:t>
      </w:r>
    </w:p>
    <w:p w14:paraId="6E9CD85A" w14:textId="77777777" w:rsidR="002B1840" w:rsidRPr="002B1840" w:rsidRDefault="002B1840" w:rsidP="00E83544">
      <w:pPr>
        <w:pStyle w:val="BodyText"/>
        <w:tabs>
          <w:tab w:val="left" w:pos="4783"/>
        </w:tabs>
        <w:spacing w:line="276" w:lineRule="auto"/>
        <w:ind w:right="48"/>
        <w:rPr>
          <w:sz w:val="24"/>
          <w:szCs w:val="24"/>
          <w:lang w:val="en-US"/>
        </w:rPr>
      </w:pPr>
      <w:r w:rsidRPr="002B1840">
        <w:rPr>
          <w:sz w:val="24"/>
          <w:szCs w:val="24"/>
          <w:lang w:val="en-US"/>
        </w:rPr>
        <w:lastRenderedPageBreak/>
        <w:t>Ky nen institucionalizon shkëmbimin elektronik të informacionit:</w:t>
      </w:r>
    </w:p>
    <w:p w14:paraId="1224EC6F" w14:textId="77777777" w:rsidR="002B1840" w:rsidRPr="002B1840" w:rsidRDefault="002B1840" w:rsidP="004D5FC8">
      <w:pPr>
        <w:pStyle w:val="BodyText"/>
        <w:numPr>
          <w:ilvl w:val="0"/>
          <w:numId w:val="23"/>
        </w:numPr>
        <w:tabs>
          <w:tab w:val="left" w:pos="4783"/>
        </w:tabs>
        <w:spacing w:line="276" w:lineRule="auto"/>
        <w:ind w:right="48"/>
        <w:rPr>
          <w:sz w:val="24"/>
          <w:szCs w:val="24"/>
          <w:lang w:val="en-US"/>
        </w:rPr>
      </w:pPr>
      <w:r w:rsidRPr="002B1840">
        <w:rPr>
          <w:sz w:val="24"/>
          <w:szCs w:val="24"/>
          <w:lang w:val="en-US"/>
        </w:rPr>
        <w:t>Përfshin: deklaratat ex officio, rastet nën prag me indicie kriminale, deklaratat ku ka tregues kriminalë, si dhe informacion anonim rreziku/rezultate analize.</w:t>
      </w:r>
    </w:p>
    <w:p w14:paraId="2D8F1BFE" w14:textId="77777777" w:rsidR="002B1840" w:rsidRPr="002B1840" w:rsidRDefault="002B1840" w:rsidP="004D5FC8">
      <w:pPr>
        <w:pStyle w:val="BodyText"/>
        <w:numPr>
          <w:ilvl w:val="0"/>
          <w:numId w:val="23"/>
        </w:numPr>
        <w:tabs>
          <w:tab w:val="left" w:pos="4783"/>
        </w:tabs>
        <w:spacing w:line="276" w:lineRule="auto"/>
        <w:ind w:right="48"/>
        <w:rPr>
          <w:sz w:val="24"/>
          <w:szCs w:val="24"/>
          <w:lang w:val="en-US"/>
        </w:rPr>
      </w:pPr>
      <w:r w:rsidRPr="002B1840">
        <w:rPr>
          <w:sz w:val="24"/>
          <w:szCs w:val="24"/>
          <w:lang w:val="en-US"/>
        </w:rPr>
        <w:t xml:space="preserve">Kur ka indicie që mund të cenojnë interesat financiare të Shqipërisë, informacioni i dërgohet edhe </w:t>
      </w:r>
      <w:r w:rsidRPr="002B1840">
        <w:rPr>
          <w:bCs/>
          <w:sz w:val="24"/>
          <w:szCs w:val="24"/>
          <w:lang w:val="en-US"/>
        </w:rPr>
        <w:t>Prokurorisë</w:t>
      </w:r>
      <w:r w:rsidRPr="002B1840">
        <w:rPr>
          <w:sz w:val="24"/>
          <w:szCs w:val="24"/>
          <w:lang w:val="en-US"/>
        </w:rPr>
        <w:t>.</w:t>
      </w:r>
    </w:p>
    <w:p w14:paraId="19A920F7" w14:textId="7177A10F" w:rsidR="002B1840" w:rsidRPr="0056618D" w:rsidRDefault="002B1840" w:rsidP="004D5FC8">
      <w:pPr>
        <w:pStyle w:val="BodyText"/>
        <w:numPr>
          <w:ilvl w:val="0"/>
          <w:numId w:val="23"/>
        </w:numPr>
        <w:tabs>
          <w:tab w:val="left" w:pos="4783"/>
        </w:tabs>
        <w:spacing w:line="276" w:lineRule="auto"/>
        <w:ind w:right="48"/>
        <w:rPr>
          <w:sz w:val="24"/>
          <w:szCs w:val="24"/>
          <w:lang w:val="en-US"/>
        </w:rPr>
      </w:pPr>
      <w:r w:rsidRPr="002B1840">
        <w:rPr>
          <w:sz w:val="24"/>
          <w:szCs w:val="24"/>
          <w:lang w:val="en-US"/>
        </w:rPr>
        <w:t xml:space="preserve">Afati: jo më vonë se </w:t>
      </w:r>
      <w:r w:rsidRPr="002B1840">
        <w:rPr>
          <w:bCs/>
          <w:sz w:val="24"/>
          <w:szCs w:val="24"/>
          <w:lang w:val="en-US"/>
        </w:rPr>
        <w:t>15 ditë pune</w:t>
      </w:r>
      <w:r w:rsidRPr="002B1840">
        <w:rPr>
          <w:sz w:val="24"/>
          <w:szCs w:val="24"/>
          <w:lang w:val="en-US"/>
        </w:rPr>
        <w:t xml:space="preserve"> për informacionin operacional; informacioni anonim rreziku çdo </w:t>
      </w:r>
      <w:r w:rsidRPr="002B1840">
        <w:rPr>
          <w:bCs/>
          <w:sz w:val="24"/>
          <w:szCs w:val="24"/>
          <w:lang w:val="en-US"/>
        </w:rPr>
        <w:t>6 muaj</w:t>
      </w:r>
      <w:r w:rsidRPr="002B1840">
        <w:rPr>
          <w:sz w:val="24"/>
          <w:szCs w:val="24"/>
          <w:lang w:val="en-US"/>
        </w:rPr>
        <w:t>.</w:t>
      </w:r>
    </w:p>
    <w:p w14:paraId="0862582F" w14:textId="77777777" w:rsidR="002B1840" w:rsidRPr="0056618D" w:rsidRDefault="002B1840" w:rsidP="00E83544">
      <w:pPr>
        <w:pStyle w:val="BodyText"/>
        <w:tabs>
          <w:tab w:val="left" w:pos="4783"/>
        </w:tabs>
        <w:spacing w:line="276" w:lineRule="auto"/>
        <w:ind w:right="48"/>
        <w:rPr>
          <w:b/>
          <w:bCs/>
          <w:sz w:val="24"/>
          <w:szCs w:val="24"/>
          <w:lang w:val="en-US"/>
        </w:rPr>
      </w:pPr>
      <w:r w:rsidRPr="0056618D">
        <w:rPr>
          <w:b/>
          <w:bCs/>
          <w:sz w:val="24"/>
          <w:szCs w:val="24"/>
          <w:lang w:val="en-US"/>
        </w:rPr>
        <w:t>Neni 11 – Shkëmbimi i informacionit me vendet e tjera</w:t>
      </w:r>
    </w:p>
    <w:p w14:paraId="3FDDBC3F" w14:textId="77777777" w:rsidR="002B1840" w:rsidRPr="002B1840" w:rsidRDefault="002B1840" w:rsidP="00E83544">
      <w:pPr>
        <w:pStyle w:val="BodyText"/>
        <w:tabs>
          <w:tab w:val="left" w:pos="4783"/>
        </w:tabs>
        <w:spacing w:line="276" w:lineRule="auto"/>
        <w:ind w:right="48"/>
        <w:rPr>
          <w:sz w:val="24"/>
          <w:szCs w:val="24"/>
          <w:lang w:val="en-US"/>
        </w:rPr>
      </w:pPr>
      <w:r w:rsidRPr="002B1840">
        <w:rPr>
          <w:sz w:val="24"/>
          <w:szCs w:val="24"/>
          <w:lang w:val="en-US"/>
        </w:rPr>
        <w:t>Ky nen parashikon mundësinë e transmetimit të informacionit jashtë vendit, brenda marrëveshjeve të ndihmës administrative:</w:t>
      </w:r>
    </w:p>
    <w:p w14:paraId="388B8711" w14:textId="77777777" w:rsidR="002B1840" w:rsidRPr="002B1840" w:rsidRDefault="002B1840" w:rsidP="004D5FC8">
      <w:pPr>
        <w:pStyle w:val="BodyText"/>
        <w:numPr>
          <w:ilvl w:val="0"/>
          <w:numId w:val="24"/>
        </w:numPr>
        <w:tabs>
          <w:tab w:val="left" w:pos="4783"/>
        </w:tabs>
        <w:spacing w:line="276" w:lineRule="auto"/>
        <w:ind w:right="48"/>
        <w:rPr>
          <w:sz w:val="24"/>
          <w:szCs w:val="24"/>
          <w:lang w:val="en-US"/>
        </w:rPr>
      </w:pPr>
      <w:r w:rsidRPr="002B1840">
        <w:rPr>
          <w:sz w:val="24"/>
          <w:szCs w:val="24"/>
          <w:lang w:val="en-US"/>
        </w:rPr>
        <w:t xml:space="preserve">Kërkohet </w:t>
      </w:r>
      <w:r w:rsidRPr="002B1840">
        <w:rPr>
          <w:bCs/>
          <w:sz w:val="24"/>
          <w:szCs w:val="24"/>
          <w:lang w:val="en-US"/>
        </w:rPr>
        <w:t>autorizim me shkrim</w:t>
      </w:r>
      <w:r w:rsidRPr="002B1840">
        <w:rPr>
          <w:sz w:val="24"/>
          <w:szCs w:val="24"/>
          <w:lang w:val="en-US"/>
        </w:rPr>
        <w:t xml:space="preserve"> nga autoriteti që e ka marrë fillimisht informacionin.</w:t>
      </w:r>
    </w:p>
    <w:p w14:paraId="5BC96A45" w14:textId="77777777" w:rsidR="002B1840" w:rsidRPr="002B1840" w:rsidRDefault="002B1840" w:rsidP="004D5FC8">
      <w:pPr>
        <w:pStyle w:val="BodyText"/>
        <w:numPr>
          <w:ilvl w:val="0"/>
          <w:numId w:val="24"/>
        </w:numPr>
        <w:tabs>
          <w:tab w:val="left" w:pos="4783"/>
        </w:tabs>
        <w:spacing w:line="276" w:lineRule="auto"/>
        <w:ind w:right="48"/>
        <w:rPr>
          <w:sz w:val="24"/>
          <w:szCs w:val="24"/>
          <w:lang w:val="en-US"/>
        </w:rPr>
      </w:pPr>
      <w:r w:rsidRPr="002B1840">
        <w:rPr>
          <w:sz w:val="24"/>
          <w:szCs w:val="24"/>
          <w:lang w:val="en-US"/>
        </w:rPr>
        <w:t>Duhet të respektohen rregullat e dërgimit të të dhënave personale jashtë vendit.</w:t>
      </w:r>
    </w:p>
    <w:p w14:paraId="4020120E" w14:textId="5188B45D" w:rsidR="0075341D" w:rsidRPr="00446493" w:rsidRDefault="002B1840" w:rsidP="004D5FC8">
      <w:pPr>
        <w:pStyle w:val="BodyText"/>
        <w:numPr>
          <w:ilvl w:val="0"/>
          <w:numId w:val="24"/>
        </w:numPr>
        <w:tabs>
          <w:tab w:val="left" w:pos="4783"/>
        </w:tabs>
        <w:spacing w:line="276" w:lineRule="auto"/>
        <w:ind w:right="48"/>
        <w:rPr>
          <w:sz w:val="24"/>
          <w:szCs w:val="24"/>
          <w:lang w:val="en-US"/>
        </w:rPr>
      </w:pPr>
      <w:r w:rsidRPr="002B1840">
        <w:rPr>
          <w:sz w:val="24"/>
          <w:szCs w:val="24"/>
          <w:lang w:val="en-US"/>
        </w:rPr>
        <w:t>Komisioneri për Mbrojtjen e të Dhënave njoftohet për çdo transmetim.</w:t>
      </w:r>
    </w:p>
    <w:p w14:paraId="2EDF5E6E" w14:textId="0158A0DE" w:rsidR="002B1840" w:rsidRPr="0056618D" w:rsidRDefault="002B1840" w:rsidP="00E83544">
      <w:pPr>
        <w:pStyle w:val="BodyText"/>
        <w:tabs>
          <w:tab w:val="left" w:pos="4783"/>
        </w:tabs>
        <w:spacing w:line="276" w:lineRule="auto"/>
        <w:ind w:right="48"/>
        <w:rPr>
          <w:b/>
          <w:bCs/>
          <w:sz w:val="24"/>
          <w:szCs w:val="24"/>
          <w:lang w:val="en-US"/>
        </w:rPr>
      </w:pPr>
      <w:r w:rsidRPr="0056618D">
        <w:rPr>
          <w:b/>
          <w:bCs/>
          <w:sz w:val="24"/>
          <w:szCs w:val="24"/>
          <w:lang w:val="en-US"/>
        </w:rPr>
        <w:t>Neni 12 – Sekreti profesional, konfidencialiteti dhe mbrojtja e të dhënave</w:t>
      </w:r>
    </w:p>
    <w:p w14:paraId="4A3677C1" w14:textId="77777777" w:rsidR="002B1840" w:rsidRPr="002B1840" w:rsidRDefault="002B1840" w:rsidP="00E83544">
      <w:pPr>
        <w:pStyle w:val="BodyText"/>
        <w:tabs>
          <w:tab w:val="left" w:pos="4783"/>
        </w:tabs>
        <w:spacing w:line="276" w:lineRule="auto"/>
        <w:ind w:right="48"/>
        <w:rPr>
          <w:sz w:val="24"/>
          <w:szCs w:val="24"/>
          <w:lang w:val="en-US"/>
        </w:rPr>
      </w:pPr>
      <w:r w:rsidRPr="002B1840">
        <w:rPr>
          <w:sz w:val="24"/>
          <w:szCs w:val="24"/>
          <w:lang w:val="en-US"/>
        </w:rPr>
        <w:t>Ky nen sanksionon detyrimin për:</w:t>
      </w:r>
    </w:p>
    <w:p w14:paraId="269D0021" w14:textId="77777777" w:rsidR="002B1840" w:rsidRPr="002B1840" w:rsidRDefault="002B1840" w:rsidP="004D5FC8">
      <w:pPr>
        <w:pStyle w:val="BodyText"/>
        <w:numPr>
          <w:ilvl w:val="0"/>
          <w:numId w:val="25"/>
        </w:numPr>
        <w:tabs>
          <w:tab w:val="left" w:pos="4783"/>
        </w:tabs>
        <w:spacing w:line="276" w:lineRule="auto"/>
        <w:ind w:right="48"/>
        <w:rPr>
          <w:sz w:val="24"/>
          <w:szCs w:val="24"/>
          <w:lang w:val="en-US"/>
        </w:rPr>
      </w:pPr>
      <w:r w:rsidRPr="002B1840">
        <w:rPr>
          <w:sz w:val="24"/>
          <w:szCs w:val="24"/>
          <w:lang w:val="en-US"/>
        </w:rPr>
        <w:t>mbrojtje të të dhënave të marra nga doganat; dhe</w:t>
      </w:r>
    </w:p>
    <w:p w14:paraId="4DD3E3A7" w14:textId="66EA5901" w:rsidR="002B1840" w:rsidRPr="0056618D" w:rsidRDefault="002B1840" w:rsidP="004D5FC8">
      <w:pPr>
        <w:pStyle w:val="BodyText"/>
        <w:numPr>
          <w:ilvl w:val="0"/>
          <w:numId w:val="25"/>
        </w:numPr>
        <w:tabs>
          <w:tab w:val="left" w:pos="4783"/>
        </w:tabs>
        <w:spacing w:line="276" w:lineRule="auto"/>
        <w:ind w:right="48"/>
        <w:rPr>
          <w:sz w:val="24"/>
          <w:szCs w:val="24"/>
          <w:lang w:val="en-US"/>
        </w:rPr>
      </w:pPr>
      <w:r w:rsidRPr="002B1840">
        <w:rPr>
          <w:sz w:val="24"/>
          <w:szCs w:val="24"/>
          <w:lang w:val="en-US"/>
        </w:rPr>
        <w:t xml:space="preserve">zbatim të </w:t>
      </w:r>
      <w:r w:rsidRPr="002B1840">
        <w:rPr>
          <w:bCs/>
          <w:sz w:val="24"/>
          <w:szCs w:val="24"/>
          <w:lang w:val="en-US"/>
        </w:rPr>
        <w:t>sekretit profesional</w:t>
      </w:r>
      <w:r w:rsidRPr="002B1840">
        <w:rPr>
          <w:sz w:val="24"/>
          <w:szCs w:val="24"/>
          <w:lang w:val="en-US"/>
        </w:rPr>
        <w:t xml:space="preserve"> për informacionin që qarkullon ndër autoritete kompetente.</w:t>
      </w:r>
    </w:p>
    <w:p w14:paraId="54D16E49" w14:textId="77777777" w:rsidR="002B1840" w:rsidRPr="0056618D" w:rsidRDefault="002B1840" w:rsidP="00E83544">
      <w:pPr>
        <w:pStyle w:val="BodyText"/>
        <w:tabs>
          <w:tab w:val="left" w:pos="4783"/>
        </w:tabs>
        <w:spacing w:line="276" w:lineRule="auto"/>
        <w:ind w:right="48"/>
        <w:rPr>
          <w:b/>
          <w:bCs/>
          <w:sz w:val="24"/>
          <w:szCs w:val="24"/>
          <w:lang w:val="en-US"/>
        </w:rPr>
      </w:pPr>
      <w:r w:rsidRPr="0056618D">
        <w:rPr>
          <w:b/>
          <w:bCs/>
          <w:sz w:val="24"/>
          <w:szCs w:val="24"/>
          <w:lang w:val="en-US"/>
        </w:rPr>
        <w:t>Neni 13 – Mbrojtja e të dhënave personale dhe periudha e ruajtjes</w:t>
      </w:r>
    </w:p>
    <w:p w14:paraId="0180C096" w14:textId="77777777" w:rsidR="002B1840" w:rsidRPr="002B1840" w:rsidRDefault="002B1840" w:rsidP="00E83544">
      <w:pPr>
        <w:pStyle w:val="BodyText"/>
        <w:tabs>
          <w:tab w:val="left" w:pos="4783"/>
        </w:tabs>
        <w:spacing w:line="276" w:lineRule="auto"/>
        <w:ind w:right="48"/>
        <w:rPr>
          <w:sz w:val="24"/>
          <w:szCs w:val="24"/>
          <w:lang w:val="en-US"/>
        </w:rPr>
      </w:pPr>
      <w:r w:rsidRPr="002B1840">
        <w:rPr>
          <w:sz w:val="24"/>
          <w:szCs w:val="24"/>
          <w:lang w:val="en-US"/>
        </w:rPr>
        <w:t>Ky nen strukturohet si regjim i plotë i mbrojtjes së të dhënave:</w:t>
      </w:r>
    </w:p>
    <w:p w14:paraId="4368FAB5" w14:textId="77777777" w:rsidR="002B1840" w:rsidRPr="002B1840" w:rsidRDefault="002B1840" w:rsidP="004D5FC8">
      <w:pPr>
        <w:pStyle w:val="BodyText"/>
        <w:numPr>
          <w:ilvl w:val="0"/>
          <w:numId w:val="26"/>
        </w:numPr>
        <w:tabs>
          <w:tab w:val="left" w:pos="4783"/>
        </w:tabs>
        <w:spacing w:line="276" w:lineRule="auto"/>
        <w:ind w:right="48"/>
        <w:rPr>
          <w:sz w:val="24"/>
          <w:szCs w:val="24"/>
          <w:lang w:val="en-US"/>
        </w:rPr>
      </w:pPr>
      <w:r w:rsidRPr="002B1840">
        <w:rPr>
          <w:sz w:val="24"/>
          <w:szCs w:val="24"/>
          <w:lang w:val="en-US"/>
        </w:rPr>
        <w:t xml:space="preserve">Autoritetet kompetente janë </w:t>
      </w:r>
      <w:r w:rsidRPr="002B1840">
        <w:rPr>
          <w:bCs/>
          <w:sz w:val="24"/>
          <w:szCs w:val="24"/>
          <w:lang w:val="en-US"/>
        </w:rPr>
        <w:t>kontrollues</w:t>
      </w:r>
      <w:r w:rsidRPr="002B1840">
        <w:rPr>
          <w:sz w:val="24"/>
          <w:szCs w:val="24"/>
          <w:lang w:val="en-US"/>
        </w:rPr>
        <w:t xml:space="preserve"> të të dhënave.</w:t>
      </w:r>
    </w:p>
    <w:p w14:paraId="2D66BEC8" w14:textId="77777777" w:rsidR="002B1840" w:rsidRPr="002B1840" w:rsidRDefault="002B1840" w:rsidP="004D5FC8">
      <w:pPr>
        <w:pStyle w:val="BodyText"/>
        <w:numPr>
          <w:ilvl w:val="0"/>
          <w:numId w:val="26"/>
        </w:numPr>
        <w:tabs>
          <w:tab w:val="left" w:pos="4783"/>
        </w:tabs>
        <w:spacing w:line="276" w:lineRule="auto"/>
        <w:ind w:right="48"/>
        <w:rPr>
          <w:sz w:val="24"/>
          <w:szCs w:val="24"/>
          <w:lang w:val="en-US"/>
        </w:rPr>
      </w:pPr>
      <w:r w:rsidRPr="002B1840">
        <w:rPr>
          <w:sz w:val="24"/>
          <w:szCs w:val="24"/>
          <w:lang w:val="en-US"/>
        </w:rPr>
        <w:t>Përpunimi vetëm për qëllime të parandalimit/luftës kundër aktiviteteve kriminale.</w:t>
      </w:r>
    </w:p>
    <w:p w14:paraId="59B1D978" w14:textId="77777777" w:rsidR="002B1840" w:rsidRPr="002B1840" w:rsidRDefault="002B1840" w:rsidP="004D5FC8">
      <w:pPr>
        <w:pStyle w:val="BodyText"/>
        <w:numPr>
          <w:ilvl w:val="0"/>
          <w:numId w:val="26"/>
        </w:numPr>
        <w:tabs>
          <w:tab w:val="left" w:pos="4783"/>
        </w:tabs>
        <w:spacing w:line="276" w:lineRule="auto"/>
        <w:ind w:right="48"/>
        <w:rPr>
          <w:sz w:val="24"/>
          <w:szCs w:val="24"/>
          <w:lang w:val="en-US"/>
        </w:rPr>
      </w:pPr>
      <w:r w:rsidRPr="002B1840">
        <w:rPr>
          <w:sz w:val="24"/>
          <w:szCs w:val="24"/>
          <w:lang w:val="en-US"/>
        </w:rPr>
        <w:t>Akses i kufizuar për personel të autorizuar; ndalim i shpërndarjes pa autorizim, përveç kur kërkohet nga ligji/procedimet.</w:t>
      </w:r>
    </w:p>
    <w:p w14:paraId="16F0B021" w14:textId="77777777" w:rsidR="002B1840" w:rsidRPr="002B1840" w:rsidRDefault="002B1840" w:rsidP="004D5FC8">
      <w:pPr>
        <w:pStyle w:val="BodyText"/>
        <w:numPr>
          <w:ilvl w:val="0"/>
          <w:numId w:val="26"/>
        </w:numPr>
        <w:tabs>
          <w:tab w:val="left" w:pos="4783"/>
        </w:tabs>
        <w:spacing w:line="276" w:lineRule="auto"/>
        <w:ind w:right="48"/>
        <w:rPr>
          <w:sz w:val="24"/>
          <w:szCs w:val="24"/>
          <w:lang w:val="en-US"/>
        </w:rPr>
      </w:pPr>
      <w:r w:rsidRPr="002B1840">
        <w:rPr>
          <w:sz w:val="24"/>
          <w:szCs w:val="24"/>
          <w:lang w:val="en-US"/>
        </w:rPr>
        <w:t xml:space="preserve">Ruajtja: </w:t>
      </w:r>
      <w:r w:rsidRPr="002B1840">
        <w:rPr>
          <w:bCs/>
          <w:sz w:val="24"/>
          <w:szCs w:val="24"/>
          <w:lang w:val="en-US"/>
        </w:rPr>
        <w:t>5 vjet</w:t>
      </w:r>
      <w:r w:rsidRPr="002B1840">
        <w:rPr>
          <w:sz w:val="24"/>
          <w:szCs w:val="24"/>
          <w:lang w:val="en-US"/>
        </w:rPr>
        <w:t>, me fshirje pas përfundimit të afatit.</w:t>
      </w:r>
    </w:p>
    <w:p w14:paraId="1756C0B8" w14:textId="787FF41D" w:rsidR="002B1840" w:rsidRPr="0056618D" w:rsidRDefault="002B1840" w:rsidP="004D5FC8">
      <w:pPr>
        <w:pStyle w:val="BodyText"/>
        <w:numPr>
          <w:ilvl w:val="0"/>
          <w:numId w:val="26"/>
        </w:numPr>
        <w:tabs>
          <w:tab w:val="left" w:pos="4783"/>
        </w:tabs>
        <w:spacing w:line="276" w:lineRule="auto"/>
        <w:ind w:right="48"/>
        <w:rPr>
          <w:sz w:val="24"/>
          <w:szCs w:val="24"/>
          <w:lang w:val="en-US"/>
        </w:rPr>
      </w:pPr>
      <w:r w:rsidRPr="002B1840">
        <w:rPr>
          <w:sz w:val="24"/>
          <w:szCs w:val="24"/>
          <w:lang w:val="en-US"/>
        </w:rPr>
        <w:t xml:space="preserve">Zgjatje një herë deri në </w:t>
      </w:r>
      <w:r w:rsidRPr="002B1840">
        <w:rPr>
          <w:bCs/>
          <w:sz w:val="24"/>
          <w:szCs w:val="24"/>
          <w:lang w:val="en-US"/>
        </w:rPr>
        <w:t>3 vjet shtesë</w:t>
      </w:r>
      <w:r w:rsidRPr="002B1840">
        <w:rPr>
          <w:sz w:val="24"/>
          <w:szCs w:val="24"/>
          <w:lang w:val="en-US"/>
        </w:rPr>
        <w:t xml:space="preserve"> vetëm pas vlerësimit të nevojës/proporcionalitetit nga AIF ose autoritetet kompetente (sipas funksioneve të tyre).</w:t>
      </w:r>
    </w:p>
    <w:p w14:paraId="762C172D" w14:textId="77777777" w:rsidR="002B1840" w:rsidRPr="0056618D" w:rsidRDefault="002B1840" w:rsidP="00E83544">
      <w:pPr>
        <w:pStyle w:val="BodyText"/>
        <w:tabs>
          <w:tab w:val="left" w:pos="4783"/>
        </w:tabs>
        <w:spacing w:line="276" w:lineRule="auto"/>
        <w:ind w:right="48"/>
        <w:rPr>
          <w:b/>
          <w:bCs/>
          <w:sz w:val="24"/>
          <w:szCs w:val="24"/>
          <w:lang w:val="en-US"/>
        </w:rPr>
      </w:pPr>
      <w:r w:rsidRPr="0056618D">
        <w:rPr>
          <w:b/>
          <w:bCs/>
          <w:sz w:val="24"/>
          <w:szCs w:val="24"/>
          <w:lang w:val="en-US"/>
        </w:rPr>
        <w:t>Neni 14 – Penalitetet</w:t>
      </w:r>
    </w:p>
    <w:p w14:paraId="14820C5E" w14:textId="77777777" w:rsidR="002B1840" w:rsidRPr="002B1840" w:rsidRDefault="002B1840" w:rsidP="00E83544">
      <w:pPr>
        <w:pStyle w:val="BodyText"/>
        <w:tabs>
          <w:tab w:val="left" w:pos="4783"/>
        </w:tabs>
        <w:spacing w:line="276" w:lineRule="auto"/>
        <w:ind w:right="48"/>
        <w:rPr>
          <w:sz w:val="24"/>
          <w:szCs w:val="24"/>
          <w:lang w:val="en-US"/>
        </w:rPr>
      </w:pPr>
      <w:r w:rsidRPr="002B1840">
        <w:rPr>
          <w:sz w:val="24"/>
          <w:szCs w:val="24"/>
          <w:lang w:val="en-US"/>
        </w:rPr>
        <w:t>Ky nen vendos regjimin sanksionues administrativ për mosdeklarim:</w:t>
      </w:r>
    </w:p>
    <w:p w14:paraId="5C211EBB" w14:textId="77777777" w:rsidR="002B1840" w:rsidRPr="002B1840" w:rsidRDefault="002B1840" w:rsidP="004D5FC8">
      <w:pPr>
        <w:pStyle w:val="BodyText"/>
        <w:numPr>
          <w:ilvl w:val="0"/>
          <w:numId w:val="27"/>
        </w:numPr>
        <w:tabs>
          <w:tab w:val="left" w:pos="4783"/>
        </w:tabs>
        <w:spacing w:line="276" w:lineRule="auto"/>
        <w:ind w:right="48"/>
        <w:rPr>
          <w:sz w:val="24"/>
          <w:szCs w:val="24"/>
          <w:lang w:val="en-US"/>
        </w:rPr>
      </w:pPr>
      <w:r w:rsidRPr="002B1840">
        <w:rPr>
          <w:sz w:val="24"/>
          <w:szCs w:val="24"/>
          <w:lang w:val="en-US"/>
        </w:rPr>
        <w:t>Gjobë administrative efektive, proporcionale dhe dekurajuese.</w:t>
      </w:r>
    </w:p>
    <w:p w14:paraId="7DA4C8B1" w14:textId="77777777" w:rsidR="002B1840" w:rsidRPr="002B1840" w:rsidRDefault="002B1840" w:rsidP="004D5FC8">
      <w:pPr>
        <w:pStyle w:val="BodyText"/>
        <w:numPr>
          <w:ilvl w:val="0"/>
          <w:numId w:val="27"/>
        </w:numPr>
        <w:tabs>
          <w:tab w:val="left" w:pos="4783"/>
        </w:tabs>
        <w:spacing w:line="276" w:lineRule="auto"/>
        <w:ind w:right="48"/>
        <w:rPr>
          <w:sz w:val="24"/>
          <w:szCs w:val="24"/>
          <w:lang w:val="en-US"/>
        </w:rPr>
      </w:pPr>
      <w:r w:rsidRPr="002B1840">
        <w:rPr>
          <w:sz w:val="24"/>
          <w:szCs w:val="24"/>
          <w:lang w:val="en-US"/>
        </w:rPr>
        <w:t xml:space="preserve">Mekanizëm shkallëzimi: përqindje mbi shumën </w:t>
      </w:r>
      <w:r w:rsidRPr="002B1840">
        <w:rPr>
          <w:bCs/>
          <w:sz w:val="24"/>
          <w:szCs w:val="24"/>
          <w:lang w:val="en-US"/>
        </w:rPr>
        <w:t>mbi 10 000 euro</w:t>
      </w:r>
      <w:r w:rsidRPr="002B1840">
        <w:rPr>
          <w:sz w:val="24"/>
          <w:szCs w:val="24"/>
          <w:lang w:val="en-US"/>
        </w:rPr>
        <w:t>, sipas intervaleve (deri 20k; 20–50k; mbi 50k), me minimum 500 euro në rastin e parë.</w:t>
      </w:r>
    </w:p>
    <w:p w14:paraId="35B4298F" w14:textId="77777777" w:rsidR="002B1840" w:rsidRPr="002B1840" w:rsidRDefault="002B1840" w:rsidP="004D5FC8">
      <w:pPr>
        <w:pStyle w:val="BodyText"/>
        <w:numPr>
          <w:ilvl w:val="0"/>
          <w:numId w:val="27"/>
        </w:numPr>
        <w:tabs>
          <w:tab w:val="left" w:pos="4783"/>
        </w:tabs>
        <w:spacing w:line="276" w:lineRule="auto"/>
        <w:ind w:right="48"/>
        <w:rPr>
          <w:sz w:val="24"/>
          <w:szCs w:val="24"/>
          <w:lang w:val="en-US"/>
        </w:rPr>
      </w:pPr>
      <w:r w:rsidRPr="002B1840">
        <w:rPr>
          <w:sz w:val="24"/>
          <w:szCs w:val="24"/>
          <w:lang w:val="en-US"/>
        </w:rPr>
        <w:t>Kur cash nuk është i ndashëm, dogana mban një shumë “të përafërt” për të siguruar ekzekutimin e gjobës.</w:t>
      </w:r>
    </w:p>
    <w:p w14:paraId="5BAB2525" w14:textId="77777777" w:rsidR="002B1840" w:rsidRPr="002B1840" w:rsidRDefault="002B1840" w:rsidP="004D5FC8">
      <w:pPr>
        <w:pStyle w:val="BodyText"/>
        <w:numPr>
          <w:ilvl w:val="0"/>
          <w:numId w:val="27"/>
        </w:numPr>
        <w:tabs>
          <w:tab w:val="left" w:pos="4783"/>
        </w:tabs>
        <w:spacing w:line="276" w:lineRule="auto"/>
        <w:ind w:right="48"/>
        <w:rPr>
          <w:sz w:val="24"/>
          <w:szCs w:val="24"/>
          <w:lang w:val="en-US"/>
        </w:rPr>
      </w:pPr>
      <w:r w:rsidRPr="002B1840">
        <w:rPr>
          <w:sz w:val="24"/>
          <w:szCs w:val="24"/>
          <w:lang w:val="en-US"/>
        </w:rPr>
        <w:t xml:space="preserve">Nëse dyshohet vepër penale (PP/FT), kallëzimi penal me dosjen i përcillet autoriteteve gjyqësore brenda </w:t>
      </w:r>
      <w:r w:rsidRPr="002B1840">
        <w:rPr>
          <w:bCs/>
          <w:sz w:val="24"/>
          <w:szCs w:val="24"/>
          <w:lang w:val="en-US"/>
        </w:rPr>
        <w:t>72 orëve</w:t>
      </w:r>
      <w:r w:rsidRPr="002B1840">
        <w:rPr>
          <w:sz w:val="24"/>
          <w:szCs w:val="24"/>
          <w:lang w:val="en-US"/>
        </w:rPr>
        <w:t>; bashkëlidhet edhe vendimi për sanksionin administrativ.</w:t>
      </w:r>
    </w:p>
    <w:p w14:paraId="1BF3A8A1" w14:textId="32C19A4B" w:rsidR="002B1840" w:rsidRPr="0056618D" w:rsidRDefault="002B1840" w:rsidP="004D5FC8">
      <w:pPr>
        <w:pStyle w:val="BodyText"/>
        <w:numPr>
          <w:ilvl w:val="0"/>
          <w:numId w:val="27"/>
        </w:numPr>
        <w:tabs>
          <w:tab w:val="left" w:pos="4783"/>
        </w:tabs>
        <w:spacing w:line="276" w:lineRule="auto"/>
        <w:ind w:right="48"/>
        <w:rPr>
          <w:sz w:val="24"/>
          <w:szCs w:val="24"/>
          <w:lang w:val="en-US"/>
        </w:rPr>
      </w:pPr>
      <w:r w:rsidRPr="002B1840">
        <w:rPr>
          <w:sz w:val="24"/>
          <w:szCs w:val="24"/>
          <w:lang w:val="en-US"/>
        </w:rPr>
        <w:t>Këshilli i Ministrave nxjerr rregulla të hollësishme për zbatimin.</w:t>
      </w:r>
    </w:p>
    <w:p w14:paraId="6D98F6DC" w14:textId="77777777" w:rsidR="002B1840" w:rsidRPr="0056618D" w:rsidRDefault="002B1840" w:rsidP="00E83544">
      <w:pPr>
        <w:pStyle w:val="BodyText"/>
        <w:tabs>
          <w:tab w:val="left" w:pos="4783"/>
        </w:tabs>
        <w:spacing w:line="276" w:lineRule="auto"/>
        <w:ind w:right="48"/>
        <w:rPr>
          <w:b/>
          <w:bCs/>
          <w:sz w:val="24"/>
          <w:szCs w:val="24"/>
          <w:lang w:val="en-US"/>
        </w:rPr>
      </w:pPr>
      <w:r w:rsidRPr="0056618D">
        <w:rPr>
          <w:b/>
          <w:bCs/>
          <w:sz w:val="24"/>
          <w:szCs w:val="24"/>
          <w:lang w:val="en-US"/>
        </w:rPr>
        <w:t>Neni 15 – Mallrat ruajtës vlere me likuiditet të lartë dhe kartat e parapaguara</w:t>
      </w:r>
    </w:p>
    <w:p w14:paraId="204355FA" w14:textId="77777777" w:rsidR="002B1840" w:rsidRPr="002B1840" w:rsidRDefault="002B1840" w:rsidP="00E83544">
      <w:pPr>
        <w:pStyle w:val="BodyText"/>
        <w:tabs>
          <w:tab w:val="left" w:pos="4783"/>
        </w:tabs>
        <w:spacing w:line="276" w:lineRule="auto"/>
        <w:ind w:right="48"/>
        <w:rPr>
          <w:sz w:val="24"/>
          <w:szCs w:val="24"/>
          <w:lang w:val="en-US"/>
        </w:rPr>
      </w:pPr>
      <w:r w:rsidRPr="002B1840">
        <w:rPr>
          <w:sz w:val="24"/>
          <w:szCs w:val="24"/>
          <w:lang w:val="en-US"/>
        </w:rPr>
        <w:t xml:space="preserve">Ky nen lidh përkufizimin e “cash” me </w:t>
      </w:r>
      <w:r w:rsidRPr="002B1840">
        <w:rPr>
          <w:bCs/>
          <w:sz w:val="24"/>
          <w:szCs w:val="24"/>
          <w:lang w:val="en-US"/>
        </w:rPr>
        <w:t>Shtojcën I</w:t>
      </w:r>
      <w:r w:rsidRPr="002B1840">
        <w:rPr>
          <w:sz w:val="24"/>
          <w:szCs w:val="24"/>
          <w:lang w:val="en-US"/>
        </w:rPr>
        <w:t>:</w:t>
      </w:r>
    </w:p>
    <w:p w14:paraId="52461BA1" w14:textId="77777777" w:rsidR="002B1840" w:rsidRPr="002B1840" w:rsidRDefault="002B1840" w:rsidP="004D5FC8">
      <w:pPr>
        <w:pStyle w:val="BodyText"/>
        <w:numPr>
          <w:ilvl w:val="0"/>
          <w:numId w:val="28"/>
        </w:numPr>
        <w:tabs>
          <w:tab w:val="left" w:pos="4783"/>
        </w:tabs>
        <w:spacing w:line="276" w:lineRule="auto"/>
        <w:ind w:right="48"/>
        <w:rPr>
          <w:sz w:val="24"/>
          <w:szCs w:val="24"/>
          <w:lang w:val="en-US"/>
        </w:rPr>
      </w:pPr>
      <w:r w:rsidRPr="002B1840">
        <w:rPr>
          <w:sz w:val="24"/>
          <w:szCs w:val="24"/>
          <w:lang w:val="en-US"/>
        </w:rPr>
        <w:t>Përcakton se cilat mallra/karte konsiderohen cash sipas Shtojcës I.</w:t>
      </w:r>
    </w:p>
    <w:p w14:paraId="76D4B3B5" w14:textId="5161F70F" w:rsidR="002B1840" w:rsidRPr="0056618D" w:rsidRDefault="002B1840" w:rsidP="004D5FC8">
      <w:pPr>
        <w:pStyle w:val="BodyText"/>
        <w:numPr>
          <w:ilvl w:val="0"/>
          <w:numId w:val="28"/>
        </w:numPr>
        <w:tabs>
          <w:tab w:val="left" w:pos="4783"/>
        </w:tabs>
        <w:spacing w:line="276" w:lineRule="auto"/>
        <w:ind w:right="48"/>
        <w:rPr>
          <w:sz w:val="24"/>
          <w:szCs w:val="24"/>
          <w:lang w:val="en-US"/>
        </w:rPr>
      </w:pPr>
      <w:r w:rsidRPr="002B1840">
        <w:rPr>
          <w:sz w:val="24"/>
          <w:szCs w:val="24"/>
          <w:lang w:val="en-US"/>
        </w:rPr>
        <w:t xml:space="preserve">Parashikon mekanizëm për </w:t>
      </w:r>
      <w:r w:rsidRPr="002B1840">
        <w:rPr>
          <w:bCs/>
          <w:sz w:val="24"/>
          <w:szCs w:val="24"/>
          <w:lang w:val="en-US"/>
        </w:rPr>
        <w:t>përditësimin</w:t>
      </w:r>
      <w:r w:rsidRPr="002B1840">
        <w:rPr>
          <w:sz w:val="24"/>
          <w:szCs w:val="24"/>
          <w:lang w:val="en-US"/>
        </w:rPr>
        <w:t xml:space="preserve"> e Shtojcës I për t’iu përgjigjur trendeve të reja të pastrimit/financimit të terrorizmit dhe praktikave më të mira, për të shmangur anashkalimin e detyrimeve.</w:t>
      </w:r>
    </w:p>
    <w:p w14:paraId="58FF2049" w14:textId="77777777" w:rsidR="002B1840" w:rsidRPr="0056618D" w:rsidRDefault="002B1840" w:rsidP="00E83544">
      <w:pPr>
        <w:pStyle w:val="BodyText"/>
        <w:tabs>
          <w:tab w:val="left" w:pos="4783"/>
        </w:tabs>
        <w:spacing w:line="276" w:lineRule="auto"/>
        <w:ind w:right="48"/>
        <w:rPr>
          <w:b/>
          <w:bCs/>
          <w:sz w:val="24"/>
          <w:szCs w:val="24"/>
          <w:lang w:val="en-US"/>
        </w:rPr>
      </w:pPr>
      <w:r w:rsidRPr="0056618D">
        <w:rPr>
          <w:b/>
          <w:bCs/>
          <w:sz w:val="24"/>
          <w:szCs w:val="24"/>
          <w:lang w:val="en-US"/>
        </w:rPr>
        <w:t>Neni 16 – Aktet nënligjore</w:t>
      </w:r>
    </w:p>
    <w:p w14:paraId="4E868256" w14:textId="77777777" w:rsidR="002B1840" w:rsidRPr="002B1840" w:rsidRDefault="002B1840" w:rsidP="00E83544">
      <w:pPr>
        <w:pStyle w:val="BodyText"/>
        <w:tabs>
          <w:tab w:val="left" w:pos="4783"/>
        </w:tabs>
        <w:spacing w:line="276" w:lineRule="auto"/>
        <w:ind w:right="48"/>
        <w:rPr>
          <w:sz w:val="24"/>
          <w:szCs w:val="24"/>
          <w:lang w:val="en-US"/>
        </w:rPr>
      </w:pPr>
      <w:r w:rsidRPr="002B1840">
        <w:rPr>
          <w:sz w:val="24"/>
          <w:szCs w:val="24"/>
          <w:lang w:val="en-US"/>
        </w:rPr>
        <w:lastRenderedPageBreak/>
        <w:t>Ky nen delegon kompetenca rregullatore për zbatim uniform:</w:t>
      </w:r>
    </w:p>
    <w:p w14:paraId="1942F3B6" w14:textId="77777777" w:rsidR="002B1840" w:rsidRPr="002B1840" w:rsidRDefault="002B1840" w:rsidP="004D5FC8">
      <w:pPr>
        <w:pStyle w:val="BodyText"/>
        <w:numPr>
          <w:ilvl w:val="0"/>
          <w:numId w:val="29"/>
        </w:numPr>
        <w:tabs>
          <w:tab w:val="left" w:pos="4783"/>
        </w:tabs>
        <w:spacing w:line="276" w:lineRule="auto"/>
        <w:ind w:right="48"/>
        <w:rPr>
          <w:sz w:val="24"/>
          <w:szCs w:val="24"/>
          <w:lang w:val="en-US"/>
        </w:rPr>
      </w:pPr>
      <w:r w:rsidRPr="002B1840">
        <w:rPr>
          <w:sz w:val="24"/>
          <w:szCs w:val="24"/>
          <w:lang w:val="en-US"/>
        </w:rPr>
        <w:t>Ministri i Financave miraton: (a) modelet e formularëve (deklaratë dhe deklaratë informuese), (b) kriteret e kornizës së menaxhimit të riskut, (c) formatin për dërgimin e informacionit, (ç) rregulla/format për statistikat e anonimizuara.</w:t>
      </w:r>
    </w:p>
    <w:p w14:paraId="388C581F" w14:textId="77777777" w:rsidR="002B1840" w:rsidRPr="002B1840" w:rsidRDefault="002B1840" w:rsidP="004D5FC8">
      <w:pPr>
        <w:pStyle w:val="BodyText"/>
        <w:numPr>
          <w:ilvl w:val="0"/>
          <w:numId w:val="29"/>
        </w:numPr>
        <w:tabs>
          <w:tab w:val="left" w:pos="4783"/>
        </w:tabs>
        <w:spacing w:line="276" w:lineRule="auto"/>
        <w:ind w:right="48"/>
        <w:rPr>
          <w:sz w:val="24"/>
          <w:szCs w:val="24"/>
          <w:lang w:val="en-US"/>
        </w:rPr>
      </w:pPr>
      <w:r w:rsidRPr="002B1840">
        <w:rPr>
          <w:sz w:val="24"/>
          <w:szCs w:val="24"/>
          <w:lang w:val="en-US"/>
        </w:rPr>
        <w:t xml:space="preserve">Parashikohet se rregullat teknike për shkëmbimin nëpërmjet </w:t>
      </w:r>
      <w:r w:rsidRPr="002B1840">
        <w:rPr>
          <w:bCs/>
          <w:sz w:val="24"/>
          <w:szCs w:val="24"/>
          <w:lang w:val="en-US"/>
        </w:rPr>
        <w:t>CIS</w:t>
      </w:r>
      <w:r w:rsidRPr="002B1840">
        <w:rPr>
          <w:sz w:val="24"/>
          <w:szCs w:val="24"/>
          <w:lang w:val="en-US"/>
        </w:rPr>
        <w:t xml:space="preserve"> do të miratohen </w:t>
      </w:r>
      <w:r w:rsidRPr="002B1840">
        <w:rPr>
          <w:bCs/>
          <w:sz w:val="24"/>
          <w:szCs w:val="24"/>
          <w:lang w:val="en-US"/>
        </w:rPr>
        <w:t>vetëm pas</w:t>
      </w:r>
      <w:r w:rsidRPr="002B1840">
        <w:rPr>
          <w:sz w:val="24"/>
          <w:szCs w:val="24"/>
          <w:lang w:val="en-US"/>
        </w:rPr>
        <w:t xml:space="preserve"> dhënies së aksesit nga BE (kushtëzim praktik).</w:t>
      </w:r>
    </w:p>
    <w:p w14:paraId="7B1D7047" w14:textId="77777777" w:rsidR="002B1840" w:rsidRPr="002B1840" w:rsidRDefault="002B1840" w:rsidP="004D5FC8">
      <w:pPr>
        <w:pStyle w:val="BodyText"/>
        <w:numPr>
          <w:ilvl w:val="0"/>
          <w:numId w:val="29"/>
        </w:numPr>
        <w:tabs>
          <w:tab w:val="left" w:pos="4783"/>
        </w:tabs>
        <w:spacing w:line="276" w:lineRule="auto"/>
        <w:ind w:right="48"/>
        <w:rPr>
          <w:sz w:val="24"/>
          <w:szCs w:val="24"/>
          <w:lang w:val="en-US"/>
        </w:rPr>
      </w:pPr>
      <w:r w:rsidRPr="002B1840">
        <w:rPr>
          <w:sz w:val="24"/>
          <w:szCs w:val="24"/>
          <w:lang w:val="en-US"/>
        </w:rPr>
        <w:t>Rregullat për statistikat e anonimizuara përcaktohen në marrëveshjet përkatëse.</w:t>
      </w:r>
    </w:p>
    <w:p w14:paraId="458B55E3" w14:textId="29617FC6" w:rsidR="00C452DC" w:rsidRPr="0075341D" w:rsidRDefault="002B1840" w:rsidP="00E83544">
      <w:pPr>
        <w:pStyle w:val="BodyText"/>
        <w:tabs>
          <w:tab w:val="left" w:pos="4783"/>
        </w:tabs>
        <w:spacing w:line="276" w:lineRule="auto"/>
        <w:ind w:right="48"/>
        <w:rPr>
          <w:sz w:val="24"/>
          <w:szCs w:val="24"/>
          <w:lang w:val="en-US"/>
        </w:rPr>
      </w:pPr>
      <w:r w:rsidRPr="002B1840">
        <w:rPr>
          <w:i/>
          <w:iCs/>
          <w:sz w:val="24"/>
          <w:szCs w:val="24"/>
          <w:lang w:val="en-US"/>
        </w:rPr>
        <w:t>Shënim teknik</w:t>
      </w:r>
      <w:r w:rsidRPr="002B1840">
        <w:rPr>
          <w:sz w:val="24"/>
          <w:szCs w:val="24"/>
          <w:lang w:val="en-US"/>
        </w:rPr>
        <w:t>: Teksti ka referenca të brendshme të pasakta (“neni 11/5”, “neni 11/10”) që duhen rregulluar para finalizimit.</w:t>
      </w:r>
    </w:p>
    <w:p w14:paraId="791D3C86" w14:textId="0BBF50CC" w:rsidR="002B1840" w:rsidRPr="0056618D" w:rsidRDefault="002B1840" w:rsidP="00E83544">
      <w:pPr>
        <w:pStyle w:val="BodyText"/>
        <w:tabs>
          <w:tab w:val="left" w:pos="4783"/>
        </w:tabs>
        <w:spacing w:line="276" w:lineRule="auto"/>
        <w:ind w:right="48"/>
        <w:rPr>
          <w:b/>
          <w:bCs/>
          <w:sz w:val="24"/>
          <w:szCs w:val="24"/>
          <w:lang w:val="en-US"/>
        </w:rPr>
      </w:pPr>
      <w:r w:rsidRPr="0056618D">
        <w:rPr>
          <w:b/>
          <w:bCs/>
          <w:sz w:val="24"/>
          <w:szCs w:val="24"/>
          <w:lang w:val="en-US"/>
        </w:rPr>
        <w:t>Neni 17 – Publikimi i informacionit</w:t>
      </w:r>
    </w:p>
    <w:p w14:paraId="71A7DC62" w14:textId="77777777" w:rsidR="002B1840" w:rsidRPr="002B1840" w:rsidRDefault="002B1840" w:rsidP="00E83544">
      <w:pPr>
        <w:pStyle w:val="BodyText"/>
        <w:tabs>
          <w:tab w:val="left" w:pos="4783"/>
        </w:tabs>
        <w:spacing w:line="276" w:lineRule="auto"/>
        <w:ind w:right="48"/>
        <w:rPr>
          <w:sz w:val="24"/>
          <w:szCs w:val="24"/>
          <w:lang w:val="en-US"/>
        </w:rPr>
      </w:pPr>
      <w:r w:rsidRPr="002B1840">
        <w:rPr>
          <w:sz w:val="24"/>
          <w:szCs w:val="24"/>
          <w:lang w:val="en-US"/>
        </w:rPr>
        <w:t>Ky nen vendos transparencë institucionale:</w:t>
      </w:r>
    </w:p>
    <w:p w14:paraId="4FBE979B" w14:textId="77777777" w:rsidR="002B1840" w:rsidRPr="002B1840" w:rsidRDefault="002B1840" w:rsidP="004D5FC8">
      <w:pPr>
        <w:pStyle w:val="BodyText"/>
        <w:numPr>
          <w:ilvl w:val="0"/>
          <w:numId w:val="30"/>
        </w:numPr>
        <w:tabs>
          <w:tab w:val="left" w:pos="4783"/>
        </w:tabs>
        <w:spacing w:line="276" w:lineRule="auto"/>
        <w:ind w:right="48"/>
        <w:rPr>
          <w:sz w:val="24"/>
          <w:szCs w:val="24"/>
          <w:lang w:val="en-US"/>
        </w:rPr>
      </w:pPr>
      <w:r w:rsidRPr="002B1840">
        <w:rPr>
          <w:sz w:val="24"/>
          <w:szCs w:val="24"/>
          <w:lang w:val="en-US"/>
        </w:rPr>
        <w:t>Doganat publikojnë çdo vit në faqen zyrtare statistika të anonimizuara për deklaratat, kontrollet dhe shkeljet, dhe përditësojnë brenda 1 muaji nga çdo ndryshim.</w:t>
      </w:r>
    </w:p>
    <w:p w14:paraId="50D1AD9C" w14:textId="6411D97D" w:rsidR="002B1840" w:rsidRPr="0056618D" w:rsidRDefault="002B1840" w:rsidP="004D5FC8">
      <w:pPr>
        <w:pStyle w:val="BodyText"/>
        <w:numPr>
          <w:ilvl w:val="0"/>
          <w:numId w:val="30"/>
        </w:numPr>
        <w:tabs>
          <w:tab w:val="left" w:pos="4783"/>
        </w:tabs>
        <w:spacing w:line="276" w:lineRule="auto"/>
        <w:ind w:right="48"/>
        <w:rPr>
          <w:sz w:val="24"/>
          <w:szCs w:val="24"/>
          <w:lang w:val="en-US"/>
        </w:rPr>
      </w:pPr>
      <w:r w:rsidRPr="002B1840">
        <w:rPr>
          <w:sz w:val="24"/>
          <w:szCs w:val="24"/>
          <w:lang w:val="en-US"/>
        </w:rPr>
        <w:t>Informojnë përdoruesit në mënyrë të qartë për kontrollet e cash-it në hyrje/dalje.</w:t>
      </w:r>
    </w:p>
    <w:p w14:paraId="16FE152A" w14:textId="77777777" w:rsidR="002B1840" w:rsidRPr="0056618D" w:rsidRDefault="002B1840" w:rsidP="00E83544">
      <w:pPr>
        <w:pStyle w:val="BodyText"/>
        <w:tabs>
          <w:tab w:val="left" w:pos="4783"/>
        </w:tabs>
        <w:spacing w:line="276" w:lineRule="auto"/>
        <w:ind w:right="48"/>
        <w:rPr>
          <w:b/>
          <w:bCs/>
          <w:sz w:val="24"/>
          <w:szCs w:val="24"/>
          <w:lang w:val="en-US"/>
        </w:rPr>
      </w:pPr>
      <w:r w:rsidRPr="0056618D">
        <w:rPr>
          <w:b/>
          <w:bCs/>
          <w:sz w:val="24"/>
          <w:szCs w:val="24"/>
          <w:lang w:val="en-US"/>
        </w:rPr>
        <w:t>Neni 18 – Dispozita kalimtare</w:t>
      </w:r>
    </w:p>
    <w:p w14:paraId="2C7E976B" w14:textId="77777777" w:rsidR="002B1840" w:rsidRPr="002B1840" w:rsidRDefault="002B1840" w:rsidP="00E83544">
      <w:pPr>
        <w:pStyle w:val="BodyText"/>
        <w:tabs>
          <w:tab w:val="left" w:pos="4783"/>
        </w:tabs>
        <w:spacing w:line="276" w:lineRule="auto"/>
        <w:ind w:right="48"/>
        <w:rPr>
          <w:sz w:val="24"/>
          <w:szCs w:val="24"/>
          <w:lang w:val="en-US"/>
        </w:rPr>
      </w:pPr>
      <w:r w:rsidRPr="002B1840">
        <w:rPr>
          <w:sz w:val="24"/>
          <w:szCs w:val="24"/>
          <w:lang w:val="en-US"/>
        </w:rPr>
        <w:t>Ky nen rregullon hyrjen në fuqi dhe shfuqizimin:</w:t>
      </w:r>
    </w:p>
    <w:p w14:paraId="0F83AF54" w14:textId="77777777" w:rsidR="002B1840" w:rsidRPr="002B1840" w:rsidRDefault="002B1840" w:rsidP="004D5FC8">
      <w:pPr>
        <w:pStyle w:val="BodyText"/>
        <w:numPr>
          <w:ilvl w:val="0"/>
          <w:numId w:val="31"/>
        </w:numPr>
        <w:tabs>
          <w:tab w:val="left" w:pos="4783"/>
        </w:tabs>
        <w:spacing w:line="276" w:lineRule="auto"/>
        <w:ind w:right="48"/>
        <w:rPr>
          <w:sz w:val="24"/>
          <w:szCs w:val="24"/>
          <w:lang w:val="en-US"/>
        </w:rPr>
      </w:pPr>
      <w:r w:rsidRPr="002B1840">
        <w:rPr>
          <w:sz w:val="24"/>
          <w:szCs w:val="24"/>
          <w:lang w:val="en-US"/>
        </w:rPr>
        <w:t>Zbatimi i pjesës që lidhet me CIS hyn në fuqi vetëm pas aksesit nga BE.</w:t>
      </w:r>
    </w:p>
    <w:p w14:paraId="2B4E73C4" w14:textId="2A77994E" w:rsidR="002B1840" w:rsidRPr="0056618D" w:rsidRDefault="002B1840" w:rsidP="004D5FC8">
      <w:pPr>
        <w:pStyle w:val="BodyText"/>
        <w:numPr>
          <w:ilvl w:val="0"/>
          <w:numId w:val="31"/>
        </w:numPr>
        <w:tabs>
          <w:tab w:val="left" w:pos="4783"/>
        </w:tabs>
        <w:spacing w:line="276" w:lineRule="auto"/>
        <w:ind w:right="48"/>
        <w:rPr>
          <w:sz w:val="24"/>
          <w:szCs w:val="24"/>
          <w:lang w:val="en-US"/>
        </w:rPr>
      </w:pPr>
      <w:r w:rsidRPr="002B1840">
        <w:rPr>
          <w:sz w:val="24"/>
          <w:szCs w:val="24"/>
          <w:lang w:val="en-US"/>
        </w:rPr>
        <w:t>Pjesa IV shfuqizohet në datën e anëtarësimit të Shqipërisë në BE.</w:t>
      </w:r>
    </w:p>
    <w:p w14:paraId="7BBBF938" w14:textId="77777777" w:rsidR="002B1840" w:rsidRPr="0056618D" w:rsidRDefault="002B1840" w:rsidP="00E83544">
      <w:pPr>
        <w:pStyle w:val="BodyText"/>
        <w:tabs>
          <w:tab w:val="left" w:pos="4783"/>
        </w:tabs>
        <w:spacing w:line="276" w:lineRule="auto"/>
        <w:ind w:right="48"/>
        <w:rPr>
          <w:b/>
          <w:bCs/>
          <w:sz w:val="24"/>
          <w:szCs w:val="24"/>
          <w:lang w:val="en-US"/>
        </w:rPr>
      </w:pPr>
      <w:r w:rsidRPr="0056618D">
        <w:rPr>
          <w:b/>
          <w:bCs/>
          <w:sz w:val="24"/>
          <w:szCs w:val="24"/>
          <w:lang w:val="en-US"/>
        </w:rPr>
        <w:t>SHTOJCA I – Përmbajtja dhe funksioni</w:t>
      </w:r>
    </w:p>
    <w:p w14:paraId="7554E36F" w14:textId="77777777" w:rsidR="002B1840" w:rsidRPr="002B1840" w:rsidRDefault="002B1840" w:rsidP="00E83544">
      <w:pPr>
        <w:pStyle w:val="BodyText"/>
        <w:tabs>
          <w:tab w:val="left" w:pos="4783"/>
        </w:tabs>
        <w:spacing w:line="276" w:lineRule="auto"/>
        <w:ind w:right="48"/>
        <w:rPr>
          <w:sz w:val="24"/>
          <w:szCs w:val="24"/>
          <w:lang w:val="en-US"/>
        </w:rPr>
      </w:pPr>
      <w:r w:rsidRPr="002B1840">
        <w:rPr>
          <w:sz w:val="24"/>
          <w:szCs w:val="24"/>
          <w:lang w:val="en-US"/>
        </w:rPr>
        <w:t>Shtojca liston kategoritë konkrete që konsiderohen “cash” për:</w:t>
      </w:r>
    </w:p>
    <w:p w14:paraId="54A61089" w14:textId="77777777" w:rsidR="002B1840" w:rsidRPr="002B1840" w:rsidRDefault="002B1840" w:rsidP="004D5FC8">
      <w:pPr>
        <w:pStyle w:val="BodyText"/>
        <w:numPr>
          <w:ilvl w:val="0"/>
          <w:numId w:val="32"/>
        </w:numPr>
        <w:tabs>
          <w:tab w:val="left" w:pos="4783"/>
        </w:tabs>
        <w:spacing w:line="276" w:lineRule="auto"/>
        <w:ind w:right="48"/>
        <w:rPr>
          <w:sz w:val="24"/>
          <w:szCs w:val="24"/>
          <w:lang w:val="en-US"/>
        </w:rPr>
      </w:pPr>
      <w:r w:rsidRPr="002B1840">
        <w:rPr>
          <w:bCs/>
          <w:sz w:val="24"/>
          <w:szCs w:val="24"/>
          <w:lang w:val="en-US"/>
        </w:rPr>
        <w:t>Mallra ruajtës vlere me likuiditet të lartë</w:t>
      </w:r>
      <w:r w:rsidRPr="002B1840">
        <w:rPr>
          <w:sz w:val="24"/>
          <w:szCs w:val="24"/>
          <w:lang w:val="en-US"/>
        </w:rPr>
        <w:t xml:space="preserve"> (p.sh. monedha ari ≥ 90%, shufra ari ≥ 99.5%).</w:t>
      </w:r>
    </w:p>
    <w:p w14:paraId="29A7A4EA" w14:textId="77777777" w:rsidR="00683BFC" w:rsidRDefault="002B1840" w:rsidP="004D5FC8">
      <w:pPr>
        <w:pStyle w:val="BodyText"/>
        <w:numPr>
          <w:ilvl w:val="0"/>
          <w:numId w:val="32"/>
        </w:numPr>
        <w:tabs>
          <w:tab w:val="left" w:pos="4783"/>
        </w:tabs>
        <w:spacing w:line="276" w:lineRule="auto"/>
        <w:ind w:right="48"/>
        <w:rPr>
          <w:sz w:val="24"/>
          <w:szCs w:val="24"/>
          <w:lang w:val="en-US"/>
        </w:rPr>
      </w:pPr>
      <w:r w:rsidRPr="002B1840">
        <w:rPr>
          <w:bCs/>
          <w:sz w:val="24"/>
          <w:szCs w:val="24"/>
          <w:lang w:val="en-US"/>
        </w:rPr>
        <w:t>Karta të parapaguara</w:t>
      </w:r>
      <w:r w:rsidRPr="002B1840">
        <w:rPr>
          <w:sz w:val="24"/>
          <w:szCs w:val="24"/>
          <w:lang w:val="en-US"/>
        </w:rPr>
        <w:t xml:space="preserve"> (në tekstin tënd duket e papërfunduar; duhet plotësuar lista sipas modelit të parashikuar).</w:t>
      </w:r>
    </w:p>
    <w:p w14:paraId="69F3976F" w14:textId="6948D1DB" w:rsidR="00BA6F6F" w:rsidRPr="00683BFC" w:rsidRDefault="001B3476" w:rsidP="00E83544">
      <w:pPr>
        <w:pStyle w:val="BodyText"/>
        <w:tabs>
          <w:tab w:val="left" w:pos="450"/>
          <w:tab w:val="left" w:pos="4783"/>
        </w:tabs>
        <w:spacing w:line="276" w:lineRule="auto"/>
        <w:ind w:right="48"/>
        <w:rPr>
          <w:sz w:val="24"/>
          <w:szCs w:val="24"/>
          <w:lang w:val="en-US"/>
        </w:rPr>
      </w:pPr>
      <w:r w:rsidRPr="00683BFC">
        <w:rPr>
          <w:sz w:val="24"/>
          <w:szCs w:val="24"/>
        </w:rPr>
        <w:tab/>
      </w:r>
    </w:p>
    <w:p w14:paraId="62CA8E3B" w14:textId="67699421" w:rsidR="0075341D" w:rsidRDefault="00E94EBD" w:rsidP="004D5FC8">
      <w:pPr>
        <w:pStyle w:val="ListParagraph"/>
        <w:numPr>
          <w:ilvl w:val="0"/>
          <w:numId w:val="1"/>
        </w:numPr>
        <w:tabs>
          <w:tab w:val="left" w:pos="450"/>
          <w:tab w:val="left" w:pos="630"/>
          <w:tab w:val="left" w:pos="2700"/>
          <w:tab w:val="left" w:pos="3330"/>
          <w:tab w:val="left" w:pos="6203"/>
          <w:tab w:val="left" w:pos="6949"/>
          <w:tab w:val="left" w:pos="9159"/>
        </w:tabs>
        <w:spacing w:line="276" w:lineRule="auto"/>
        <w:ind w:left="0" w:right="48" w:firstLine="0"/>
        <w:jc w:val="both"/>
        <w:rPr>
          <w:b/>
          <w:sz w:val="24"/>
          <w:szCs w:val="24"/>
        </w:rPr>
      </w:pPr>
      <w:r w:rsidRPr="00683BFC">
        <w:rPr>
          <w:b/>
          <w:spacing w:val="-2"/>
          <w:sz w:val="24"/>
          <w:szCs w:val="24"/>
        </w:rPr>
        <w:t>INSTITUCIONET</w:t>
      </w:r>
      <w:r w:rsidRPr="00683BFC">
        <w:rPr>
          <w:b/>
          <w:sz w:val="24"/>
          <w:szCs w:val="24"/>
        </w:rPr>
        <w:tab/>
      </w:r>
      <w:r w:rsidRPr="00683BFC">
        <w:rPr>
          <w:b/>
          <w:spacing w:val="-4"/>
          <w:sz w:val="24"/>
          <w:szCs w:val="24"/>
        </w:rPr>
        <w:t>DHE</w:t>
      </w:r>
      <w:r w:rsidRPr="00683BFC">
        <w:rPr>
          <w:b/>
          <w:sz w:val="24"/>
          <w:szCs w:val="24"/>
        </w:rPr>
        <w:tab/>
      </w:r>
      <w:r w:rsidRPr="00683BFC">
        <w:rPr>
          <w:b/>
          <w:spacing w:val="-2"/>
          <w:sz w:val="24"/>
          <w:szCs w:val="24"/>
        </w:rPr>
        <w:t>ORGANET</w:t>
      </w:r>
      <w:r w:rsidR="000001CD" w:rsidRPr="00683BFC">
        <w:rPr>
          <w:b/>
          <w:spacing w:val="-2"/>
          <w:sz w:val="24"/>
          <w:szCs w:val="24"/>
        </w:rPr>
        <w:t xml:space="preserve"> </w:t>
      </w:r>
      <w:r w:rsidRPr="00683BFC">
        <w:rPr>
          <w:b/>
          <w:spacing w:val="-6"/>
          <w:sz w:val="24"/>
          <w:szCs w:val="24"/>
        </w:rPr>
        <w:t>QË</w:t>
      </w:r>
      <w:r w:rsidR="000001CD" w:rsidRPr="00683BFC">
        <w:rPr>
          <w:b/>
          <w:sz w:val="24"/>
          <w:szCs w:val="24"/>
        </w:rPr>
        <w:t xml:space="preserve"> </w:t>
      </w:r>
      <w:r w:rsidRPr="00683BFC">
        <w:rPr>
          <w:b/>
          <w:spacing w:val="-2"/>
          <w:sz w:val="24"/>
          <w:szCs w:val="24"/>
        </w:rPr>
        <w:t>NGARKOHEN</w:t>
      </w:r>
      <w:r w:rsidR="001B3476" w:rsidRPr="00683BFC">
        <w:rPr>
          <w:b/>
          <w:sz w:val="24"/>
          <w:szCs w:val="24"/>
        </w:rPr>
        <w:t xml:space="preserve"> </w:t>
      </w:r>
      <w:r w:rsidRPr="00683BFC">
        <w:rPr>
          <w:b/>
          <w:spacing w:val="-4"/>
          <w:sz w:val="24"/>
          <w:szCs w:val="24"/>
        </w:rPr>
        <w:t xml:space="preserve">PËR </w:t>
      </w:r>
      <w:r w:rsidRPr="00683BFC">
        <w:rPr>
          <w:b/>
          <w:sz w:val="24"/>
          <w:szCs w:val="24"/>
        </w:rPr>
        <w:t>ZBATIMIN E KËTIJ PROJEKTLIGJI</w:t>
      </w:r>
    </w:p>
    <w:p w14:paraId="5864AA47" w14:textId="77777777" w:rsidR="00446493" w:rsidRPr="006B13CA" w:rsidRDefault="00446493" w:rsidP="00446493">
      <w:pPr>
        <w:pStyle w:val="ListParagraph"/>
        <w:tabs>
          <w:tab w:val="left" w:pos="450"/>
          <w:tab w:val="left" w:pos="630"/>
          <w:tab w:val="left" w:pos="2700"/>
          <w:tab w:val="left" w:pos="3330"/>
          <w:tab w:val="left" w:pos="6203"/>
          <w:tab w:val="left" w:pos="6949"/>
          <w:tab w:val="left" w:pos="9159"/>
        </w:tabs>
        <w:spacing w:line="276" w:lineRule="auto"/>
        <w:ind w:left="0" w:right="48" w:firstLine="0"/>
        <w:rPr>
          <w:b/>
          <w:sz w:val="24"/>
          <w:szCs w:val="24"/>
        </w:rPr>
      </w:pPr>
    </w:p>
    <w:p w14:paraId="196F25B7" w14:textId="295B4F8C" w:rsidR="006B13CA" w:rsidRPr="00E83544" w:rsidRDefault="00FB04D0" w:rsidP="00E83544">
      <w:pPr>
        <w:widowControl/>
        <w:tabs>
          <w:tab w:val="left" w:pos="450"/>
        </w:tabs>
        <w:autoSpaceDE/>
        <w:autoSpaceDN/>
        <w:spacing w:line="276" w:lineRule="auto"/>
        <w:jc w:val="both"/>
        <w:rPr>
          <w:sz w:val="24"/>
          <w:szCs w:val="24"/>
          <w:lang w:val="en-US"/>
        </w:rPr>
      </w:pPr>
      <w:r w:rsidRPr="00FB04D0">
        <w:rPr>
          <w:sz w:val="24"/>
          <w:szCs w:val="24"/>
          <w:lang w:val="en-US"/>
        </w:rPr>
        <w:t>Zbatimi i këtij projektligji realizohet nga autoritetet publike dhe subjektet mbikëqyrëse, në përputhje me kompetencat e tyre ligjore në fushën e parandalimit të pastrimit të parave, financimit të terrorizmit, mbikëqyrjes financiare dhe kontrollit doganor.</w:t>
      </w:r>
    </w:p>
    <w:p w14:paraId="7C158959" w14:textId="253C6804" w:rsidR="00FB04D0" w:rsidRPr="00FB04D0" w:rsidRDefault="00FB04D0" w:rsidP="00E83544">
      <w:pPr>
        <w:widowControl/>
        <w:tabs>
          <w:tab w:val="left" w:pos="450"/>
        </w:tabs>
        <w:autoSpaceDE/>
        <w:autoSpaceDN/>
        <w:spacing w:line="276" w:lineRule="auto"/>
        <w:jc w:val="both"/>
        <w:rPr>
          <w:b/>
          <w:sz w:val="24"/>
          <w:szCs w:val="24"/>
          <w:lang w:val="en-US"/>
        </w:rPr>
      </w:pPr>
      <w:r w:rsidRPr="00FB04D0">
        <w:rPr>
          <w:b/>
          <w:sz w:val="24"/>
          <w:szCs w:val="24"/>
          <w:lang w:val="en-US"/>
        </w:rPr>
        <w:t>Në veçanti:</w:t>
      </w:r>
    </w:p>
    <w:p w14:paraId="61431CBB" w14:textId="77777777" w:rsidR="00FB04D0" w:rsidRPr="00FB04D0" w:rsidRDefault="00FB04D0" w:rsidP="004D5FC8">
      <w:pPr>
        <w:widowControl/>
        <w:numPr>
          <w:ilvl w:val="0"/>
          <w:numId w:val="37"/>
        </w:numPr>
        <w:tabs>
          <w:tab w:val="left" w:pos="450"/>
        </w:tabs>
        <w:autoSpaceDE/>
        <w:autoSpaceDN/>
        <w:spacing w:line="276" w:lineRule="auto"/>
        <w:ind w:left="0" w:firstLine="0"/>
        <w:jc w:val="both"/>
        <w:rPr>
          <w:sz w:val="24"/>
          <w:szCs w:val="24"/>
          <w:lang w:val="en-US"/>
        </w:rPr>
      </w:pPr>
      <w:r w:rsidRPr="00FB04D0">
        <w:rPr>
          <w:b/>
          <w:bCs/>
          <w:sz w:val="24"/>
          <w:szCs w:val="24"/>
          <w:lang w:val="en-US"/>
        </w:rPr>
        <w:t>Agjencia e Inteligjencës Financiare (AIF)</w:t>
      </w:r>
      <w:r w:rsidRPr="00FB04D0">
        <w:rPr>
          <w:sz w:val="24"/>
          <w:szCs w:val="24"/>
          <w:lang w:val="en-US"/>
        </w:rPr>
        <w:t>, në cilësinë e njësisë së inteligjencës financiare, është përgjegjëse për marrjen, analizimin dhe shpërndarjen e informacionit financiar, koordinimin ndërinstitucional, si dhe monitorimin e përgjithshëm të funksionimit të mekanizmave të raportimit dhe gjurmueshmërisë së transfertave të fondeve dhe kriptoaseteve.</w:t>
      </w:r>
    </w:p>
    <w:p w14:paraId="66B22672" w14:textId="77777777" w:rsidR="00FB04D0" w:rsidRPr="00FB04D0" w:rsidRDefault="00FB04D0" w:rsidP="004D5FC8">
      <w:pPr>
        <w:widowControl/>
        <w:numPr>
          <w:ilvl w:val="0"/>
          <w:numId w:val="37"/>
        </w:numPr>
        <w:tabs>
          <w:tab w:val="left" w:pos="450"/>
        </w:tabs>
        <w:autoSpaceDE/>
        <w:autoSpaceDN/>
        <w:spacing w:line="276" w:lineRule="auto"/>
        <w:ind w:left="0" w:firstLine="0"/>
        <w:jc w:val="both"/>
        <w:rPr>
          <w:sz w:val="24"/>
          <w:szCs w:val="24"/>
          <w:lang w:val="en-US"/>
        </w:rPr>
      </w:pPr>
      <w:r w:rsidRPr="00FB04D0">
        <w:rPr>
          <w:b/>
          <w:bCs/>
          <w:sz w:val="24"/>
          <w:szCs w:val="24"/>
          <w:lang w:val="en-US"/>
        </w:rPr>
        <w:t>Banka e Shqipërisë</w:t>
      </w:r>
      <w:r w:rsidRPr="00FB04D0">
        <w:rPr>
          <w:sz w:val="24"/>
          <w:szCs w:val="24"/>
          <w:lang w:val="en-US"/>
        </w:rPr>
        <w:t xml:space="preserve"> ushtron kompetencat mbikëqyrëse ndaj bankave dhe institucioneve të pagesave, në lidhje me zbatimin e detyrimeve për shoqërimin e transfertave me informacionin e kërkuar, ruajtjen e të dhënave dhe zbatimin e masave kufizuese.</w:t>
      </w:r>
    </w:p>
    <w:p w14:paraId="5B79CE8F" w14:textId="77777777" w:rsidR="00FB04D0" w:rsidRPr="00FB04D0" w:rsidRDefault="00FB04D0" w:rsidP="004D5FC8">
      <w:pPr>
        <w:widowControl/>
        <w:numPr>
          <w:ilvl w:val="0"/>
          <w:numId w:val="37"/>
        </w:numPr>
        <w:tabs>
          <w:tab w:val="left" w:pos="450"/>
        </w:tabs>
        <w:autoSpaceDE/>
        <w:autoSpaceDN/>
        <w:spacing w:line="276" w:lineRule="auto"/>
        <w:ind w:left="0" w:firstLine="0"/>
        <w:jc w:val="both"/>
        <w:rPr>
          <w:sz w:val="24"/>
          <w:szCs w:val="24"/>
          <w:lang w:val="en-US"/>
        </w:rPr>
      </w:pPr>
      <w:r w:rsidRPr="00FB04D0">
        <w:rPr>
          <w:b/>
          <w:bCs/>
          <w:sz w:val="24"/>
          <w:szCs w:val="24"/>
          <w:lang w:val="en-US"/>
        </w:rPr>
        <w:t>Autoriteti i Mbikëqyrjes Financiare</w:t>
      </w:r>
      <w:r w:rsidRPr="00FB04D0">
        <w:rPr>
          <w:sz w:val="24"/>
          <w:szCs w:val="24"/>
          <w:lang w:val="en-US"/>
        </w:rPr>
        <w:t xml:space="preserve"> mbikëqyr subjektet nën juridiksionin e tij, përfshirë institucionet financiare jobanka dhe subjektet e tregjeve të kriptoaseteve, sipas kompetencave të përcaktuara në legjislacionin sektorial.</w:t>
      </w:r>
    </w:p>
    <w:p w14:paraId="6AF63A69" w14:textId="77777777" w:rsidR="00FB04D0" w:rsidRPr="00FB04D0" w:rsidRDefault="00FB04D0" w:rsidP="004D5FC8">
      <w:pPr>
        <w:widowControl/>
        <w:numPr>
          <w:ilvl w:val="0"/>
          <w:numId w:val="37"/>
        </w:numPr>
        <w:tabs>
          <w:tab w:val="left" w:pos="450"/>
        </w:tabs>
        <w:autoSpaceDE/>
        <w:autoSpaceDN/>
        <w:spacing w:line="276" w:lineRule="auto"/>
        <w:ind w:left="0" w:firstLine="0"/>
        <w:jc w:val="both"/>
        <w:rPr>
          <w:sz w:val="24"/>
          <w:szCs w:val="24"/>
          <w:lang w:val="en-US"/>
        </w:rPr>
      </w:pPr>
      <w:r w:rsidRPr="00FB04D0">
        <w:rPr>
          <w:b/>
          <w:bCs/>
          <w:sz w:val="24"/>
          <w:szCs w:val="24"/>
          <w:lang w:val="en-US"/>
        </w:rPr>
        <w:t>Drejtoria e Përgjithshme e Doganave</w:t>
      </w:r>
      <w:r w:rsidRPr="00FB04D0">
        <w:rPr>
          <w:sz w:val="24"/>
          <w:szCs w:val="24"/>
          <w:lang w:val="en-US"/>
        </w:rPr>
        <w:t xml:space="preserve"> është përgjegjëse për zbatimin e dispozitave që lidhen me kontrollin e parasë fizike që hyn ose del nga territori i Republikës së Shqipërisë, përfshirë deklarimin, verifikimin, bllokimin e përkohshëm dhe shkëmbimin e informacionit.</w:t>
      </w:r>
    </w:p>
    <w:p w14:paraId="032BAEA8" w14:textId="77777777" w:rsidR="00FB04D0" w:rsidRPr="00FB04D0" w:rsidRDefault="00FB04D0" w:rsidP="004D5FC8">
      <w:pPr>
        <w:widowControl/>
        <w:numPr>
          <w:ilvl w:val="0"/>
          <w:numId w:val="37"/>
        </w:numPr>
        <w:tabs>
          <w:tab w:val="left" w:pos="450"/>
        </w:tabs>
        <w:autoSpaceDE/>
        <w:autoSpaceDN/>
        <w:spacing w:line="276" w:lineRule="auto"/>
        <w:ind w:left="0" w:firstLine="0"/>
        <w:jc w:val="both"/>
        <w:rPr>
          <w:sz w:val="24"/>
          <w:szCs w:val="24"/>
          <w:lang w:val="en-US"/>
        </w:rPr>
      </w:pPr>
      <w:r w:rsidRPr="00FB04D0">
        <w:rPr>
          <w:b/>
          <w:bCs/>
          <w:sz w:val="24"/>
          <w:szCs w:val="24"/>
          <w:lang w:val="en-US"/>
        </w:rPr>
        <w:lastRenderedPageBreak/>
        <w:t>Autoritetet e tjera mbikëqyrëse sektoriale</w:t>
      </w:r>
      <w:r w:rsidRPr="00FB04D0">
        <w:rPr>
          <w:sz w:val="24"/>
          <w:szCs w:val="24"/>
          <w:lang w:val="en-US"/>
        </w:rPr>
        <w:t>, sipas fushës së kompetencës së tyre, sigurojnë zbatimin e detyrimeve nga subjektet përkatëse.</w:t>
      </w:r>
    </w:p>
    <w:p w14:paraId="7468A1FD" w14:textId="195A1E98" w:rsidR="0000439D" w:rsidRPr="00E83544" w:rsidRDefault="00FB04D0" w:rsidP="004D5FC8">
      <w:pPr>
        <w:widowControl/>
        <w:numPr>
          <w:ilvl w:val="0"/>
          <w:numId w:val="37"/>
        </w:numPr>
        <w:tabs>
          <w:tab w:val="left" w:pos="450"/>
        </w:tabs>
        <w:autoSpaceDE/>
        <w:autoSpaceDN/>
        <w:spacing w:line="276" w:lineRule="auto"/>
        <w:ind w:left="0" w:firstLine="0"/>
        <w:jc w:val="both"/>
        <w:rPr>
          <w:sz w:val="24"/>
          <w:szCs w:val="24"/>
          <w:lang w:val="en-US"/>
        </w:rPr>
      </w:pPr>
      <w:r w:rsidRPr="00FB04D0">
        <w:rPr>
          <w:b/>
          <w:bCs/>
          <w:sz w:val="24"/>
          <w:szCs w:val="24"/>
          <w:lang w:val="en-US"/>
        </w:rPr>
        <w:t>Organet ligjzbatuese dhe autoritetet gjyqësore</w:t>
      </w:r>
      <w:r w:rsidRPr="00FB04D0">
        <w:rPr>
          <w:sz w:val="24"/>
          <w:szCs w:val="24"/>
          <w:lang w:val="en-US"/>
        </w:rPr>
        <w:t xml:space="preserve"> ndërhyjnë në rastet kur konstatohen elementë të veprave penale që lidhen me pastrimin e parave, financimin e terrorizmit ose shkelje të tjera të parashikuara nga legjislacioni penal.</w:t>
      </w:r>
    </w:p>
    <w:p w14:paraId="259F4E02" w14:textId="25C7933F" w:rsidR="00FB04D0" w:rsidRPr="00FB04D0" w:rsidRDefault="00FB04D0" w:rsidP="00E83544">
      <w:pPr>
        <w:widowControl/>
        <w:tabs>
          <w:tab w:val="left" w:pos="450"/>
        </w:tabs>
        <w:autoSpaceDE/>
        <w:autoSpaceDN/>
        <w:spacing w:line="276" w:lineRule="auto"/>
        <w:jc w:val="both"/>
        <w:rPr>
          <w:sz w:val="24"/>
          <w:szCs w:val="24"/>
          <w:lang w:val="en-US"/>
        </w:rPr>
      </w:pPr>
      <w:r w:rsidRPr="00FB04D0">
        <w:rPr>
          <w:sz w:val="24"/>
          <w:szCs w:val="24"/>
          <w:lang w:val="en-US"/>
        </w:rPr>
        <w:t>Agjencia e Inteligjencës Financiare ushtron rol koordinues në nivel kombëtar për monitorimin e efektivitetit të zbatimit të kuadrit të ri, në bashkëpunim me autoritetet mbikëqyrëse dhe organet ligjzbatuese.</w:t>
      </w:r>
    </w:p>
    <w:p w14:paraId="1BC49825" w14:textId="77777777" w:rsidR="00FB04D0" w:rsidRDefault="00FB04D0" w:rsidP="00E83544">
      <w:pPr>
        <w:pStyle w:val="ListParagraph"/>
        <w:tabs>
          <w:tab w:val="left" w:pos="0"/>
        </w:tabs>
        <w:spacing w:line="276" w:lineRule="auto"/>
        <w:ind w:left="0" w:right="48" w:firstLine="0"/>
        <w:rPr>
          <w:b/>
          <w:sz w:val="24"/>
          <w:szCs w:val="24"/>
        </w:rPr>
      </w:pPr>
    </w:p>
    <w:p w14:paraId="02992005" w14:textId="5B471059" w:rsidR="0075341D" w:rsidRDefault="00E94EBD" w:rsidP="004D5FC8">
      <w:pPr>
        <w:pStyle w:val="ListParagraph"/>
        <w:numPr>
          <w:ilvl w:val="0"/>
          <w:numId w:val="1"/>
        </w:numPr>
        <w:tabs>
          <w:tab w:val="left" w:pos="0"/>
        </w:tabs>
        <w:spacing w:line="276" w:lineRule="auto"/>
        <w:ind w:left="0" w:right="48" w:firstLine="0"/>
        <w:jc w:val="both"/>
        <w:rPr>
          <w:b/>
          <w:sz w:val="24"/>
          <w:szCs w:val="24"/>
        </w:rPr>
      </w:pPr>
      <w:r w:rsidRPr="00FB04D0">
        <w:rPr>
          <w:b/>
          <w:sz w:val="24"/>
          <w:szCs w:val="24"/>
        </w:rPr>
        <w:t>PERSONAT</w:t>
      </w:r>
      <w:r w:rsidRPr="00FB04D0">
        <w:rPr>
          <w:b/>
          <w:spacing w:val="40"/>
          <w:sz w:val="24"/>
          <w:szCs w:val="24"/>
        </w:rPr>
        <w:t xml:space="preserve"> </w:t>
      </w:r>
      <w:r w:rsidRPr="00FB04D0">
        <w:rPr>
          <w:b/>
          <w:sz w:val="24"/>
          <w:szCs w:val="24"/>
        </w:rPr>
        <w:t>DHE</w:t>
      </w:r>
      <w:r w:rsidRPr="00FB04D0">
        <w:rPr>
          <w:b/>
          <w:spacing w:val="40"/>
          <w:sz w:val="24"/>
          <w:szCs w:val="24"/>
        </w:rPr>
        <w:t xml:space="preserve"> </w:t>
      </w:r>
      <w:r w:rsidRPr="00FB04D0">
        <w:rPr>
          <w:b/>
          <w:sz w:val="24"/>
          <w:szCs w:val="24"/>
        </w:rPr>
        <w:t>INSTITUCIONET</w:t>
      </w:r>
      <w:r w:rsidRPr="00FB04D0">
        <w:rPr>
          <w:b/>
          <w:spacing w:val="40"/>
          <w:sz w:val="24"/>
          <w:szCs w:val="24"/>
        </w:rPr>
        <w:t xml:space="preserve"> </w:t>
      </w:r>
      <w:r w:rsidRPr="00FB04D0">
        <w:rPr>
          <w:b/>
          <w:sz w:val="24"/>
          <w:szCs w:val="24"/>
        </w:rPr>
        <w:t>QË</w:t>
      </w:r>
      <w:r w:rsidRPr="00FB04D0">
        <w:rPr>
          <w:b/>
          <w:spacing w:val="40"/>
          <w:sz w:val="24"/>
          <w:szCs w:val="24"/>
        </w:rPr>
        <w:t xml:space="preserve"> </w:t>
      </w:r>
      <w:r w:rsidRPr="00FB04D0">
        <w:rPr>
          <w:b/>
          <w:sz w:val="24"/>
          <w:szCs w:val="24"/>
        </w:rPr>
        <w:t>KANË</w:t>
      </w:r>
      <w:r w:rsidRPr="00FB04D0">
        <w:rPr>
          <w:b/>
          <w:spacing w:val="40"/>
          <w:sz w:val="24"/>
          <w:szCs w:val="24"/>
        </w:rPr>
        <w:t xml:space="preserve"> </w:t>
      </w:r>
      <w:r w:rsidRPr="00FB04D0">
        <w:rPr>
          <w:b/>
          <w:sz w:val="24"/>
          <w:szCs w:val="24"/>
        </w:rPr>
        <w:t>KONTRIBUAR</w:t>
      </w:r>
      <w:r w:rsidRPr="00FB04D0">
        <w:rPr>
          <w:b/>
          <w:spacing w:val="40"/>
          <w:sz w:val="24"/>
          <w:szCs w:val="24"/>
        </w:rPr>
        <w:t xml:space="preserve"> </w:t>
      </w:r>
      <w:r w:rsidRPr="00FB04D0">
        <w:rPr>
          <w:b/>
          <w:sz w:val="24"/>
          <w:szCs w:val="24"/>
        </w:rPr>
        <w:t>NË HARTIMIN E PROJEKTLIGJIT.</w:t>
      </w:r>
    </w:p>
    <w:p w14:paraId="504AFA1A" w14:textId="77777777" w:rsidR="00446493" w:rsidRPr="00E83544" w:rsidRDefault="00446493" w:rsidP="00446493">
      <w:pPr>
        <w:pStyle w:val="ListParagraph"/>
        <w:tabs>
          <w:tab w:val="left" w:pos="0"/>
        </w:tabs>
        <w:spacing w:line="276" w:lineRule="auto"/>
        <w:ind w:left="0" w:right="48" w:firstLine="0"/>
        <w:rPr>
          <w:b/>
          <w:sz w:val="24"/>
          <w:szCs w:val="24"/>
        </w:rPr>
      </w:pPr>
    </w:p>
    <w:p w14:paraId="2146339F" w14:textId="1C6FA852" w:rsidR="006D5D5B" w:rsidRPr="006D5D5B" w:rsidRDefault="006D5D5B" w:rsidP="00E83544">
      <w:pPr>
        <w:pStyle w:val="ListParagraph"/>
        <w:tabs>
          <w:tab w:val="left" w:pos="0"/>
        </w:tabs>
        <w:spacing w:line="276" w:lineRule="auto"/>
        <w:ind w:left="0" w:right="48" w:firstLine="0"/>
        <w:rPr>
          <w:sz w:val="24"/>
          <w:szCs w:val="24"/>
        </w:rPr>
      </w:pPr>
      <w:r w:rsidRPr="006D5D5B">
        <w:rPr>
          <w:sz w:val="24"/>
          <w:szCs w:val="24"/>
        </w:rPr>
        <w:t>Projektligji është hartuar nga një grup ndërinstitucional pune, i ngritur me urdhër të Këshillit të Ministrave dhe i kryesuar nga Zëvendësministri i Financave.</w:t>
      </w:r>
    </w:p>
    <w:p w14:paraId="6879DA2B" w14:textId="3F590642" w:rsidR="006D5D5B" w:rsidRPr="006D5D5B" w:rsidRDefault="006D5D5B" w:rsidP="00E83544">
      <w:pPr>
        <w:pStyle w:val="ListParagraph"/>
        <w:tabs>
          <w:tab w:val="left" w:pos="0"/>
        </w:tabs>
        <w:spacing w:line="276" w:lineRule="auto"/>
        <w:ind w:left="0" w:right="48" w:firstLine="0"/>
        <w:rPr>
          <w:sz w:val="24"/>
          <w:szCs w:val="24"/>
        </w:rPr>
      </w:pPr>
      <w:r w:rsidRPr="006D5D5B">
        <w:rPr>
          <w:sz w:val="24"/>
          <w:szCs w:val="24"/>
        </w:rPr>
        <w:t>Në përbërje të grupit kanë qenë përfaqësues në nivel drejtues nga Banka e Shqipërisë, Autoriteti i Mbikëqyrjes Financiare, Ministria e Financave, Ministria e Drejtësisë, Agjencia e Inteligjencës Financiare, Drejtoria e Përgjithshme e Tatimeve, Agjencia Shtetërore e Kadastrës, Autoriteti i Mbikëqyrjes së Lojërave të Fatit, Qendra Kombëtare e Biznesit, Bordi i Mbikëqyrjes Publike dhe Dhoma Kombëtare e Avokatisë.</w:t>
      </w:r>
    </w:p>
    <w:p w14:paraId="35EF1606" w14:textId="18F52262" w:rsidR="0056618D" w:rsidRDefault="006D5D5B" w:rsidP="00E83544">
      <w:pPr>
        <w:pStyle w:val="ListParagraph"/>
        <w:tabs>
          <w:tab w:val="left" w:pos="0"/>
        </w:tabs>
        <w:spacing w:line="276" w:lineRule="auto"/>
        <w:ind w:left="0" w:right="48" w:firstLine="0"/>
        <w:rPr>
          <w:sz w:val="24"/>
          <w:szCs w:val="24"/>
        </w:rPr>
      </w:pPr>
      <w:r w:rsidRPr="006D5D5B">
        <w:rPr>
          <w:sz w:val="24"/>
          <w:szCs w:val="24"/>
        </w:rPr>
        <w:t>Grupi i punës ka bashkërenduar kontributin teknik dhe institucional për hartimin e projektligjit në përputhje me kërkesat e harmonizimit të legjislacionit kombëtar me acquis të Bashkimit Evropian.</w:t>
      </w:r>
    </w:p>
    <w:p w14:paraId="0F34CA1E" w14:textId="77777777" w:rsidR="00446493" w:rsidRPr="001B2FD8" w:rsidRDefault="00446493" w:rsidP="00E83544">
      <w:pPr>
        <w:pStyle w:val="ListParagraph"/>
        <w:tabs>
          <w:tab w:val="left" w:pos="0"/>
        </w:tabs>
        <w:spacing w:line="276" w:lineRule="auto"/>
        <w:ind w:left="0" w:right="48" w:firstLine="0"/>
        <w:rPr>
          <w:sz w:val="24"/>
          <w:szCs w:val="24"/>
        </w:rPr>
      </w:pPr>
    </w:p>
    <w:p w14:paraId="26FF921C" w14:textId="773AA36F" w:rsidR="00E76BF2" w:rsidRDefault="00E94EBD" w:rsidP="004D5FC8">
      <w:pPr>
        <w:pStyle w:val="ListParagraph"/>
        <w:numPr>
          <w:ilvl w:val="0"/>
          <w:numId w:val="1"/>
        </w:numPr>
        <w:tabs>
          <w:tab w:val="left" w:pos="0"/>
          <w:tab w:val="left" w:pos="808"/>
          <w:tab w:val="left" w:pos="811"/>
          <w:tab w:val="left" w:pos="2527"/>
          <w:tab w:val="left" w:pos="3062"/>
          <w:tab w:val="left" w:pos="5274"/>
          <w:tab w:val="left" w:pos="6070"/>
          <w:tab w:val="left" w:pos="6869"/>
          <w:tab w:val="left" w:pos="9111"/>
        </w:tabs>
        <w:spacing w:line="276" w:lineRule="auto"/>
        <w:ind w:left="0" w:right="48" w:firstLine="0"/>
        <w:jc w:val="both"/>
        <w:rPr>
          <w:b/>
          <w:sz w:val="24"/>
          <w:szCs w:val="24"/>
        </w:rPr>
      </w:pPr>
      <w:r w:rsidRPr="001B2FD8">
        <w:rPr>
          <w:b/>
          <w:spacing w:val="-2"/>
          <w:sz w:val="24"/>
          <w:szCs w:val="24"/>
        </w:rPr>
        <w:t>RAPORTI</w:t>
      </w:r>
      <w:r w:rsidR="000001CD" w:rsidRPr="001B2FD8">
        <w:rPr>
          <w:b/>
          <w:spacing w:val="-2"/>
          <w:sz w:val="24"/>
          <w:szCs w:val="24"/>
        </w:rPr>
        <w:t xml:space="preserve"> </w:t>
      </w:r>
      <w:r w:rsidRPr="001B2FD8">
        <w:rPr>
          <w:b/>
          <w:spacing w:val="-10"/>
          <w:sz w:val="24"/>
          <w:szCs w:val="24"/>
        </w:rPr>
        <w:t>I</w:t>
      </w:r>
      <w:r w:rsidR="000001CD" w:rsidRPr="001B2FD8">
        <w:rPr>
          <w:b/>
          <w:spacing w:val="-10"/>
          <w:sz w:val="24"/>
          <w:szCs w:val="24"/>
        </w:rPr>
        <w:t xml:space="preserve"> </w:t>
      </w:r>
      <w:r w:rsidRPr="001B2FD8">
        <w:rPr>
          <w:b/>
          <w:spacing w:val="-2"/>
          <w:sz w:val="24"/>
          <w:szCs w:val="24"/>
        </w:rPr>
        <w:t>VLERËSIMIT</w:t>
      </w:r>
      <w:r w:rsidR="000001CD" w:rsidRPr="001B2FD8">
        <w:rPr>
          <w:b/>
          <w:spacing w:val="-2"/>
          <w:sz w:val="24"/>
          <w:szCs w:val="24"/>
        </w:rPr>
        <w:t xml:space="preserve"> </w:t>
      </w:r>
      <w:r w:rsidRPr="001B2FD8">
        <w:rPr>
          <w:b/>
          <w:spacing w:val="-6"/>
          <w:sz w:val="24"/>
          <w:szCs w:val="24"/>
        </w:rPr>
        <w:t>TË</w:t>
      </w:r>
      <w:r w:rsidR="000001CD" w:rsidRPr="001B2FD8">
        <w:rPr>
          <w:b/>
          <w:spacing w:val="-6"/>
          <w:sz w:val="24"/>
          <w:szCs w:val="24"/>
        </w:rPr>
        <w:t xml:space="preserve"> </w:t>
      </w:r>
      <w:r w:rsidRPr="001B2FD8">
        <w:rPr>
          <w:b/>
          <w:spacing w:val="-6"/>
          <w:sz w:val="24"/>
          <w:szCs w:val="24"/>
        </w:rPr>
        <w:t>TË</w:t>
      </w:r>
      <w:r w:rsidR="000001CD" w:rsidRPr="001B2FD8">
        <w:rPr>
          <w:b/>
          <w:sz w:val="24"/>
          <w:szCs w:val="24"/>
        </w:rPr>
        <w:t xml:space="preserve"> </w:t>
      </w:r>
      <w:r w:rsidRPr="001B2FD8">
        <w:rPr>
          <w:b/>
          <w:spacing w:val="-2"/>
          <w:sz w:val="24"/>
          <w:szCs w:val="24"/>
        </w:rPr>
        <w:t>ARDHURAVE</w:t>
      </w:r>
      <w:r w:rsidRPr="001B2FD8">
        <w:rPr>
          <w:b/>
          <w:sz w:val="24"/>
          <w:szCs w:val="24"/>
        </w:rPr>
        <w:tab/>
      </w:r>
      <w:r w:rsidRPr="001B2FD8">
        <w:rPr>
          <w:b/>
          <w:spacing w:val="-4"/>
          <w:sz w:val="24"/>
          <w:szCs w:val="24"/>
        </w:rPr>
        <w:t>DHE</w:t>
      </w:r>
      <w:r w:rsidR="00E76BF2" w:rsidRPr="001B2FD8">
        <w:rPr>
          <w:b/>
          <w:spacing w:val="-4"/>
          <w:sz w:val="24"/>
          <w:szCs w:val="24"/>
        </w:rPr>
        <w:t xml:space="preserve"> </w:t>
      </w:r>
      <w:r w:rsidRPr="001B2FD8">
        <w:rPr>
          <w:b/>
          <w:sz w:val="24"/>
          <w:szCs w:val="24"/>
        </w:rPr>
        <w:t>SHPENZIMEVE BUXHETORE</w:t>
      </w:r>
    </w:p>
    <w:p w14:paraId="1F9CBE8E" w14:textId="77777777" w:rsidR="00446493" w:rsidRPr="00437A46" w:rsidRDefault="00446493" w:rsidP="00446493">
      <w:pPr>
        <w:pStyle w:val="ListParagraph"/>
        <w:tabs>
          <w:tab w:val="left" w:pos="0"/>
          <w:tab w:val="left" w:pos="808"/>
          <w:tab w:val="left" w:pos="811"/>
          <w:tab w:val="left" w:pos="2527"/>
          <w:tab w:val="left" w:pos="3062"/>
          <w:tab w:val="left" w:pos="5274"/>
          <w:tab w:val="left" w:pos="6070"/>
          <w:tab w:val="left" w:pos="6869"/>
          <w:tab w:val="left" w:pos="9111"/>
        </w:tabs>
        <w:spacing w:line="276" w:lineRule="auto"/>
        <w:ind w:left="0" w:right="48" w:firstLine="0"/>
        <w:rPr>
          <w:b/>
          <w:sz w:val="24"/>
          <w:szCs w:val="24"/>
        </w:rPr>
      </w:pPr>
    </w:p>
    <w:p w14:paraId="4AA3B5BF" w14:textId="77777777" w:rsidR="00886ECC" w:rsidRPr="00886ECC" w:rsidRDefault="00886ECC" w:rsidP="00E83544">
      <w:pPr>
        <w:spacing w:line="276" w:lineRule="auto"/>
        <w:ind w:right="48"/>
        <w:jc w:val="both"/>
        <w:rPr>
          <w:sz w:val="24"/>
          <w:szCs w:val="24"/>
          <w:lang w:val="en-US"/>
        </w:rPr>
      </w:pPr>
      <w:r w:rsidRPr="00886ECC">
        <w:rPr>
          <w:sz w:val="24"/>
          <w:szCs w:val="24"/>
          <w:lang w:val="en-US"/>
        </w:rPr>
        <w:t>Zbatimi i projektligjit kërkon përditësimin e sistemeve të teknologjisë së informacionit, trajnimin e stafit dhe rritjen e kapaciteteve institucionale.</w:t>
      </w:r>
    </w:p>
    <w:p w14:paraId="05803163" w14:textId="77777777" w:rsidR="00886ECC" w:rsidRPr="00886ECC" w:rsidRDefault="00886ECC" w:rsidP="00E83544">
      <w:pPr>
        <w:spacing w:line="276" w:lineRule="auto"/>
        <w:ind w:right="48"/>
        <w:jc w:val="both"/>
        <w:rPr>
          <w:sz w:val="24"/>
          <w:szCs w:val="24"/>
          <w:lang w:val="en-US"/>
        </w:rPr>
      </w:pPr>
      <w:r w:rsidRPr="00886ECC">
        <w:rPr>
          <w:sz w:val="24"/>
          <w:szCs w:val="24"/>
          <w:lang w:val="en-US"/>
        </w:rPr>
        <w:t>Këto masa parashikohen të realizohen brenda burimeve ekzistuese buxhetore ose nëpërmjet rishpërndarjes së fondeve, pa krijuar barrë të papërballueshme për buxhetin e shtetit.</w:t>
      </w:r>
    </w:p>
    <w:p w14:paraId="599FAB33" w14:textId="41A5FD4F" w:rsidR="0013622C" w:rsidRDefault="0013622C" w:rsidP="00E83544">
      <w:pPr>
        <w:spacing w:line="276" w:lineRule="auto"/>
        <w:ind w:right="48"/>
        <w:rPr>
          <w:b/>
          <w:sz w:val="24"/>
          <w:szCs w:val="24"/>
        </w:rPr>
      </w:pPr>
    </w:p>
    <w:p w14:paraId="17F39AE4" w14:textId="7789D279" w:rsidR="00302A73" w:rsidRDefault="00302A73" w:rsidP="00E83544">
      <w:pPr>
        <w:spacing w:line="276" w:lineRule="auto"/>
        <w:ind w:right="48"/>
        <w:rPr>
          <w:b/>
          <w:sz w:val="24"/>
          <w:szCs w:val="24"/>
        </w:rPr>
      </w:pPr>
    </w:p>
    <w:p w14:paraId="7D5C6E41" w14:textId="77777777" w:rsidR="00302A73" w:rsidRPr="001B2FD8" w:rsidRDefault="00302A73" w:rsidP="00E83544">
      <w:pPr>
        <w:spacing w:line="276" w:lineRule="auto"/>
        <w:ind w:right="48"/>
        <w:rPr>
          <w:b/>
          <w:sz w:val="24"/>
          <w:szCs w:val="24"/>
        </w:rPr>
      </w:pPr>
    </w:p>
    <w:p w14:paraId="363B2A51" w14:textId="5DAC55BF" w:rsidR="00A170B0" w:rsidRPr="001B2FD8" w:rsidRDefault="004F0D2D" w:rsidP="00E83544">
      <w:pPr>
        <w:spacing w:line="276" w:lineRule="auto"/>
        <w:ind w:left="491" w:right="48"/>
        <w:jc w:val="center"/>
        <w:rPr>
          <w:b/>
          <w:sz w:val="24"/>
          <w:szCs w:val="24"/>
        </w:rPr>
      </w:pPr>
      <w:r w:rsidRPr="001B2FD8">
        <w:rPr>
          <w:b/>
          <w:sz w:val="24"/>
          <w:szCs w:val="24"/>
        </w:rPr>
        <w:t>MINISTRI</w:t>
      </w:r>
    </w:p>
    <w:p w14:paraId="74DE8782" w14:textId="77777777" w:rsidR="00DA49BA" w:rsidRPr="001B2FD8" w:rsidRDefault="00DA49BA" w:rsidP="00E83544">
      <w:pPr>
        <w:spacing w:line="276" w:lineRule="auto"/>
        <w:ind w:left="491" w:right="48"/>
        <w:jc w:val="center"/>
        <w:rPr>
          <w:b/>
          <w:sz w:val="24"/>
          <w:szCs w:val="24"/>
        </w:rPr>
      </w:pPr>
    </w:p>
    <w:p w14:paraId="0DB79FE8" w14:textId="2BCD296D" w:rsidR="004F0D2D" w:rsidRPr="004E5EF6" w:rsidRDefault="004E5EF6" w:rsidP="00E83544">
      <w:pPr>
        <w:spacing w:line="276" w:lineRule="auto"/>
        <w:ind w:left="491" w:right="48"/>
        <w:jc w:val="center"/>
        <w:rPr>
          <w:b/>
          <w:szCs w:val="24"/>
        </w:rPr>
      </w:pPr>
      <w:r w:rsidRPr="004E5EF6">
        <w:rPr>
          <w:b/>
          <w:szCs w:val="24"/>
        </w:rPr>
        <w:t>PETRIT MALAJ</w:t>
      </w:r>
    </w:p>
    <w:sectPr w:rsidR="004F0D2D" w:rsidRPr="004E5EF6" w:rsidSect="00E83544">
      <w:footerReference w:type="default" r:id="rId8"/>
      <w:pgSz w:w="11906" w:h="16838" w:code="9"/>
      <w:pgMar w:top="1440" w:right="1440" w:bottom="1440" w:left="1440" w:header="0" w:footer="86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5EF0E" w14:textId="77777777" w:rsidR="0024124A" w:rsidRDefault="0024124A">
      <w:r>
        <w:separator/>
      </w:r>
    </w:p>
  </w:endnote>
  <w:endnote w:type="continuationSeparator" w:id="0">
    <w:p w14:paraId="2A26DF87" w14:textId="77777777" w:rsidR="0024124A" w:rsidRDefault="0024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01672429"/>
      <w:docPartObj>
        <w:docPartGallery w:val="Page Numbers (Bottom of Page)"/>
        <w:docPartUnique/>
      </w:docPartObj>
    </w:sdtPr>
    <w:sdtEndPr>
      <w:rPr>
        <w:noProof/>
      </w:rPr>
    </w:sdtEndPr>
    <w:sdtContent>
      <w:p w14:paraId="71B5A7CF" w14:textId="3595421D" w:rsidR="003A31F4" w:rsidRPr="000C1CB4" w:rsidRDefault="003A31F4">
        <w:pPr>
          <w:pStyle w:val="Footer"/>
          <w:jc w:val="right"/>
          <w:rPr>
            <w:sz w:val="20"/>
            <w:szCs w:val="20"/>
          </w:rPr>
        </w:pPr>
        <w:r>
          <w:rPr>
            <w:sz w:val="20"/>
            <w:szCs w:val="20"/>
          </w:rPr>
          <w:t xml:space="preserve">      </w:t>
        </w:r>
        <w:r w:rsidRPr="000C1CB4">
          <w:rPr>
            <w:sz w:val="20"/>
            <w:szCs w:val="20"/>
          </w:rPr>
          <w:fldChar w:fldCharType="begin"/>
        </w:r>
        <w:r w:rsidRPr="000C1CB4">
          <w:rPr>
            <w:sz w:val="20"/>
            <w:szCs w:val="20"/>
          </w:rPr>
          <w:instrText xml:space="preserve"> PAGE   \* MERGEFORMAT </w:instrText>
        </w:r>
        <w:r w:rsidRPr="000C1CB4">
          <w:rPr>
            <w:sz w:val="20"/>
            <w:szCs w:val="20"/>
          </w:rPr>
          <w:fldChar w:fldCharType="separate"/>
        </w:r>
        <w:r w:rsidR="00025C27">
          <w:rPr>
            <w:noProof/>
            <w:sz w:val="20"/>
            <w:szCs w:val="20"/>
          </w:rPr>
          <w:t>21</w:t>
        </w:r>
        <w:r w:rsidRPr="000C1CB4">
          <w:rPr>
            <w:noProof/>
            <w:sz w:val="20"/>
            <w:szCs w:val="20"/>
          </w:rPr>
          <w:fldChar w:fldCharType="end"/>
        </w:r>
      </w:p>
    </w:sdtContent>
  </w:sdt>
  <w:p w14:paraId="49AE2ACD" w14:textId="4A0E219B" w:rsidR="003A31F4" w:rsidRPr="000C1CB4" w:rsidRDefault="003A31F4" w:rsidP="000C1CB4">
    <w:pPr>
      <w:pBdr>
        <w:top w:val="single" w:sz="4" w:space="1" w:color="auto"/>
      </w:pBdr>
      <w:spacing w:line="276" w:lineRule="auto"/>
      <w:ind w:right="48"/>
      <w:jc w:val="center"/>
      <w:rPr>
        <w:bCs/>
        <w:sz w:val="20"/>
        <w:szCs w:val="20"/>
      </w:rPr>
    </w:pPr>
    <w:r w:rsidRPr="000C1CB4">
      <w:rPr>
        <w:bCs/>
        <w:spacing w:val="-5"/>
        <w:sz w:val="20"/>
        <w:szCs w:val="20"/>
      </w:rPr>
      <w:t>Relacion shpjegues për projektligji</w:t>
    </w:r>
    <w:r>
      <w:rPr>
        <w:bCs/>
        <w:spacing w:val="-5"/>
        <w:sz w:val="20"/>
        <w:szCs w:val="20"/>
      </w:rPr>
      <w:t xml:space="preserve">n </w:t>
    </w:r>
    <w:r w:rsidRPr="000C1CB4">
      <w:rPr>
        <w:bCs/>
        <w:sz w:val="20"/>
        <w:szCs w:val="20"/>
      </w:rPr>
      <w:t xml:space="preserve"> “Për parandalimin e pastrimit të parave dhe financimit të terrorizmit”, </w:t>
    </w:r>
  </w:p>
  <w:p w14:paraId="60F3AD41" w14:textId="77777777" w:rsidR="003A31F4" w:rsidRDefault="003A31F4">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F6DE4" w14:textId="77777777" w:rsidR="0024124A" w:rsidRDefault="0024124A">
      <w:r>
        <w:separator/>
      </w:r>
    </w:p>
  </w:footnote>
  <w:footnote w:type="continuationSeparator" w:id="0">
    <w:p w14:paraId="50AC4D45" w14:textId="77777777" w:rsidR="0024124A" w:rsidRDefault="002412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E00"/>
    <w:multiLevelType w:val="multilevel"/>
    <w:tmpl w:val="16D6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F3CED"/>
    <w:multiLevelType w:val="multilevel"/>
    <w:tmpl w:val="3E6E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34F0C"/>
    <w:multiLevelType w:val="multilevel"/>
    <w:tmpl w:val="74D8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17CC4"/>
    <w:multiLevelType w:val="multilevel"/>
    <w:tmpl w:val="5CDE1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841D7"/>
    <w:multiLevelType w:val="multilevel"/>
    <w:tmpl w:val="38CC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57D96"/>
    <w:multiLevelType w:val="hybridMultilevel"/>
    <w:tmpl w:val="3760D6D8"/>
    <w:lvl w:ilvl="0" w:tplc="A0682AA2">
      <w:start w:val="1"/>
      <w:numFmt w:val="upperRoman"/>
      <w:lvlText w:val="%1."/>
      <w:lvlJc w:val="left"/>
      <w:pPr>
        <w:ind w:left="824" w:hanging="464"/>
        <w:jc w:val="right"/>
      </w:pPr>
      <w:rPr>
        <w:rFonts w:ascii="Times New Roman" w:eastAsia="Times New Roman" w:hAnsi="Times New Roman" w:cs="Times New Roman" w:hint="default"/>
        <w:b/>
        <w:bCs/>
        <w:i w:val="0"/>
        <w:iCs w:val="0"/>
        <w:spacing w:val="0"/>
        <w:w w:val="100"/>
        <w:sz w:val="24"/>
        <w:szCs w:val="24"/>
        <w:lang w:val="sq-AL" w:eastAsia="en-US" w:bidi="ar-SA"/>
      </w:rPr>
    </w:lvl>
    <w:lvl w:ilvl="1" w:tplc="5AD03382">
      <w:numFmt w:val="bullet"/>
      <w:lvlText w:val=""/>
      <w:lvlJc w:val="left"/>
      <w:pPr>
        <w:ind w:left="823" w:hanging="360"/>
      </w:pPr>
      <w:rPr>
        <w:rFonts w:ascii="Symbol" w:eastAsia="Symbol" w:hAnsi="Symbol" w:cs="Symbol" w:hint="default"/>
        <w:b w:val="0"/>
        <w:bCs w:val="0"/>
        <w:i w:val="0"/>
        <w:iCs w:val="0"/>
        <w:spacing w:val="0"/>
        <w:w w:val="100"/>
        <w:sz w:val="28"/>
        <w:szCs w:val="28"/>
        <w:lang w:val="sq-AL" w:eastAsia="en-US" w:bidi="ar-SA"/>
      </w:rPr>
    </w:lvl>
    <w:lvl w:ilvl="2" w:tplc="7A28D16E">
      <w:numFmt w:val="bullet"/>
      <w:lvlText w:val="•"/>
      <w:lvlJc w:val="left"/>
      <w:pPr>
        <w:ind w:left="1823" w:hanging="360"/>
      </w:pPr>
      <w:rPr>
        <w:rFonts w:hint="default"/>
        <w:lang w:val="sq-AL" w:eastAsia="en-US" w:bidi="ar-SA"/>
      </w:rPr>
    </w:lvl>
    <w:lvl w:ilvl="3" w:tplc="043A7A76">
      <w:numFmt w:val="bullet"/>
      <w:lvlText w:val="•"/>
      <w:lvlJc w:val="left"/>
      <w:pPr>
        <w:ind w:left="2823" w:hanging="360"/>
      </w:pPr>
      <w:rPr>
        <w:rFonts w:hint="default"/>
        <w:lang w:val="sq-AL" w:eastAsia="en-US" w:bidi="ar-SA"/>
      </w:rPr>
    </w:lvl>
    <w:lvl w:ilvl="4" w:tplc="A01CDF72">
      <w:numFmt w:val="bullet"/>
      <w:lvlText w:val="•"/>
      <w:lvlJc w:val="left"/>
      <w:pPr>
        <w:ind w:left="3823" w:hanging="360"/>
      </w:pPr>
      <w:rPr>
        <w:rFonts w:hint="default"/>
        <w:lang w:val="sq-AL" w:eastAsia="en-US" w:bidi="ar-SA"/>
      </w:rPr>
    </w:lvl>
    <w:lvl w:ilvl="5" w:tplc="BB94BCA0">
      <w:numFmt w:val="bullet"/>
      <w:lvlText w:val="•"/>
      <w:lvlJc w:val="left"/>
      <w:pPr>
        <w:ind w:left="4823" w:hanging="360"/>
      </w:pPr>
      <w:rPr>
        <w:rFonts w:hint="default"/>
        <w:lang w:val="sq-AL" w:eastAsia="en-US" w:bidi="ar-SA"/>
      </w:rPr>
    </w:lvl>
    <w:lvl w:ilvl="6" w:tplc="E2FA13DA">
      <w:numFmt w:val="bullet"/>
      <w:lvlText w:val="•"/>
      <w:lvlJc w:val="left"/>
      <w:pPr>
        <w:ind w:left="5823" w:hanging="360"/>
      </w:pPr>
      <w:rPr>
        <w:rFonts w:hint="default"/>
        <w:lang w:val="sq-AL" w:eastAsia="en-US" w:bidi="ar-SA"/>
      </w:rPr>
    </w:lvl>
    <w:lvl w:ilvl="7" w:tplc="FF482988">
      <w:numFmt w:val="bullet"/>
      <w:lvlText w:val="•"/>
      <w:lvlJc w:val="left"/>
      <w:pPr>
        <w:ind w:left="6823" w:hanging="360"/>
      </w:pPr>
      <w:rPr>
        <w:rFonts w:hint="default"/>
        <w:lang w:val="sq-AL" w:eastAsia="en-US" w:bidi="ar-SA"/>
      </w:rPr>
    </w:lvl>
    <w:lvl w:ilvl="8" w:tplc="B8E6CE5C">
      <w:numFmt w:val="bullet"/>
      <w:lvlText w:val="•"/>
      <w:lvlJc w:val="left"/>
      <w:pPr>
        <w:ind w:left="7823" w:hanging="360"/>
      </w:pPr>
      <w:rPr>
        <w:rFonts w:hint="default"/>
        <w:lang w:val="sq-AL" w:eastAsia="en-US" w:bidi="ar-SA"/>
      </w:rPr>
    </w:lvl>
  </w:abstractNum>
  <w:abstractNum w:abstractNumId="6" w15:restartNumberingAfterBreak="0">
    <w:nsid w:val="1AF861E6"/>
    <w:multiLevelType w:val="multilevel"/>
    <w:tmpl w:val="FE86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D1BCE"/>
    <w:multiLevelType w:val="multilevel"/>
    <w:tmpl w:val="D246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F6F3E"/>
    <w:multiLevelType w:val="multilevel"/>
    <w:tmpl w:val="C736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73C50"/>
    <w:multiLevelType w:val="multilevel"/>
    <w:tmpl w:val="185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15570"/>
    <w:multiLevelType w:val="multilevel"/>
    <w:tmpl w:val="C9A2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6E7C10"/>
    <w:multiLevelType w:val="multilevel"/>
    <w:tmpl w:val="6956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03651"/>
    <w:multiLevelType w:val="hybridMultilevel"/>
    <w:tmpl w:val="2FF2C1E6"/>
    <w:lvl w:ilvl="0" w:tplc="878ECA30">
      <w:start w:val="3"/>
      <w:numFmt w:val="bullet"/>
      <w:lvlText w:val="-"/>
      <w:lvlJc w:val="left"/>
      <w:pPr>
        <w:ind w:left="720" w:hanging="360"/>
      </w:pPr>
      <w:rPr>
        <w:rFonts w:ascii="Times New Roman" w:eastAsiaTheme="minorEastAsia"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3CFB2EF4"/>
    <w:multiLevelType w:val="multilevel"/>
    <w:tmpl w:val="1194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215F8"/>
    <w:multiLevelType w:val="multilevel"/>
    <w:tmpl w:val="E39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85F66"/>
    <w:multiLevelType w:val="multilevel"/>
    <w:tmpl w:val="2D10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45CBA"/>
    <w:multiLevelType w:val="multilevel"/>
    <w:tmpl w:val="31B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C52187"/>
    <w:multiLevelType w:val="multilevel"/>
    <w:tmpl w:val="CA16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9D6574"/>
    <w:multiLevelType w:val="multilevel"/>
    <w:tmpl w:val="BD3C2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DA1B42"/>
    <w:multiLevelType w:val="multilevel"/>
    <w:tmpl w:val="D206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6F54D1"/>
    <w:multiLevelType w:val="multilevel"/>
    <w:tmpl w:val="24F0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02819"/>
    <w:multiLevelType w:val="hybridMultilevel"/>
    <w:tmpl w:val="9A180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A2E41"/>
    <w:multiLevelType w:val="multilevel"/>
    <w:tmpl w:val="5852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006451"/>
    <w:multiLevelType w:val="multilevel"/>
    <w:tmpl w:val="7D42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6D3873"/>
    <w:multiLevelType w:val="multilevel"/>
    <w:tmpl w:val="ABA8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BD6DE4"/>
    <w:multiLevelType w:val="multilevel"/>
    <w:tmpl w:val="0D34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6819B6"/>
    <w:multiLevelType w:val="multilevel"/>
    <w:tmpl w:val="0CE2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FB55FF"/>
    <w:multiLevelType w:val="multilevel"/>
    <w:tmpl w:val="AB36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8767D3"/>
    <w:multiLevelType w:val="multilevel"/>
    <w:tmpl w:val="90A2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5E26B8"/>
    <w:multiLevelType w:val="multilevel"/>
    <w:tmpl w:val="0FFC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736D18"/>
    <w:multiLevelType w:val="multilevel"/>
    <w:tmpl w:val="0466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8B4907"/>
    <w:multiLevelType w:val="multilevel"/>
    <w:tmpl w:val="AE34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016A8A"/>
    <w:multiLevelType w:val="multilevel"/>
    <w:tmpl w:val="20C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534864"/>
    <w:multiLevelType w:val="multilevel"/>
    <w:tmpl w:val="BA22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BF2B8E"/>
    <w:multiLevelType w:val="multilevel"/>
    <w:tmpl w:val="57C6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1C20C3"/>
    <w:multiLevelType w:val="multilevel"/>
    <w:tmpl w:val="3C5C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1B11A8"/>
    <w:multiLevelType w:val="multilevel"/>
    <w:tmpl w:val="0916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A8692B"/>
    <w:multiLevelType w:val="multilevel"/>
    <w:tmpl w:val="B834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0715BD"/>
    <w:multiLevelType w:val="multilevel"/>
    <w:tmpl w:val="6A54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0E07C5"/>
    <w:multiLevelType w:val="hybridMultilevel"/>
    <w:tmpl w:val="458ECFE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5"/>
  </w:num>
  <w:num w:numId="2">
    <w:abstractNumId w:val="20"/>
  </w:num>
  <w:num w:numId="3">
    <w:abstractNumId w:val="26"/>
  </w:num>
  <w:num w:numId="4">
    <w:abstractNumId w:val="31"/>
  </w:num>
  <w:num w:numId="5">
    <w:abstractNumId w:val="29"/>
  </w:num>
  <w:num w:numId="6">
    <w:abstractNumId w:val="22"/>
  </w:num>
  <w:num w:numId="7">
    <w:abstractNumId w:val="32"/>
  </w:num>
  <w:num w:numId="8">
    <w:abstractNumId w:val="7"/>
  </w:num>
  <w:num w:numId="9">
    <w:abstractNumId w:val="24"/>
  </w:num>
  <w:num w:numId="10">
    <w:abstractNumId w:val="34"/>
  </w:num>
  <w:num w:numId="11">
    <w:abstractNumId w:val="17"/>
  </w:num>
  <w:num w:numId="12">
    <w:abstractNumId w:val="37"/>
  </w:num>
  <w:num w:numId="13">
    <w:abstractNumId w:val="6"/>
  </w:num>
  <w:num w:numId="14">
    <w:abstractNumId w:val="19"/>
  </w:num>
  <w:num w:numId="15">
    <w:abstractNumId w:val="25"/>
  </w:num>
  <w:num w:numId="16">
    <w:abstractNumId w:val="14"/>
  </w:num>
  <w:num w:numId="17">
    <w:abstractNumId w:val="11"/>
  </w:num>
  <w:num w:numId="18">
    <w:abstractNumId w:val="36"/>
  </w:num>
  <w:num w:numId="19">
    <w:abstractNumId w:val="2"/>
  </w:num>
  <w:num w:numId="20">
    <w:abstractNumId w:val="16"/>
  </w:num>
  <w:num w:numId="21">
    <w:abstractNumId w:val="33"/>
  </w:num>
  <w:num w:numId="22">
    <w:abstractNumId w:val="0"/>
  </w:num>
  <w:num w:numId="23">
    <w:abstractNumId w:val="23"/>
  </w:num>
  <w:num w:numId="24">
    <w:abstractNumId w:val="28"/>
  </w:num>
  <w:num w:numId="25">
    <w:abstractNumId w:val="1"/>
  </w:num>
  <w:num w:numId="26">
    <w:abstractNumId w:val="15"/>
  </w:num>
  <w:num w:numId="27">
    <w:abstractNumId w:val="27"/>
  </w:num>
  <w:num w:numId="28">
    <w:abstractNumId w:val="9"/>
  </w:num>
  <w:num w:numId="29">
    <w:abstractNumId w:val="38"/>
  </w:num>
  <w:num w:numId="30">
    <w:abstractNumId w:val="35"/>
  </w:num>
  <w:num w:numId="31">
    <w:abstractNumId w:val="4"/>
  </w:num>
  <w:num w:numId="32">
    <w:abstractNumId w:val="3"/>
  </w:num>
  <w:num w:numId="33">
    <w:abstractNumId w:val="13"/>
  </w:num>
  <w:num w:numId="34">
    <w:abstractNumId w:val="18"/>
  </w:num>
  <w:num w:numId="35">
    <w:abstractNumId w:val="10"/>
  </w:num>
  <w:num w:numId="36">
    <w:abstractNumId w:val="30"/>
  </w:num>
  <w:num w:numId="37">
    <w:abstractNumId w:val="8"/>
  </w:num>
  <w:num w:numId="38">
    <w:abstractNumId w:val="21"/>
  </w:num>
  <w:num w:numId="39">
    <w:abstractNumId w:val="12"/>
  </w:num>
  <w:num w:numId="40">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BC"/>
    <w:rsid w:val="000001CD"/>
    <w:rsid w:val="00002EAF"/>
    <w:rsid w:val="000038AD"/>
    <w:rsid w:val="00004380"/>
    <w:rsid w:val="0000439D"/>
    <w:rsid w:val="00004E5E"/>
    <w:rsid w:val="00005984"/>
    <w:rsid w:val="00005FE5"/>
    <w:rsid w:val="000139A6"/>
    <w:rsid w:val="00025C27"/>
    <w:rsid w:val="00027D64"/>
    <w:rsid w:val="0004188A"/>
    <w:rsid w:val="000623FB"/>
    <w:rsid w:val="0006355F"/>
    <w:rsid w:val="00066B73"/>
    <w:rsid w:val="000763DD"/>
    <w:rsid w:val="00090E82"/>
    <w:rsid w:val="000973CD"/>
    <w:rsid w:val="000A224C"/>
    <w:rsid w:val="000C1CB4"/>
    <w:rsid w:val="000C7ADA"/>
    <w:rsid w:val="000C7D7F"/>
    <w:rsid w:val="000E1318"/>
    <w:rsid w:val="000E399A"/>
    <w:rsid w:val="000E50FE"/>
    <w:rsid w:val="001014F3"/>
    <w:rsid w:val="00103330"/>
    <w:rsid w:val="00103C84"/>
    <w:rsid w:val="001312BE"/>
    <w:rsid w:val="00132AA3"/>
    <w:rsid w:val="0013622C"/>
    <w:rsid w:val="001372A4"/>
    <w:rsid w:val="001439A3"/>
    <w:rsid w:val="00144779"/>
    <w:rsid w:val="0015179C"/>
    <w:rsid w:val="0016474B"/>
    <w:rsid w:val="001938A9"/>
    <w:rsid w:val="00194B4F"/>
    <w:rsid w:val="00195900"/>
    <w:rsid w:val="0019658A"/>
    <w:rsid w:val="001A416F"/>
    <w:rsid w:val="001A4D58"/>
    <w:rsid w:val="001A7009"/>
    <w:rsid w:val="001B12F6"/>
    <w:rsid w:val="001B2FD8"/>
    <w:rsid w:val="001B3476"/>
    <w:rsid w:val="001C19FD"/>
    <w:rsid w:val="001D1304"/>
    <w:rsid w:val="001D6344"/>
    <w:rsid w:val="001D7B94"/>
    <w:rsid w:val="001E02B6"/>
    <w:rsid w:val="001E24BA"/>
    <w:rsid w:val="001F11A2"/>
    <w:rsid w:val="002152AE"/>
    <w:rsid w:val="00230C8D"/>
    <w:rsid w:val="0024124A"/>
    <w:rsid w:val="002579AA"/>
    <w:rsid w:val="00292B17"/>
    <w:rsid w:val="002A7836"/>
    <w:rsid w:val="002B1338"/>
    <w:rsid w:val="002B1840"/>
    <w:rsid w:val="002C0368"/>
    <w:rsid w:val="002C3AF6"/>
    <w:rsid w:val="002E11D4"/>
    <w:rsid w:val="002F1A0C"/>
    <w:rsid w:val="00300E56"/>
    <w:rsid w:val="00302A73"/>
    <w:rsid w:val="00330E9B"/>
    <w:rsid w:val="0033704F"/>
    <w:rsid w:val="00356BEA"/>
    <w:rsid w:val="00364646"/>
    <w:rsid w:val="003A31F4"/>
    <w:rsid w:val="003A51E9"/>
    <w:rsid w:val="003B2AE3"/>
    <w:rsid w:val="003B348F"/>
    <w:rsid w:val="003B71A0"/>
    <w:rsid w:val="003C4224"/>
    <w:rsid w:val="003E3C36"/>
    <w:rsid w:val="003F36CD"/>
    <w:rsid w:val="003F7041"/>
    <w:rsid w:val="003F7C7D"/>
    <w:rsid w:val="004142D0"/>
    <w:rsid w:val="00426B9D"/>
    <w:rsid w:val="00433F79"/>
    <w:rsid w:val="00437A46"/>
    <w:rsid w:val="00446493"/>
    <w:rsid w:val="00464EE7"/>
    <w:rsid w:val="00470762"/>
    <w:rsid w:val="00473A3D"/>
    <w:rsid w:val="00480201"/>
    <w:rsid w:val="004836FC"/>
    <w:rsid w:val="00490CF3"/>
    <w:rsid w:val="00492C0E"/>
    <w:rsid w:val="00496CC7"/>
    <w:rsid w:val="004A7A2A"/>
    <w:rsid w:val="004B0520"/>
    <w:rsid w:val="004C27D7"/>
    <w:rsid w:val="004C7389"/>
    <w:rsid w:val="004D5FC8"/>
    <w:rsid w:val="004E5EF6"/>
    <w:rsid w:val="004F0D2D"/>
    <w:rsid w:val="004F4CCB"/>
    <w:rsid w:val="00500057"/>
    <w:rsid w:val="00505694"/>
    <w:rsid w:val="00506BD8"/>
    <w:rsid w:val="005136A4"/>
    <w:rsid w:val="00515CBD"/>
    <w:rsid w:val="0051664E"/>
    <w:rsid w:val="0053792F"/>
    <w:rsid w:val="005427B9"/>
    <w:rsid w:val="00544D31"/>
    <w:rsid w:val="00546CD1"/>
    <w:rsid w:val="00553A21"/>
    <w:rsid w:val="00554035"/>
    <w:rsid w:val="005552C8"/>
    <w:rsid w:val="00556BFD"/>
    <w:rsid w:val="00563A38"/>
    <w:rsid w:val="0056618D"/>
    <w:rsid w:val="0056683A"/>
    <w:rsid w:val="0057297F"/>
    <w:rsid w:val="00590247"/>
    <w:rsid w:val="00597749"/>
    <w:rsid w:val="005A29AE"/>
    <w:rsid w:val="005A406F"/>
    <w:rsid w:val="005D6403"/>
    <w:rsid w:val="00613779"/>
    <w:rsid w:val="0062489A"/>
    <w:rsid w:val="00640C54"/>
    <w:rsid w:val="006639D0"/>
    <w:rsid w:val="00665B38"/>
    <w:rsid w:val="00667DE2"/>
    <w:rsid w:val="006759DB"/>
    <w:rsid w:val="00683BFC"/>
    <w:rsid w:val="0069290F"/>
    <w:rsid w:val="006934F9"/>
    <w:rsid w:val="006B13CA"/>
    <w:rsid w:val="006D5D5B"/>
    <w:rsid w:val="006E1886"/>
    <w:rsid w:val="006F0635"/>
    <w:rsid w:val="006F243E"/>
    <w:rsid w:val="006F2A0E"/>
    <w:rsid w:val="00717AFA"/>
    <w:rsid w:val="007227BB"/>
    <w:rsid w:val="007309D3"/>
    <w:rsid w:val="007333CC"/>
    <w:rsid w:val="007457FC"/>
    <w:rsid w:val="0075341D"/>
    <w:rsid w:val="00754B49"/>
    <w:rsid w:val="00781C22"/>
    <w:rsid w:val="00795C64"/>
    <w:rsid w:val="007C41F6"/>
    <w:rsid w:val="007D12D1"/>
    <w:rsid w:val="007F39D2"/>
    <w:rsid w:val="007F3C89"/>
    <w:rsid w:val="007F4F28"/>
    <w:rsid w:val="00802880"/>
    <w:rsid w:val="008037EE"/>
    <w:rsid w:val="00804179"/>
    <w:rsid w:val="00811399"/>
    <w:rsid w:val="008312E9"/>
    <w:rsid w:val="00834908"/>
    <w:rsid w:val="008528DD"/>
    <w:rsid w:val="00861882"/>
    <w:rsid w:val="00870145"/>
    <w:rsid w:val="00871F18"/>
    <w:rsid w:val="00886ECC"/>
    <w:rsid w:val="00897006"/>
    <w:rsid w:val="008B6F6E"/>
    <w:rsid w:val="008C701F"/>
    <w:rsid w:val="008D10E3"/>
    <w:rsid w:val="008E0EFC"/>
    <w:rsid w:val="008E626D"/>
    <w:rsid w:val="009047FA"/>
    <w:rsid w:val="0092540A"/>
    <w:rsid w:val="00936260"/>
    <w:rsid w:val="00940334"/>
    <w:rsid w:val="00942D78"/>
    <w:rsid w:val="009505BC"/>
    <w:rsid w:val="00962A2D"/>
    <w:rsid w:val="00966B06"/>
    <w:rsid w:val="009712F9"/>
    <w:rsid w:val="009734A6"/>
    <w:rsid w:val="00975C14"/>
    <w:rsid w:val="009952F2"/>
    <w:rsid w:val="009D1EF0"/>
    <w:rsid w:val="009D3D16"/>
    <w:rsid w:val="009F5A9F"/>
    <w:rsid w:val="009F616A"/>
    <w:rsid w:val="00A02418"/>
    <w:rsid w:val="00A02801"/>
    <w:rsid w:val="00A1062A"/>
    <w:rsid w:val="00A170B0"/>
    <w:rsid w:val="00A17DF7"/>
    <w:rsid w:val="00A23724"/>
    <w:rsid w:val="00A24964"/>
    <w:rsid w:val="00A413A5"/>
    <w:rsid w:val="00A60C56"/>
    <w:rsid w:val="00A66583"/>
    <w:rsid w:val="00AA1D7D"/>
    <w:rsid w:val="00AA3B07"/>
    <w:rsid w:val="00AA437C"/>
    <w:rsid w:val="00AD4693"/>
    <w:rsid w:val="00AD7853"/>
    <w:rsid w:val="00AE4159"/>
    <w:rsid w:val="00AF7503"/>
    <w:rsid w:val="00B0084F"/>
    <w:rsid w:val="00B0667A"/>
    <w:rsid w:val="00B3183D"/>
    <w:rsid w:val="00B64014"/>
    <w:rsid w:val="00B71559"/>
    <w:rsid w:val="00B72800"/>
    <w:rsid w:val="00B816E9"/>
    <w:rsid w:val="00B84A87"/>
    <w:rsid w:val="00B97FD5"/>
    <w:rsid w:val="00BA0521"/>
    <w:rsid w:val="00BA1798"/>
    <w:rsid w:val="00BA6F6F"/>
    <w:rsid w:val="00BB03C6"/>
    <w:rsid w:val="00BB53C1"/>
    <w:rsid w:val="00BC662D"/>
    <w:rsid w:val="00BF3EEE"/>
    <w:rsid w:val="00BF4AFC"/>
    <w:rsid w:val="00C04806"/>
    <w:rsid w:val="00C17726"/>
    <w:rsid w:val="00C20AFF"/>
    <w:rsid w:val="00C224AA"/>
    <w:rsid w:val="00C35AFA"/>
    <w:rsid w:val="00C40173"/>
    <w:rsid w:val="00C452DC"/>
    <w:rsid w:val="00C47C9B"/>
    <w:rsid w:val="00C675BA"/>
    <w:rsid w:val="00C82945"/>
    <w:rsid w:val="00C84E19"/>
    <w:rsid w:val="00C93047"/>
    <w:rsid w:val="00CB0096"/>
    <w:rsid w:val="00CC15D0"/>
    <w:rsid w:val="00CD6840"/>
    <w:rsid w:val="00CE2AE2"/>
    <w:rsid w:val="00CE3CEE"/>
    <w:rsid w:val="00CE6848"/>
    <w:rsid w:val="00D06F6B"/>
    <w:rsid w:val="00D1530D"/>
    <w:rsid w:val="00D24F12"/>
    <w:rsid w:val="00D81940"/>
    <w:rsid w:val="00D90B87"/>
    <w:rsid w:val="00DA02FD"/>
    <w:rsid w:val="00DA49BA"/>
    <w:rsid w:val="00DC26F2"/>
    <w:rsid w:val="00DD4AC9"/>
    <w:rsid w:val="00DE3404"/>
    <w:rsid w:val="00DE453E"/>
    <w:rsid w:val="00DE7352"/>
    <w:rsid w:val="00DF6FE4"/>
    <w:rsid w:val="00E00808"/>
    <w:rsid w:val="00E02575"/>
    <w:rsid w:val="00E03C40"/>
    <w:rsid w:val="00E11606"/>
    <w:rsid w:val="00E139B2"/>
    <w:rsid w:val="00E21594"/>
    <w:rsid w:val="00E448F0"/>
    <w:rsid w:val="00E516E4"/>
    <w:rsid w:val="00E61A37"/>
    <w:rsid w:val="00E76BF2"/>
    <w:rsid w:val="00E80B56"/>
    <w:rsid w:val="00E80D9F"/>
    <w:rsid w:val="00E83544"/>
    <w:rsid w:val="00E94EBD"/>
    <w:rsid w:val="00EC0726"/>
    <w:rsid w:val="00EC1547"/>
    <w:rsid w:val="00ED095C"/>
    <w:rsid w:val="00ED09E7"/>
    <w:rsid w:val="00F015D6"/>
    <w:rsid w:val="00F17E8F"/>
    <w:rsid w:val="00F26F6C"/>
    <w:rsid w:val="00F360F3"/>
    <w:rsid w:val="00F443E0"/>
    <w:rsid w:val="00F470FA"/>
    <w:rsid w:val="00F7173D"/>
    <w:rsid w:val="00F7601B"/>
    <w:rsid w:val="00F86FDE"/>
    <w:rsid w:val="00F940D1"/>
    <w:rsid w:val="00FB04D0"/>
    <w:rsid w:val="00FB3AC4"/>
    <w:rsid w:val="00FD70B2"/>
    <w:rsid w:val="00FE0B1D"/>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9BE7F"/>
  <w15:docId w15:val="{E8967EF3-A7D6-454B-B4A1-E1390470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E0B1D"/>
    <w:rPr>
      <w:rFonts w:ascii="Times New Roman" w:eastAsia="Times New Roman" w:hAnsi="Times New Roman" w:cs="Times New Roman"/>
      <w:lang w:val="sq-AL"/>
    </w:rPr>
  </w:style>
  <w:style w:type="paragraph" w:styleId="Heading1">
    <w:name w:val="heading 1"/>
    <w:basedOn w:val="Normal"/>
    <w:link w:val="Heading1Char"/>
    <w:uiPriority w:val="9"/>
    <w:qFormat/>
    <w:rsid w:val="004836FC"/>
    <w:pPr>
      <w:widowControl/>
      <w:autoSpaceDE/>
      <w:autoSpaceDN/>
      <w:spacing w:before="100" w:beforeAutospacing="1" w:after="100" w:afterAutospacing="1"/>
      <w:outlineLvl w:val="0"/>
    </w:pPr>
    <w:rPr>
      <w:b/>
      <w:bCs/>
      <w:kern w:val="36"/>
      <w:sz w:val="48"/>
      <w:szCs w:val="48"/>
      <w:lang w:val="en-US"/>
    </w:rPr>
  </w:style>
  <w:style w:type="paragraph" w:styleId="Heading2">
    <w:name w:val="heading 2"/>
    <w:basedOn w:val="Normal"/>
    <w:link w:val="Heading2Char"/>
    <w:uiPriority w:val="9"/>
    <w:qFormat/>
    <w:rsid w:val="004836FC"/>
    <w:pPr>
      <w:widowControl/>
      <w:autoSpaceDE/>
      <w:autoSpaceDN/>
      <w:spacing w:before="100" w:beforeAutospacing="1" w:after="100" w:afterAutospacing="1"/>
      <w:outlineLvl w:val="1"/>
    </w:pPr>
    <w:rPr>
      <w:b/>
      <w:bCs/>
      <w:sz w:val="36"/>
      <w:szCs w:val="36"/>
      <w:lang w:val="en-US"/>
    </w:rPr>
  </w:style>
  <w:style w:type="paragraph" w:styleId="Heading3">
    <w:name w:val="heading 3"/>
    <w:basedOn w:val="Normal"/>
    <w:next w:val="Normal"/>
    <w:link w:val="Heading3Char"/>
    <w:uiPriority w:val="9"/>
    <w:semiHidden/>
    <w:unhideWhenUsed/>
    <w:qFormat/>
    <w:rsid w:val="001F11A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8"/>
      <w:szCs w:val="28"/>
    </w:rPr>
  </w:style>
  <w:style w:type="paragraph" w:styleId="ListParagraph">
    <w:name w:val="List Paragraph"/>
    <w:basedOn w:val="Normal"/>
    <w:uiPriority w:val="34"/>
    <w:qFormat/>
    <w:pPr>
      <w:ind w:left="1080" w:right="355" w:hanging="360"/>
      <w:jc w:val="both"/>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sid w:val="00FE0B1D"/>
    <w:pPr>
      <w:widowControl/>
      <w:autoSpaceDE/>
      <w:autoSpaceDN/>
    </w:pPr>
    <w:rPr>
      <w:rFonts w:ascii="Calibri" w:eastAsiaTheme="minorHAnsi" w:hAnsi="Calibri" w:cs="Calibri"/>
      <w:sz w:val="20"/>
      <w:szCs w:val="20"/>
      <w:lang w:val="en-US"/>
    </w:rPr>
  </w:style>
  <w:style w:type="character" w:customStyle="1" w:styleId="CommentTextChar">
    <w:name w:val="Comment Text Char"/>
    <w:basedOn w:val="DefaultParagraphFont"/>
    <w:link w:val="CommentText"/>
    <w:uiPriority w:val="99"/>
    <w:semiHidden/>
    <w:rsid w:val="00FE0B1D"/>
    <w:rPr>
      <w:rFonts w:ascii="Calibri" w:hAnsi="Calibri" w:cs="Calibri"/>
      <w:sz w:val="20"/>
      <w:szCs w:val="20"/>
    </w:rPr>
  </w:style>
  <w:style w:type="paragraph" w:styleId="Header">
    <w:name w:val="header"/>
    <w:basedOn w:val="Normal"/>
    <w:link w:val="HeaderChar"/>
    <w:uiPriority w:val="99"/>
    <w:unhideWhenUsed/>
    <w:rsid w:val="0013622C"/>
    <w:pPr>
      <w:tabs>
        <w:tab w:val="center" w:pos="4513"/>
        <w:tab w:val="right" w:pos="9026"/>
      </w:tabs>
    </w:pPr>
  </w:style>
  <w:style w:type="character" w:customStyle="1" w:styleId="HeaderChar">
    <w:name w:val="Header Char"/>
    <w:basedOn w:val="DefaultParagraphFont"/>
    <w:link w:val="Header"/>
    <w:uiPriority w:val="99"/>
    <w:rsid w:val="0013622C"/>
    <w:rPr>
      <w:rFonts w:ascii="Times New Roman" w:eastAsia="Times New Roman" w:hAnsi="Times New Roman" w:cs="Times New Roman"/>
      <w:lang w:val="sq-AL"/>
    </w:rPr>
  </w:style>
  <w:style w:type="paragraph" w:styleId="Footer">
    <w:name w:val="footer"/>
    <w:basedOn w:val="Normal"/>
    <w:link w:val="FooterChar"/>
    <w:uiPriority w:val="99"/>
    <w:unhideWhenUsed/>
    <w:rsid w:val="0013622C"/>
    <w:pPr>
      <w:tabs>
        <w:tab w:val="center" w:pos="4513"/>
        <w:tab w:val="right" w:pos="9026"/>
      </w:tabs>
    </w:pPr>
  </w:style>
  <w:style w:type="character" w:customStyle="1" w:styleId="FooterChar">
    <w:name w:val="Footer Char"/>
    <w:basedOn w:val="DefaultParagraphFont"/>
    <w:link w:val="Footer"/>
    <w:uiPriority w:val="99"/>
    <w:rsid w:val="0013622C"/>
    <w:rPr>
      <w:rFonts w:ascii="Times New Roman" w:eastAsia="Times New Roman" w:hAnsi="Times New Roman" w:cs="Times New Roman"/>
      <w:lang w:val="sq-AL"/>
    </w:rPr>
  </w:style>
  <w:style w:type="paragraph" w:customStyle="1" w:styleId="Default">
    <w:name w:val="Default"/>
    <w:rsid w:val="00473A3D"/>
    <w:pPr>
      <w:widowControl/>
      <w:adjustRightInd w:val="0"/>
    </w:pPr>
    <w:rPr>
      <w:rFonts w:ascii="Times New Roman" w:hAnsi="Times New Roman" w:cs="Times New Roman"/>
      <w:color w:val="000000"/>
      <w:sz w:val="24"/>
      <w:szCs w:val="24"/>
    </w:rPr>
  </w:style>
  <w:style w:type="paragraph" w:customStyle="1" w:styleId="Paragrafi">
    <w:name w:val="Paragrafi"/>
    <w:rsid w:val="00DD4AC9"/>
    <w:pPr>
      <w:autoSpaceDE/>
      <w:autoSpaceDN/>
      <w:ind w:firstLine="720"/>
      <w:jc w:val="both"/>
    </w:pPr>
    <w:rPr>
      <w:rFonts w:ascii="CG Times" w:eastAsia="Times New Roman" w:hAnsi="CG Times" w:cs="Times New Roman"/>
      <w:szCs w:val="20"/>
    </w:rPr>
  </w:style>
  <w:style w:type="character" w:styleId="Emphasis">
    <w:name w:val="Emphasis"/>
    <w:basedOn w:val="DefaultParagraphFont"/>
    <w:uiPriority w:val="20"/>
    <w:qFormat/>
    <w:rsid w:val="0051664E"/>
    <w:rPr>
      <w:i/>
      <w:iCs/>
    </w:rPr>
  </w:style>
  <w:style w:type="paragraph" w:styleId="FootnoteText">
    <w:name w:val="footnote text"/>
    <w:basedOn w:val="Normal"/>
    <w:link w:val="FootnoteTextChar"/>
    <w:uiPriority w:val="99"/>
    <w:semiHidden/>
    <w:unhideWhenUsed/>
    <w:rsid w:val="00554035"/>
    <w:rPr>
      <w:sz w:val="20"/>
      <w:szCs w:val="20"/>
    </w:rPr>
  </w:style>
  <w:style w:type="character" w:customStyle="1" w:styleId="FootnoteTextChar">
    <w:name w:val="Footnote Text Char"/>
    <w:basedOn w:val="DefaultParagraphFont"/>
    <w:link w:val="FootnoteText"/>
    <w:uiPriority w:val="99"/>
    <w:semiHidden/>
    <w:rsid w:val="00554035"/>
    <w:rPr>
      <w:rFonts w:ascii="Times New Roman" w:eastAsia="Times New Roman" w:hAnsi="Times New Roman" w:cs="Times New Roman"/>
      <w:sz w:val="20"/>
      <w:szCs w:val="20"/>
      <w:lang w:val="sq-AL"/>
    </w:rPr>
  </w:style>
  <w:style w:type="character" w:styleId="FootnoteReference">
    <w:name w:val="footnote reference"/>
    <w:basedOn w:val="DefaultParagraphFont"/>
    <w:uiPriority w:val="99"/>
    <w:semiHidden/>
    <w:unhideWhenUsed/>
    <w:rsid w:val="00554035"/>
    <w:rPr>
      <w:vertAlign w:val="superscript"/>
    </w:rPr>
  </w:style>
  <w:style w:type="character" w:styleId="Hyperlink">
    <w:name w:val="Hyperlink"/>
    <w:basedOn w:val="DefaultParagraphFont"/>
    <w:uiPriority w:val="99"/>
    <w:unhideWhenUsed/>
    <w:rsid w:val="000E50FE"/>
    <w:rPr>
      <w:color w:val="0000FF" w:themeColor="hyperlink"/>
      <w:u w:val="single"/>
    </w:rPr>
  </w:style>
  <w:style w:type="character" w:customStyle="1" w:styleId="Heading1Char">
    <w:name w:val="Heading 1 Char"/>
    <w:basedOn w:val="DefaultParagraphFont"/>
    <w:link w:val="Heading1"/>
    <w:uiPriority w:val="9"/>
    <w:rsid w:val="004836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36F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836FC"/>
    <w:pPr>
      <w:widowControl/>
      <w:autoSpaceDE/>
      <w:autoSpaceDN/>
      <w:spacing w:before="100" w:beforeAutospacing="1" w:after="100" w:afterAutospacing="1"/>
    </w:pPr>
    <w:rPr>
      <w:sz w:val="24"/>
      <w:szCs w:val="24"/>
      <w:lang w:val="en-US"/>
    </w:rPr>
  </w:style>
  <w:style w:type="character" w:customStyle="1" w:styleId="Heading3Char">
    <w:name w:val="Heading 3 Char"/>
    <w:basedOn w:val="DefaultParagraphFont"/>
    <w:link w:val="Heading3"/>
    <w:uiPriority w:val="9"/>
    <w:semiHidden/>
    <w:rsid w:val="001F11A2"/>
    <w:rPr>
      <w:rFonts w:asciiTheme="majorHAnsi" w:eastAsiaTheme="majorEastAsia" w:hAnsiTheme="majorHAnsi" w:cstheme="majorBidi"/>
      <w:color w:val="243F60" w:themeColor="accent1" w:themeShade="7F"/>
      <w:sz w:val="24"/>
      <w:szCs w:val="24"/>
      <w:lang w:val="sq-AL"/>
    </w:rPr>
  </w:style>
  <w:style w:type="character" w:styleId="Strong">
    <w:name w:val="Strong"/>
    <w:basedOn w:val="DefaultParagraphFont"/>
    <w:uiPriority w:val="22"/>
    <w:qFormat/>
    <w:rsid w:val="00FB0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9157">
      <w:bodyDiv w:val="1"/>
      <w:marLeft w:val="0"/>
      <w:marRight w:val="0"/>
      <w:marTop w:val="0"/>
      <w:marBottom w:val="0"/>
      <w:divBdr>
        <w:top w:val="none" w:sz="0" w:space="0" w:color="auto"/>
        <w:left w:val="none" w:sz="0" w:space="0" w:color="auto"/>
        <w:bottom w:val="none" w:sz="0" w:space="0" w:color="auto"/>
        <w:right w:val="none" w:sz="0" w:space="0" w:color="auto"/>
      </w:divBdr>
    </w:div>
    <w:div w:id="186722553">
      <w:bodyDiv w:val="1"/>
      <w:marLeft w:val="0"/>
      <w:marRight w:val="0"/>
      <w:marTop w:val="0"/>
      <w:marBottom w:val="0"/>
      <w:divBdr>
        <w:top w:val="none" w:sz="0" w:space="0" w:color="auto"/>
        <w:left w:val="none" w:sz="0" w:space="0" w:color="auto"/>
        <w:bottom w:val="none" w:sz="0" w:space="0" w:color="auto"/>
        <w:right w:val="none" w:sz="0" w:space="0" w:color="auto"/>
      </w:divBdr>
    </w:div>
    <w:div w:id="203297316">
      <w:bodyDiv w:val="1"/>
      <w:marLeft w:val="0"/>
      <w:marRight w:val="0"/>
      <w:marTop w:val="0"/>
      <w:marBottom w:val="0"/>
      <w:divBdr>
        <w:top w:val="none" w:sz="0" w:space="0" w:color="auto"/>
        <w:left w:val="none" w:sz="0" w:space="0" w:color="auto"/>
        <w:bottom w:val="none" w:sz="0" w:space="0" w:color="auto"/>
        <w:right w:val="none" w:sz="0" w:space="0" w:color="auto"/>
      </w:divBdr>
    </w:div>
    <w:div w:id="236329362">
      <w:bodyDiv w:val="1"/>
      <w:marLeft w:val="0"/>
      <w:marRight w:val="0"/>
      <w:marTop w:val="0"/>
      <w:marBottom w:val="0"/>
      <w:divBdr>
        <w:top w:val="none" w:sz="0" w:space="0" w:color="auto"/>
        <w:left w:val="none" w:sz="0" w:space="0" w:color="auto"/>
        <w:bottom w:val="none" w:sz="0" w:space="0" w:color="auto"/>
        <w:right w:val="none" w:sz="0" w:space="0" w:color="auto"/>
      </w:divBdr>
    </w:div>
    <w:div w:id="260309018">
      <w:bodyDiv w:val="1"/>
      <w:marLeft w:val="0"/>
      <w:marRight w:val="0"/>
      <w:marTop w:val="0"/>
      <w:marBottom w:val="0"/>
      <w:divBdr>
        <w:top w:val="none" w:sz="0" w:space="0" w:color="auto"/>
        <w:left w:val="none" w:sz="0" w:space="0" w:color="auto"/>
        <w:bottom w:val="none" w:sz="0" w:space="0" w:color="auto"/>
        <w:right w:val="none" w:sz="0" w:space="0" w:color="auto"/>
      </w:divBdr>
      <w:divsChild>
        <w:div w:id="15665356">
          <w:marLeft w:val="0"/>
          <w:marRight w:val="0"/>
          <w:marTop w:val="0"/>
          <w:marBottom w:val="0"/>
          <w:divBdr>
            <w:top w:val="none" w:sz="0" w:space="0" w:color="auto"/>
            <w:left w:val="none" w:sz="0" w:space="0" w:color="auto"/>
            <w:bottom w:val="none" w:sz="0" w:space="0" w:color="auto"/>
            <w:right w:val="none" w:sz="0" w:space="0" w:color="auto"/>
          </w:divBdr>
          <w:divsChild>
            <w:div w:id="1947958574">
              <w:marLeft w:val="0"/>
              <w:marRight w:val="0"/>
              <w:marTop w:val="0"/>
              <w:marBottom w:val="0"/>
              <w:divBdr>
                <w:top w:val="none" w:sz="0" w:space="0" w:color="auto"/>
                <w:left w:val="none" w:sz="0" w:space="0" w:color="auto"/>
                <w:bottom w:val="none" w:sz="0" w:space="0" w:color="auto"/>
                <w:right w:val="none" w:sz="0" w:space="0" w:color="auto"/>
              </w:divBdr>
              <w:divsChild>
                <w:div w:id="1082141155">
                  <w:marLeft w:val="0"/>
                  <w:marRight w:val="0"/>
                  <w:marTop w:val="0"/>
                  <w:marBottom w:val="0"/>
                  <w:divBdr>
                    <w:top w:val="none" w:sz="0" w:space="0" w:color="auto"/>
                    <w:left w:val="none" w:sz="0" w:space="0" w:color="auto"/>
                    <w:bottom w:val="none" w:sz="0" w:space="0" w:color="auto"/>
                    <w:right w:val="none" w:sz="0" w:space="0" w:color="auto"/>
                  </w:divBdr>
                  <w:divsChild>
                    <w:div w:id="1345979908">
                      <w:marLeft w:val="0"/>
                      <w:marRight w:val="0"/>
                      <w:marTop w:val="0"/>
                      <w:marBottom w:val="0"/>
                      <w:divBdr>
                        <w:top w:val="none" w:sz="0" w:space="0" w:color="auto"/>
                        <w:left w:val="none" w:sz="0" w:space="0" w:color="auto"/>
                        <w:bottom w:val="none" w:sz="0" w:space="0" w:color="auto"/>
                        <w:right w:val="none" w:sz="0" w:space="0" w:color="auto"/>
                      </w:divBdr>
                      <w:divsChild>
                        <w:div w:id="1335567318">
                          <w:marLeft w:val="0"/>
                          <w:marRight w:val="0"/>
                          <w:marTop w:val="0"/>
                          <w:marBottom w:val="0"/>
                          <w:divBdr>
                            <w:top w:val="none" w:sz="0" w:space="0" w:color="auto"/>
                            <w:left w:val="none" w:sz="0" w:space="0" w:color="auto"/>
                            <w:bottom w:val="none" w:sz="0" w:space="0" w:color="auto"/>
                            <w:right w:val="none" w:sz="0" w:space="0" w:color="auto"/>
                          </w:divBdr>
                          <w:divsChild>
                            <w:div w:id="815998497">
                              <w:marLeft w:val="0"/>
                              <w:marRight w:val="0"/>
                              <w:marTop w:val="0"/>
                              <w:marBottom w:val="0"/>
                              <w:divBdr>
                                <w:top w:val="none" w:sz="0" w:space="0" w:color="auto"/>
                                <w:left w:val="none" w:sz="0" w:space="0" w:color="auto"/>
                                <w:bottom w:val="none" w:sz="0" w:space="0" w:color="auto"/>
                                <w:right w:val="none" w:sz="0" w:space="0" w:color="auto"/>
                              </w:divBdr>
                              <w:divsChild>
                                <w:div w:id="1667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624376">
      <w:bodyDiv w:val="1"/>
      <w:marLeft w:val="0"/>
      <w:marRight w:val="0"/>
      <w:marTop w:val="0"/>
      <w:marBottom w:val="0"/>
      <w:divBdr>
        <w:top w:val="none" w:sz="0" w:space="0" w:color="auto"/>
        <w:left w:val="none" w:sz="0" w:space="0" w:color="auto"/>
        <w:bottom w:val="none" w:sz="0" w:space="0" w:color="auto"/>
        <w:right w:val="none" w:sz="0" w:space="0" w:color="auto"/>
      </w:divBdr>
    </w:div>
    <w:div w:id="510989521">
      <w:bodyDiv w:val="1"/>
      <w:marLeft w:val="0"/>
      <w:marRight w:val="0"/>
      <w:marTop w:val="0"/>
      <w:marBottom w:val="0"/>
      <w:divBdr>
        <w:top w:val="none" w:sz="0" w:space="0" w:color="auto"/>
        <w:left w:val="none" w:sz="0" w:space="0" w:color="auto"/>
        <w:bottom w:val="none" w:sz="0" w:space="0" w:color="auto"/>
        <w:right w:val="none" w:sz="0" w:space="0" w:color="auto"/>
      </w:divBdr>
    </w:div>
    <w:div w:id="607663232">
      <w:bodyDiv w:val="1"/>
      <w:marLeft w:val="0"/>
      <w:marRight w:val="0"/>
      <w:marTop w:val="0"/>
      <w:marBottom w:val="0"/>
      <w:divBdr>
        <w:top w:val="none" w:sz="0" w:space="0" w:color="auto"/>
        <w:left w:val="none" w:sz="0" w:space="0" w:color="auto"/>
        <w:bottom w:val="none" w:sz="0" w:space="0" w:color="auto"/>
        <w:right w:val="none" w:sz="0" w:space="0" w:color="auto"/>
      </w:divBdr>
    </w:div>
    <w:div w:id="655762434">
      <w:bodyDiv w:val="1"/>
      <w:marLeft w:val="0"/>
      <w:marRight w:val="0"/>
      <w:marTop w:val="0"/>
      <w:marBottom w:val="0"/>
      <w:divBdr>
        <w:top w:val="none" w:sz="0" w:space="0" w:color="auto"/>
        <w:left w:val="none" w:sz="0" w:space="0" w:color="auto"/>
        <w:bottom w:val="none" w:sz="0" w:space="0" w:color="auto"/>
        <w:right w:val="none" w:sz="0" w:space="0" w:color="auto"/>
      </w:divBdr>
    </w:div>
    <w:div w:id="669020575">
      <w:bodyDiv w:val="1"/>
      <w:marLeft w:val="0"/>
      <w:marRight w:val="0"/>
      <w:marTop w:val="0"/>
      <w:marBottom w:val="0"/>
      <w:divBdr>
        <w:top w:val="none" w:sz="0" w:space="0" w:color="auto"/>
        <w:left w:val="none" w:sz="0" w:space="0" w:color="auto"/>
        <w:bottom w:val="none" w:sz="0" w:space="0" w:color="auto"/>
        <w:right w:val="none" w:sz="0" w:space="0" w:color="auto"/>
      </w:divBdr>
    </w:div>
    <w:div w:id="785084562">
      <w:bodyDiv w:val="1"/>
      <w:marLeft w:val="0"/>
      <w:marRight w:val="0"/>
      <w:marTop w:val="0"/>
      <w:marBottom w:val="0"/>
      <w:divBdr>
        <w:top w:val="none" w:sz="0" w:space="0" w:color="auto"/>
        <w:left w:val="none" w:sz="0" w:space="0" w:color="auto"/>
        <w:bottom w:val="none" w:sz="0" w:space="0" w:color="auto"/>
        <w:right w:val="none" w:sz="0" w:space="0" w:color="auto"/>
      </w:divBdr>
    </w:div>
    <w:div w:id="862061033">
      <w:bodyDiv w:val="1"/>
      <w:marLeft w:val="0"/>
      <w:marRight w:val="0"/>
      <w:marTop w:val="0"/>
      <w:marBottom w:val="0"/>
      <w:divBdr>
        <w:top w:val="none" w:sz="0" w:space="0" w:color="auto"/>
        <w:left w:val="none" w:sz="0" w:space="0" w:color="auto"/>
        <w:bottom w:val="none" w:sz="0" w:space="0" w:color="auto"/>
        <w:right w:val="none" w:sz="0" w:space="0" w:color="auto"/>
      </w:divBdr>
    </w:div>
    <w:div w:id="879899556">
      <w:bodyDiv w:val="1"/>
      <w:marLeft w:val="0"/>
      <w:marRight w:val="0"/>
      <w:marTop w:val="0"/>
      <w:marBottom w:val="0"/>
      <w:divBdr>
        <w:top w:val="none" w:sz="0" w:space="0" w:color="auto"/>
        <w:left w:val="none" w:sz="0" w:space="0" w:color="auto"/>
        <w:bottom w:val="none" w:sz="0" w:space="0" w:color="auto"/>
        <w:right w:val="none" w:sz="0" w:space="0" w:color="auto"/>
      </w:divBdr>
    </w:div>
    <w:div w:id="1042751469">
      <w:bodyDiv w:val="1"/>
      <w:marLeft w:val="0"/>
      <w:marRight w:val="0"/>
      <w:marTop w:val="0"/>
      <w:marBottom w:val="0"/>
      <w:divBdr>
        <w:top w:val="none" w:sz="0" w:space="0" w:color="auto"/>
        <w:left w:val="none" w:sz="0" w:space="0" w:color="auto"/>
        <w:bottom w:val="none" w:sz="0" w:space="0" w:color="auto"/>
        <w:right w:val="none" w:sz="0" w:space="0" w:color="auto"/>
      </w:divBdr>
    </w:div>
    <w:div w:id="1071199213">
      <w:bodyDiv w:val="1"/>
      <w:marLeft w:val="0"/>
      <w:marRight w:val="0"/>
      <w:marTop w:val="0"/>
      <w:marBottom w:val="0"/>
      <w:divBdr>
        <w:top w:val="none" w:sz="0" w:space="0" w:color="auto"/>
        <w:left w:val="none" w:sz="0" w:space="0" w:color="auto"/>
        <w:bottom w:val="none" w:sz="0" w:space="0" w:color="auto"/>
        <w:right w:val="none" w:sz="0" w:space="0" w:color="auto"/>
      </w:divBdr>
    </w:div>
    <w:div w:id="1149519960">
      <w:bodyDiv w:val="1"/>
      <w:marLeft w:val="0"/>
      <w:marRight w:val="0"/>
      <w:marTop w:val="0"/>
      <w:marBottom w:val="0"/>
      <w:divBdr>
        <w:top w:val="none" w:sz="0" w:space="0" w:color="auto"/>
        <w:left w:val="none" w:sz="0" w:space="0" w:color="auto"/>
        <w:bottom w:val="none" w:sz="0" w:space="0" w:color="auto"/>
        <w:right w:val="none" w:sz="0" w:space="0" w:color="auto"/>
      </w:divBdr>
    </w:div>
    <w:div w:id="1173296058">
      <w:bodyDiv w:val="1"/>
      <w:marLeft w:val="0"/>
      <w:marRight w:val="0"/>
      <w:marTop w:val="0"/>
      <w:marBottom w:val="0"/>
      <w:divBdr>
        <w:top w:val="none" w:sz="0" w:space="0" w:color="auto"/>
        <w:left w:val="none" w:sz="0" w:space="0" w:color="auto"/>
        <w:bottom w:val="none" w:sz="0" w:space="0" w:color="auto"/>
        <w:right w:val="none" w:sz="0" w:space="0" w:color="auto"/>
      </w:divBdr>
    </w:div>
    <w:div w:id="1223445951">
      <w:bodyDiv w:val="1"/>
      <w:marLeft w:val="0"/>
      <w:marRight w:val="0"/>
      <w:marTop w:val="0"/>
      <w:marBottom w:val="0"/>
      <w:divBdr>
        <w:top w:val="none" w:sz="0" w:space="0" w:color="auto"/>
        <w:left w:val="none" w:sz="0" w:space="0" w:color="auto"/>
        <w:bottom w:val="none" w:sz="0" w:space="0" w:color="auto"/>
        <w:right w:val="none" w:sz="0" w:space="0" w:color="auto"/>
      </w:divBdr>
    </w:div>
    <w:div w:id="1244073439">
      <w:bodyDiv w:val="1"/>
      <w:marLeft w:val="0"/>
      <w:marRight w:val="0"/>
      <w:marTop w:val="0"/>
      <w:marBottom w:val="0"/>
      <w:divBdr>
        <w:top w:val="none" w:sz="0" w:space="0" w:color="auto"/>
        <w:left w:val="none" w:sz="0" w:space="0" w:color="auto"/>
        <w:bottom w:val="none" w:sz="0" w:space="0" w:color="auto"/>
        <w:right w:val="none" w:sz="0" w:space="0" w:color="auto"/>
      </w:divBdr>
    </w:div>
    <w:div w:id="1278412164">
      <w:bodyDiv w:val="1"/>
      <w:marLeft w:val="0"/>
      <w:marRight w:val="0"/>
      <w:marTop w:val="0"/>
      <w:marBottom w:val="0"/>
      <w:divBdr>
        <w:top w:val="none" w:sz="0" w:space="0" w:color="auto"/>
        <w:left w:val="none" w:sz="0" w:space="0" w:color="auto"/>
        <w:bottom w:val="none" w:sz="0" w:space="0" w:color="auto"/>
        <w:right w:val="none" w:sz="0" w:space="0" w:color="auto"/>
      </w:divBdr>
    </w:div>
    <w:div w:id="1387535125">
      <w:bodyDiv w:val="1"/>
      <w:marLeft w:val="0"/>
      <w:marRight w:val="0"/>
      <w:marTop w:val="0"/>
      <w:marBottom w:val="0"/>
      <w:divBdr>
        <w:top w:val="none" w:sz="0" w:space="0" w:color="auto"/>
        <w:left w:val="none" w:sz="0" w:space="0" w:color="auto"/>
        <w:bottom w:val="none" w:sz="0" w:space="0" w:color="auto"/>
        <w:right w:val="none" w:sz="0" w:space="0" w:color="auto"/>
      </w:divBdr>
    </w:div>
    <w:div w:id="1416899747">
      <w:bodyDiv w:val="1"/>
      <w:marLeft w:val="0"/>
      <w:marRight w:val="0"/>
      <w:marTop w:val="0"/>
      <w:marBottom w:val="0"/>
      <w:divBdr>
        <w:top w:val="none" w:sz="0" w:space="0" w:color="auto"/>
        <w:left w:val="none" w:sz="0" w:space="0" w:color="auto"/>
        <w:bottom w:val="none" w:sz="0" w:space="0" w:color="auto"/>
        <w:right w:val="none" w:sz="0" w:space="0" w:color="auto"/>
      </w:divBdr>
    </w:div>
    <w:div w:id="1486703207">
      <w:bodyDiv w:val="1"/>
      <w:marLeft w:val="0"/>
      <w:marRight w:val="0"/>
      <w:marTop w:val="0"/>
      <w:marBottom w:val="0"/>
      <w:divBdr>
        <w:top w:val="none" w:sz="0" w:space="0" w:color="auto"/>
        <w:left w:val="none" w:sz="0" w:space="0" w:color="auto"/>
        <w:bottom w:val="none" w:sz="0" w:space="0" w:color="auto"/>
        <w:right w:val="none" w:sz="0" w:space="0" w:color="auto"/>
      </w:divBdr>
    </w:div>
    <w:div w:id="1519851262">
      <w:bodyDiv w:val="1"/>
      <w:marLeft w:val="0"/>
      <w:marRight w:val="0"/>
      <w:marTop w:val="0"/>
      <w:marBottom w:val="0"/>
      <w:divBdr>
        <w:top w:val="none" w:sz="0" w:space="0" w:color="auto"/>
        <w:left w:val="none" w:sz="0" w:space="0" w:color="auto"/>
        <w:bottom w:val="none" w:sz="0" w:space="0" w:color="auto"/>
        <w:right w:val="none" w:sz="0" w:space="0" w:color="auto"/>
      </w:divBdr>
    </w:div>
    <w:div w:id="1541744066">
      <w:bodyDiv w:val="1"/>
      <w:marLeft w:val="0"/>
      <w:marRight w:val="0"/>
      <w:marTop w:val="0"/>
      <w:marBottom w:val="0"/>
      <w:divBdr>
        <w:top w:val="none" w:sz="0" w:space="0" w:color="auto"/>
        <w:left w:val="none" w:sz="0" w:space="0" w:color="auto"/>
        <w:bottom w:val="none" w:sz="0" w:space="0" w:color="auto"/>
        <w:right w:val="none" w:sz="0" w:space="0" w:color="auto"/>
      </w:divBdr>
    </w:div>
    <w:div w:id="1611550791">
      <w:bodyDiv w:val="1"/>
      <w:marLeft w:val="0"/>
      <w:marRight w:val="0"/>
      <w:marTop w:val="0"/>
      <w:marBottom w:val="0"/>
      <w:divBdr>
        <w:top w:val="none" w:sz="0" w:space="0" w:color="auto"/>
        <w:left w:val="none" w:sz="0" w:space="0" w:color="auto"/>
        <w:bottom w:val="none" w:sz="0" w:space="0" w:color="auto"/>
        <w:right w:val="none" w:sz="0" w:space="0" w:color="auto"/>
      </w:divBdr>
    </w:div>
    <w:div w:id="1621260888">
      <w:bodyDiv w:val="1"/>
      <w:marLeft w:val="0"/>
      <w:marRight w:val="0"/>
      <w:marTop w:val="0"/>
      <w:marBottom w:val="0"/>
      <w:divBdr>
        <w:top w:val="none" w:sz="0" w:space="0" w:color="auto"/>
        <w:left w:val="none" w:sz="0" w:space="0" w:color="auto"/>
        <w:bottom w:val="none" w:sz="0" w:space="0" w:color="auto"/>
        <w:right w:val="none" w:sz="0" w:space="0" w:color="auto"/>
      </w:divBdr>
    </w:div>
    <w:div w:id="1659575371">
      <w:bodyDiv w:val="1"/>
      <w:marLeft w:val="0"/>
      <w:marRight w:val="0"/>
      <w:marTop w:val="0"/>
      <w:marBottom w:val="0"/>
      <w:divBdr>
        <w:top w:val="none" w:sz="0" w:space="0" w:color="auto"/>
        <w:left w:val="none" w:sz="0" w:space="0" w:color="auto"/>
        <w:bottom w:val="none" w:sz="0" w:space="0" w:color="auto"/>
        <w:right w:val="none" w:sz="0" w:space="0" w:color="auto"/>
      </w:divBdr>
    </w:div>
    <w:div w:id="1904832984">
      <w:bodyDiv w:val="1"/>
      <w:marLeft w:val="0"/>
      <w:marRight w:val="0"/>
      <w:marTop w:val="0"/>
      <w:marBottom w:val="0"/>
      <w:divBdr>
        <w:top w:val="none" w:sz="0" w:space="0" w:color="auto"/>
        <w:left w:val="none" w:sz="0" w:space="0" w:color="auto"/>
        <w:bottom w:val="none" w:sz="0" w:space="0" w:color="auto"/>
        <w:right w:val="none" w:sz="0" w:space="0" w:color="auto"/>
      </w:divBdr>
    </w:div>
    <w:div w:id="2045910362">
      <w:bodyDiv w:val="1"/>
      <w:marLeft w:val="0"/>
      <w:marRight w:val="0"/>
      <w:marTop w:val="0"/>
      <w:marBottom w:val="0"/>
      <w:divBdr>
        <w:top w:val="none" w:sz="0" w:space="0" w:color="auto"/>
        <w:left w:val="none" w:sz="0" w:space="0" w:color="auto"/>
        <w:bottom w:val="none" w:sz="0" w:space="0" w:color="auto"/>
        <w:right w:val="none" w:sz="0" w:space="0" w:color="auto"/>
      </w:divBdr>
    </w:div>
    <w:div w:id="2079590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7A7A3-BE81-4EFF-A424-6735BAA73F4C}">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29</Pages>
  <Words>11139</Words>
  <Characters>63495</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Relacioni Varianti Dakordesuar</vt:lpstr>
    </vt:vector>
  </TitlesOfParts>
  <Company/>
  <LinksUpToDate>false</LinksUpToDate>
  <CharactersWithSpaces>74486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Relacioni Varianti Dakordesuar</dc:title>
  <dc:creator>Ina Zogu</dc:creator>
  <cp:lastModifiedBy>AIF</cp:lastModifiedBy>
  <cp:revision>5</cp:revision>
  <cp:lastPrinted>2025-10-08T10:07:00Z</cp:lastPrinted>
  <dcterms:created xsi:type="dcterms:W3CDTF">2026-02-27T13:25:00Z</dcterms:created>
  <dcterms:modified xsi:type="dcterms:W3CDTF">2026-03-03T09:01:00Z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Word 2016</vt:lpwstr>
  </property>
  <property fmtid="{D5CDD505-2E9C-101B-9397-08002B2CF9AE}" pid="4" name="LastSaved">
    <vt:filetime>2025-05-22T00:00:00Z</vt:filetime>
  </property>
  <property fmtid="{D5CDD505-2E9C-101B-9397-08002B2CF9AE}" pid="5" name="Producer">
    <vt:lpwstr>Microsoft® Word 2016</vt:lpwstr>
  </property>
</Properties>
</file>